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07" w:rsidRPr="002251CA" w:rsidRDefault="00C24707" w:rsidP="00C247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251CA">
        <w:rPr>
          <w:rFonts w:ascii="Times New Roman" w:hAnsi="Times New Roman" w:cs="Times New Roman"/>
          <w:b/>
          <w:bCs/>
          <w:sz w:val="24"/>
          <w:szCs w:val="24"/>
        </w:rPr>
        <w:t xml:space="preserve"> szabad mozgás és tartózkodás jogával rendelkező személyek, valamint a harmadik országbeli állampolgárok beutazásával és tartózkodásával kapcsolatos eljárások díjáról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szóló </w:t>
      </w:r>
      <w:r w:rsidRPr="002251CA">
        <w:rPr>
          <w:rFonts w:ascii="Times New Roman" w:hAnsi="Times New Roman" w:cs="Times New Roman"/>
          <w:b/>
          <w:bCs/>
          <w:sz w:val="24"/>
          <w:szCs w:val="24"/>
        </w:rPr>
        <w:t>28/2007. (V. 31.) IRM rendelet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módosításáról</w:t>
      </w:r>
    </w:p>
    <w:p w:rsidR="00C24707" w:rsidRPr="00F07307" w:rsidRDefault="00C24707" w:rsidP="00C2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4707" w:rsidRDefault="00C24707" w:rsidP="00C24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251CA">
        <w:rPr>
          <w:rFonts w:ascii="Times New Roman" w:hAnsi="Times New Roman" w:cs="Times New Roman"/>
          <w:sz w:val="24"/>
          <w:szCs w:val="24"/>
        </w:rPr>
        <w:t xml:space="preserve"> szabad mozgás és tartózkodás jogával rendelkező személyek beutazásáról és tartózkodásáról szóló 2007. évi I. törvény 86. § (3) bekezdésében, valamint a harmadik országbeli állampolgárok beutazásáról és tartózkodásáról szóló 2007. évi II. törvény 111. § (2) bekezdés </w:t>
      </w:r>
      <w:r w:rsidRPr="002251CA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251CA">
        <w:rPr>
          <w:rFonts w:ascii="Times New Roman" w:hAnsi="Times New Roman" w:cs="Times New Roman"/>
          <w:sz w:val="24"/>
          <w:szCs w:val="24"/>
        </w:rPr>
        <w:t>pontjában kapott felhatalmazás alapján, a Kormány tagjainak feladat- és hatásköréről szóló 152/2014. (VI. 6.) Korm. rendelet 21. § 9. pontjában meghatározott feladatkörömben eljárva - a Kormány tagjainak feladat- és hatásköréről szóló 152/2014. (VI. 6.) Korm. rendelet 90. § 1. pontjában meghatározott feladatkörében eljáró nemzetgazdasá</w:t>
      </w:r>
      <w:r>
        <w:rPr>
          <w:rFonts w:ascii="Times New Roman" w:hAnsi="Times New Roman" w:cs="Times New Roman"/>
          <w:sz w:val="24"/>
          <w:szCs w:val="24"/>
        </w:rPr>
        <w:t xml:space="preserve">gi miniszterrel, </w:t>
      </w:r>
      <w:r w:rsidRPr="002251CA">
        <w:rPr>
          <w:rFonts w:ascii="Times New Roman" w:hAnsi="Times New Roman" w:cs="Times New Roman"/>
          <w:sz w:val="24"/>
          <w:szCs w:val="24"/>
        </w:rPr>
        <w:t>a Kormány tagjainak feladat- és hatásköréről szóló 152/2014. (VI. 6.) Korm. rendelet</w:t>
      </w:r>
      <w:r>
        <w:rPr>
          <w:rFonts w:ascii="Times New Roman" w:hAnsi="Times New Roman" w:cs="Times New Roman"/>
          <w:sz w:val="24"/>
          <w:szCs w:val="24"/>
        </w:rPr>
        <w:t xml:space="preserve"> 85. § 3. pontjában meghatározott feladatkörében eljáró külgazdasági és külügyminiszterrel egyetértésben -</w:t>
      </w:r>
      <w:r w:rsidRPr="002251CA">
        <w:rPr>
          <w:rFonts w:ascii="Times New Roman" w:hAnsi="Times New Roman" w:cs="Times New Roman"/>
          <w:sz w:val="24"/>
          <w:szCs w:val="24"/>
        </w:rPr>
        <w:t xml:space="preserve"> a következőket rendelem el:</w:t>
      </w:r>
    </w:p>
    <w:p w:rsidR="00C24707" w:rsidRPr="002251CA" w:rsidRDefault="00C24707" w:rsidP="00C24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07" w:rsidRPr="00DA5E11" w:rsidRDefault="00C24707" w:rsidP="00C24707">
      <w:pPr>
        <w:pStyle w:val="Listaszerbekezds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B3">
        <w:rPr>
          <w:rFonts w:ascii="Times New Roman" w:hAnsi="Times New Roman" w:cs="Times New Roman"/>
          <w:b/>
          <w:sz w:val="24"/>
          <w:szCs w:val="24"/>
        </w:rPr>
        <w:t>§</w:t>
      </w:r>
    </w:p>
    <w:p w:rsidR="00C24707" w:rsidRDefault="00C24707" w:rsidP="00C247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251CA">
        <w:rPr>
          <w:rFonts w:ascii="Times New Roman" w:hAnsi="Times New Roman" w:cs="Times New Roman"/>
          <w:bCs/>
          <w:sz w:val="24"/>
          <w:szCs w:val="24"/>
        </w:rPr>
        <w:t xml:space="preserve"> szabad mozgás és tartózkodás jogával rendelkező személyek, valamint a harmadik országbeli állampolgárok beutazásával és tartózkodásával kapcsolatos eljárások díjáról szóló 28/2007. (V. 31.) IRM rendelet</w:t>
      </w:r>
      <w:r>
        <w:rPr>
          <w:rFonts w:ascii="Times New Roman" w:hAnsi="Times New Roman" w:cs="Times New Roman"/>
          <w:bCs/>
          <w:sz w:val="24"/>
          <w:szCs w:val="24"/>
        </w:rPr>
        <w:t xml:space="preserve"> 5. § (2a) bekezdés helyébe a következő rendelkezés lép:</w:t>
      </w:r>
    </w:p>
    <w:p w:rsidR="00C24707" w:rsidRPr="00136CE0" w:rsidRDefault="00C24707" w:rsidP="00C247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707" w:rsidRPr="00136CE0" w:rsidRDefault="00C24707" w:rsidP="00C24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CE0">
        <w:rPr>
          <w:rFonts w:ascii="Times New Roman" w:hAnsi="Times New Roman" w:cs="Times New Roman"/>
          <w:bCs/>
          <w:sz w:val="24"/>
          <w:szCs w:val="24"/>
        </w:rPr>
        <w:t xml:space="preserve">„(2a) Mentesül az ukrán állampolgár a </w:t>
      </w:r>
      <w:r w:rsidRPr="00136CE0">
        <w:rPr>
          <w:rFonts w:ascii="Times New Roman" w:hAnsi="Times New Roman" w:cs="Times New Roman"/>
          <w:bCs/>
          <w:i/>
          <w:sz w:val="24"/>
          <w:szCs w:val="24"/>
        </w:rPr>
        <w:t xml:space="preserve">2. melléklet </w:t>
      </w:r>
      <w:r w:rsidRPr="00136CE0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Pr="00136CE0">
        <w:rPr>
          <w:rFonts w:ascii="Times New Roman" w:hAnsi="Times New Roman" w:cs="Times New Roman"/>
          <w:sz w:val="24"/>
          <w:szCs w:val="24"/>
        </w:rPr>
        <w:t>pont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3-4. alpontjai</w:t>
      </w:r>
      <w:r w:rsidRPr="00136CE0">
        <w:rPr>
          <w:rFonts w:ascii="Times New Roman" w:hAnsi="Times New Roman" w:cs="Times New Roman"/>
          <w:sz w:val="24"/>
          <w:szCs w:val="24"/>
        </w:rPr>
        <w:t>ban meghatározott igazgatási szolgáltatási díj megfizetése alól.”</w:t>
      </w:r>
    </w:p>
    <w:p w:rsidR="00C24707" w:rsidRPr="00136CE0" w:rsidRDefault="00C24707" w:rsidP="00C24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07" w:rsidRDefault="00C24707" w:rsidP="00C24707">
      <w:pPr>
        <w:pStyle w:val="Listaszerbekezds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B3">
        <w:rPr>
          <w:rFonts w:ascii="Times New Roman" w:hAnsi="Times New Roman" w:cs="Times New Roman"/>
          <w:b/>
          <w:sz w:val="24"/>
          <w:szCs w:val="24"/>
        </w:rPr>
        <w:t>§</w:t>
      </w:r>
    </w:p>
    <w:p w:rsidR="00C24707" w:rsidRPr="008F1DB3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a kihirdetését követő napon lép hatályba.</w:t>
      </w: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24707" w:rsidTr="00A9390B">
        <w:tc>
          <w:tcPr>
            <w:tcW w:w="4773" w:type="dxa"/>
          </w:tcPr>
          <w:p w:rsidR="00C24707" w:rsidRDefault="00C24707" w:rsidP="00A9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Egyetértek:</w:t>
            </w:r>
          </w:p>
          <w:p w:rsidR="00C24707" w:rsidRDefault="00C24707" w:rsidP="00A9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707" w:rsidRDefault="00C24707" w:rsidP="00A93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Mihály</w:t>
            </w:r>
          </w:p>
          <w:p w:rsidR="00C24707" w:rsidRDefault="00C24707" w:rsidP="00A93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nemzetgazdasági miniszter</w:t>
            </w:r>
          </w:p>
        </w:tc>
        <w:tc>
          <w:tcPr>
            <w:tcW w:w="4773" w:type="dxa"/>
          </w:tcPr>
          <w:p w:rsidR="00C24707" w:rsidRDefault="00C24707" w:rsidP="00A9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7" w:rsidRDefault="00C24707" w:rsidP="00A9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7" w:rsidRDefault="00C24707" w:rsidP="00A9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7" w:rsidRDefault="00C24707" w:rsidP="00A93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Pintér Sándor</w:t>
            </w:r>
          </w:p>
          <w:p w:rsidR="00C24707" w:rsidRDefault="00C24707" w:rsidP="00A939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belügyminiszter</w:t>
            </w:r>
          </w:p>
        </w:tc>
      </w:tr>
    </w:tbl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Szijjártó Péter</w:t>
      </w: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külgazdasági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külügyminiszter</w:t>
      </w:r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25F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C24707" w:rsidRPr="0019225F" w:rsidRDefault="00C24707" w:rsidP="00C24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07" w:rsidRPr="0019225F" w:rsidRDefault="00C24707" w:rsidP="00C247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225F">
        <w:rPr>
          <w:rFonts w:ascii="Times New Roman" w:hAnsi="Times New Roman" w:cs="Times New Roman"/>
          <w:i/>
          <w:sz w:val="24"/>
          <w:szCs w:val="24"/>
        </w:rPr>
        <w:t>az</w:t>
      </w:r>
      <w:proofErr w:type="gramEnd"/>
      <w:r w:rsidRPr="0019225F">
        <w:rPr>
          <w:rFonts w:ascii="Times New Roman" w:hAnsi="Times New Roman" w:cs="Times New Roman"/>
          <w:i/>
          <w:sz w:val="24"/>
          <w:szCs w:val="24"/>
        </w:rPr>
        <w:t xml:space="preserve"> 1. §</w:t>
      </w:r>
      <w:proofErr w:type="spellStart"/>
      <w:r w:rsidRPr="0019225F">
        <w:rPr>
          <w:rFonts w:ascii="Times New Roman" w:hAnsi="Times New Roman" w:cs="Times New Roman"/>
          <w:i/>
          <w:sz w:val="24"/>
          <w:szCs w:val="24"/>
        </w:rPr>
        <w:t>-hoz</w:t>
      </w:r>
      <w:proofErr w:type="spellEnd"/>
    </w:p>
    <w:p w:rsidR="00C24707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707" w:rsidRDefault="00C24707" w:rsidP="00C2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Külgazdasági és Külügyminisztérium (a továbbiakban: KKM) 2016. november 10-én kelt megkeresésében kezdeményezte a </w:t>
      </w:r>
      <w:r w:rsidRPr="007A4294">
        <w:rPr>
          <w:rFonts w:ascii="Times New Roman" w:hAnsi="Times New Roman" w:cs="Times New Roman"/>
          <w:sz w:val="24"/>
          <w:szCs w:val="24"/>
        </w:rPr>
        <w:t>harmadik országbeli állampolgárok beutazásával és tartózkodásával kapcsolatos eljárások díját meghatározó 28/2007. (V. 31.) IRM rendelet</w:t>
      </w:r>
      <w:r>
        <w:rPr>
          <w:rFonts w:ascii="Times New Roman" w:hAnsi="Times New Roman" w:cs="Times New Roman"/>
          <w:sz w:val="24"/>
          <w:szCs w:val="24"/>
        </w:rPr>
        <w:t xml:space="preserve"> (a továbbiakban: 28/2007. IRM rendelet) módosítását annak érdekében, hogy </w:t>
      </w:r>
      <w:r w:rsidRPr="007A4294">
        <w:rPr>
          <w:rFonts w:ascii="Times New Roman" w:hAnsi="Times New Roman" w:cs="Times New Roman"/>
          <w:sz w:val="24"/>
          <w:szCs w:val="24"/>
        </w:rPr>
        <w:t>az ukrán állampolgárok mentesül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A4294">
        <w:rPr>
          <w:rFonts w:ascii="Times New Roman" w:hAnsi="Times New Roman" w:cs="Times New Roman"/>
          <w:sz w:val="24"/>
          <w:szCs w:val="24"/>
        </w:rPr>
        <w:t xml:space="preserve">nek az igazgatási szolgáltatási díj megfizetése alól a három hónapot meghaladó tartózkodásra irányuló </w:t>
      </w:r>
      <w:r w:rsidRPr="00945759">
        <w:rPr>
          <w:rFonts w:ascii="Times New Roman" w:hAnsi="Times New Roman" w:cs="Times New Roman"/>
          <w:sz w:val="24"/>
          <w:szCs w:val="24"/>
        </w:rPr>
        <w:t xml:space="preserve">kérelmek </w:t>
      </w:r>
      <w:r w:rsidRPr="0019225F">
        <w:rPr>
          <w:rFonts w:ascii="Times New Roman" w:hAnsi="Times New Roman" w:cs="Times New Roman"/>
          <w:sz w:val="24"/>
          <w:szCs w:val="24"/>
        </w:rPr>
        <w:t>külképviseleti kérelmezése esetén</w:t>
      </w:r>
      <w:r w:rsidRPr="007A4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07" w:rsidRPr="007A4294" w:rsidRDefault="00C24707" w:rsidP="00C2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megkeresésben foglaltaknak megfelelően előkészítésre került a 28/2007. IRM rendelet módosítását és t</w:t>
      </w:r>
      <w:r w:rsidRPr="007A4294">
        <w:rPr>
          <w:rFonts w:ascii="Times New Roman" w:hAnsi="Times New Roman" w:cs="Times New Roman"/>
          <w:sz w:val="24"/>
          <w:szCs w:val="24"/>
        </w:rPr>
        <w:t>ekintettel a 2016. november 24-ei magyar ukrán miniszterelnöki találkozó időpontjára</w:t>
      </w:r>
      <w:r>
        <w:rPr>
          <w:rFonts w:ascii="Times New Roman" w:hAnsi="Times New Roman" w:cs="Times New Roman"/>
          <w:sz w:val="24"/>
          <w:szCs w:val="24"/>
        </w:rPr>
        <w:t xml:space="preserve"> a módosítás 2016. november 24-én</w:t>
      </w:r>
      <w:r w:rsidRPr="007A4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lépett hatályba.</w:t>
      </w:r>
    </w:p>
    <w:p w:rsidR="00C24707" w:rsidRDefault="00C24707" w:rsidP="00C2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</w:t>
      </w:r>
      <w:r w:rsidRPr="00E16727">
        <w:rPr>
          <w:rFonts w:ascii="Times New Roman" w:hAnsi="Times New Roman" w:cs="Times New Roman"/>
          <w:sz w:val="24"/>
          <w:szCs w:val="24"/>
        </w:rPr>
        <w:t>módosítás aggályokat vethet fel abból a szempontból, hogy kizárólag a külképviseleten benyújtott kérelmek tekintetében ad felmentést az igazgatási szolgáltatási díj megfizetése alól, de a belföldi kérelmezés esetén nem</w:t>
      </w:r>
      <w:r>
        <w:rPr>
          <w:rFonts w:ascii="Times New Roman" w:hAnsi="Times New Roman" w:cs="Times New Roman"/>
          <w:sz w:val="24"/>
          <w:szCs w:val="24"/>
        </w:rPr>
        <w:t xml:space="preserve">, jelen előterjesztésben szerepelő módosítás a </w:t>
      </w:r>
      <w:r w:rsidRPr="00E16727">
        <w:rPr>
          <w:rFonts w:ascii="Times New Roman" w:hAnsi="Times New Roman" w:cs="Times New Roman"/>
          <w:sz w:val="24"/>
          <w:szCs w:val="24"/>
        </w:rPr>
        <w:t xml:space="preserve">három hónapot meghaladó tartózkodásra irányuló kérelmek belföldi kérelmezése esetére </w:t>
      </w:r>
      <w:r>
        <w:rPr>
          <w:rFonts w:ascii="Times New Roman" w:hAnsi="Times New Roman" w:cs="Times New Roman"/>
          <w:sz w:val="24"/>
          <w:szCs w:val="24"/>
        </w:rPr>
        <w:t xml:space="preserve">is biztosítja </w:t>
      </w:r>
      <w:r w:rsidRPr="00E16727">
        <w:rPr>
          <w:rFonts w:ascii="Times New Roman" w:hAnsi="Times New Roman" w:cs="Times New Roman"/>
          <w:sz w:val="24"/>
          <w:szCs w:val="24"/>
        </w:rPr>
        <w:t>az ukrán állampolgárok igazgatási szolgáltatási díj megfizetése alóli mentesség</w:t>
      </w:r>
      <w:r>
        <w:rPr>
          <w:rFonts w:ascii="Times New Roman" w:hAnsi="Times New Roman" w:cs="Times New Roman"/>
          <w:sz w:val="24"/>
          <w:szCs w:val="24"/>
        </w:rPr>
        <w:t>ét.</w:t>
      </w:r>
    </w:p>
    <w:p w:rsidR="00C24707" w:rsidRPr="00141CC9" w:rsidRDefault="00C24707" w:rsidP="00C2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KKM tájékoztatása alapján konzuli szakmai szempontból nincs akadálya a belföldi kérelmezés esetén történő igazgatási szolgáltatási díj megfizetése alóli mentességnek.</w:t>
      </w:r>
    </w:p>
    <w:p w:rsidR="00C24707" w:rsidRPr="0019225F" w:rsidRDefault="00C24707" w:rsidP="00C247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225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9225F">
        <w:rPr>
          <w:rFonts w:ascii="Times New Roman" w:hAnsi="Times New Roman" w:cs="Times New Roman"/>
          <w:i/>
          <w:sz w:val="24"/>
          <w:szCs w:val="24"/>
        </w:rPr>
        <w:t xml:space="preserve"> 2. §</w:t>
      </w:r>
      <w:proofErr w:type="spellStart"/>
      <w:r w:rsidRPr="0019225F">
        <w:rPr>
          <w:rFonts w:ascii="Times New Roman" w:hAnsi="Times New Roman" w:cs="Times New Roman"/>
          <w:i/>
          <w:sz w:val="24"/>
          <w:szCs w:val="24"/>
        </w:rPr>
        <w:t>-hoz</w:t>
      </w:r>
      <w:proofErr w:type="spellEnd"/>
    </w:p>
    <w:p w:rsidR="00C24707" w:rsidRPr="008F1DB3" w:rsidRDefault="00C24707" w:rsidP="00C24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léptető rendelkezés.</w:t>
      </w:r>
    </w:p>
    <w:p w:rsidR="00820629" w:rsidRDefault="00820629"/>
    <w:sectPr w:rsidR="00820629" w:rsidSect="00612132">
      <w:headerReference w:type="default" r:id="rId8"/>
      <w:footerReference w:type="default" r:id="rId9"/>
      <w:pgSz w:w="11906" w:h="16838" w:code="9"/>
      <w:pgMar w:top="1276" w:right="1134" w:bottom="1701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74" w:rsidRDefault="000B0008">
      <w:pPr>
        <w:spacing w:after="0" w:line="240" w:lineRule="auto"/>
      </w:pPr>
      <w:r>
        <w:separator/>
      </w:r>
    </w:p>
  </w:endnote>
  <w:endnote w:type="continuationSeparator" w:id="0">
    <w:p w:rsidR="00B62274" w:rsidRDefault="000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ook w:val="01E0" w:firstRow="1" w:lastRow="1" w:firstColumn="1" w:lastColumn="1" w:noHBand="0" w:noVBand="0"/>
    </w:tblPr>
    <w:tblGrid>
      <w:gridCol w:w="3544"/>
      <w:gridCol w:w="3827"/>
      <w:gridCol w:w="2268"/>
    </w:tblGrid>
    <w:tr w:rsidR="00167CE6" w:rsidTr="00E85C33">
      <w:tc>
        <w:tcPr>
          <w:tcW w:w="3544" w:type="dxa"/>
        </w:tcPr>
        <w:p w:rsidR="00167CE6" w:rsidRDefault="008B07B3" w:rsidP="00474D47">
          <w:pPr>
            <w:pStyle w:val="llb"/>
            <w:tabs>
              <w:tab w:val="clear" w:pos="4536"/>
              <w:tab w:val="left" w:pos="993"/>
              <w:tab w:val="center" w:pos="1701"/>
              <w:tab w:val="center" w:pos="4111"/>
            </w:tabs>
            <w:ind w:right="-850"/>
            <w:rPr>
              <w:sz w:val="20"/>
            </w:rPr>
          </w:pPr>
        </w:p>
      </w:tc>
      <w:tc>
        <w:tcPr>
          <w:tcW w:w="3827" w:type="dxa"/>
        </w:tcPr>
        <w:p w:rsidR="00167CE6" w:rsidRDefault="008B07B3" w:rsidP="00474D47">
          <w:pPr>
            <w:pStyle w:val="llb"/>
            <w:tabs>
              <w:tab w:val="clear" w:pos="4536"/>
              <w:tab w:val="left" w:pos="1418"/>
              <w:tab w:val="center" w:pos="2018"/>
              <w:tab w:val="center" w:pos="3861"/>
            </w:tabs>
            <w:ind w:left="-108" w:right="-534"/>
            <w:rPr>
              <w:sz w:val="20"/>
            </w:rPr>
          </w:pPr>
        </w:p>
      </w:tc>
      <w:tc>
        <w:tcPr>
          <w:tcW w:w="2268" w:type="dxa"/>
        </w:tcPr>
        <w:p w:rsidR="00167CE6" w:rsidRDefault="008B07B3" w:rsidP="00474D47">
          <w:pPr>
            <w:pStyle w:val="llb"/>
            <w:ind w:right="-850"/>
            <w:rPr>
              <w:sz w:val="20"/>
            </w:rPr>
          </w:pPr>
        </w:p>
      </w:tc>
    </w:tr>
  </w:tbl>
  <w:p w:rsidR="00167CE6" w:rsidRDefault="008B07B3" w:rsidP="00FC161E">
    <w:pPr>
      <w:pStyle w:val="llb"/>
      <w:tabs>
        <w:tab w:val="clear" w:pos="4536"/>
        <w:tab w:val="clear" w:pos="9072"/>
        <w:tab w:val="left" w:pos="2419"/>
      </w:tabs>
    </w:pPr>
  </w:p>
  <w:tbl>
    <w:tblPr>
      <w:tblW w:w="19555" w:type="dxa"/>
      <w:tblLook w:val="01E0" w:firstRow="1" w:lastRow="1" w:firstColumn="1" w:lastColumn="1" w:noHBand="0" w:noVBand="0"/>
    </w:tblPr>
    <w:tblGrid>
      <w:gridCol w:w="3258"/>
      <w:gridCol w:w="3259"/>
      <w:gridCol w:w="3260"/>
      <w:gridCol w:w="3259"/>
      <w:gridCol w:w="3259"/>
      <w:gridCol w:w="3260"/>
    </w:tblGrid>
    <w:tr w:rsidR="00167CE6" w:rsidRPr="00F01FDE" w:rsidTr="000B0008">
      <w:trPr>
        <w:trHeight w:val="772"/>
      </w:trPr>
      <w:tc>
        <w:tcPr>
          <w:tcW w:w="3258" w:type="dxa"/>
          <w:vAlign w:val="center"/>
        </w:tcPr>
        <w:p w:rsidR="00167CE6" w:rsidRPr="00F01FDE" w:rsidRDefault="008B07B3" w:rsidP="003476B5">
          <w:pPr>
            <w:pStyle w:val="llb"/>
            <w:jc w:val="center"/>
            <w:rPr>
              <w:sz w:val="20"/>
            </w:rPr>
          </w:pPr>
        </w:p>
      </w:tc>
      <w:tc>
        <w:tcPr>
          <w:tcW w:w="3259" w:type="dxa"/>
          <w:vAlign w:val="center"/>
        </w:tcPr>
        <w:p w:rsidR="00167CE6" w:rsidRPr="00F01FDE" w:rsidRDefault="008B07B3" w:rsidP="00560867">
          <w:pPr>
            <w:pStyle w:val="llb"/>
            <w:jc w:val="center"/>
            <w:rPr>
              <w:sz w:val="20"/>
            </w:rPr>
          </w:pPr>
        </w:p>
      </w:tc>
      <w:tc>
        <w:tcPr>
          <w:tcW w:w="3260" w:type="dxa"/>
          <w:vAlign w:val="center"/>
        </w:tcPr>
        <w:p w:rsidR="00167CE6" w:rsidRPr="00F01FDE" w:rsidRDefault="008B07B3" w:rsidP="00560867">
          <w:pPr>
            <w:pStyle w:val="llb"/>
            <w:jc w:val="center"/>
            <w:rPr>
              <w:sz w:val="20"/>
            </w:rPr>
          </w:pPr>
        </w:p>
      </w:tc>
      <w:tc>
        <w:tcPr>
          <w:tcW w:w="3259" w:type="dxa"/>
          <w:vAlign w:val="center"/>
        </w:tcPr>
        <w:p w:rsidR="00167CE6" w:rsidRPr="00F01FDE" w:rsidRDefault="008B07B3" w:rsidP="00D70283">
          <w:pPr>
            <w:pStyle w:val="llb"/>
            <w:jc w:val="center"/>
            <w:rPr>
              <w:sz w:val="20"/>
            </w:rPr>
          </w:pPr>
        </w:p>
      </w:tc>
      <w:tc>
        <w:tcPr>
          <w:tcW w:w="3259" w:type="dxa"/>
          <w:vAlign w:val="center"/>
        </w:tcPr>
        <w:p w:rsidR="00167CE6" w:rsidRPr="00F01FDE" w:rsidRDefault="008B07B3" w:rsidP="00D70283">
          <w:pPr>
            <w:pStyle w:val="llb"/>
            <w:jc w:val="center"/>
            <w:rPr>
              <w:sz w:val="20"/>
            </w:rPr>
          </w:pPr>
        </w:p>
      </w:tc>
      <w:tc>
        <w:tcPr>
          <w:tcW w:w="3260" w:type="dxa"/>
          <w:vAlign w:val="center"/>
        </w:tcPr>
        <w:p w:rsidR="00167CE6" w:rsidRPr="00F01FDE" w:rsidRDefault="008B07B3" w:rsidP="00D70283">
          <w:pPr>
            <w:pStyle w:val="llb"/>
            <w:jc w:val="center"/>
            <w:rPr>
              <w:sz w:val="20"/>
            </w:rPr>
          </w:pPr>
        </w:p>
      </w:tc>
    </w:tr>
    <w:tr w:rsidR="00167CE6" w:rsidRPr="00F01FDE" w:rsidTr="001C58CE">
      <w:trPr>
        <w:gridAfter w:val="3"/>
        <w:wAfter w:w="9778" w:type="dxa"/>
      </w:trPr>
      <w:tc>
        <w:tcPr>
          <w:tcW w:w="3258" w:type="dxa"/>
        </w:tcPr>
        <w:p w:rsidR="00167CE6" w:rsidRPr="00F01FDE" w:rsidRDefault="008B07B3" w:rsidP="004C3C1D">
          <w:pPr>
            <w:pStyle w:val="llb"/>
            <w:jc w:val="center"/>
            <w:rPr>
              <w:sz w:val="20"/>
            </w:rPr>
          </w:pPr>
        </w:p>
      </w:tc>
      <w:tc>
        <w:tcPr>
          <w:tcW w:w="3259" w:type="dxa"/>
        </w:tcPr>
        <w:p w:rsidR="00167CE6" w:rsidRPr="00F01FDE" w:rsidRDefault="008B07B3" w:rsidP="004C3C1D">
          <w:pPr>
            <w:pStyle w:val="llb"/>
            <w:jc w:val="center"/>
            <w:rPr>
              <w:sz w:val="20"/>
            </w:rPr>
          </w:pPr>
        </w:p>
      </w:tc>
      <w:tc>
        <w:tcPr>
          <w:tcW w:w="3260" w:type="dxa"/>
        </w:tcPr>
        <w:p w:rsidR="00167CE6" w:rsidRPr="00F01FDE" w:rsidRDefault="008B07B3" w:rsidP="004C3C1D">
          <w:pPr>
            <w:pStyle w:val="llb"/>
            <w:jc w:val="center"/>
            <w:rPr>
              <w:sz w:val="20"/>
            </w:rPr>
          </w:pPr>
        </w:p>
      </w:tc>
    </w:tr>
    <w:tr w:rsidR="001C58CE" w:rsidRPr="00F01FDE" w:rsidTr="001C58CE">
      <w:trPr>
        <w:gridAfter w:val="3"/>
        <w:wAfter w:w="9778" w:type="dxa"/>
      </w:trPr>
      <w:tc>
        <w:tcPr>
          <w:tcW w:w="3258" w:type="dxa"/>
          <w:vAlign w:val="center"/>
        </w:tcPr>
        <w:p w:rsidR="001C58CE" w:rsidRPr="00F01FDE" w:rsidRDefault="008B07B3" w:rsidP="004C3C1D">
          <w:pPr>
            <w:pStyle w:val="llb"/>
            <w:jc w:val="center"/>
            <w:rPr>
              <w:sz w:val="20"/>
            </w:rPr>
          </w:pPr>
        </w:p>
      </w:tc>
      <w:tc>
        <w:tcPr>
          <w:tcW w:w="3259" w:type="dxa"/>
          <w:vAlign w:val="center"/>
        </w:tcPr>
        <w:p w:rsidR="001C58CE" w:rsidRPr="00F01FDE" w:rsidRDefault="008B07B3" w:rsidP="00C73225">
          <w:pPr>
            <w:pStyle w:val="llb"/>
            <w:jc w:val="center"/>
            <w:rPr>
              <w:sz w:val="20"/>
            </w:rPr>
          </w:pPr>
        </w:p>
      </w:tc>
      <w:tc>
        <w:tcPr>
          <w:tcW w:w="3260" w:type="dxa"/>
          <w:vAlign w:val="center"/>
        </w:tcPr>
        <w:p w:rsidR="001C58CE" w:rsidRPr="00F01FDE" w:rsidRDefault="008B07B3" w:rsidP="00C73225">
          <w:pPr>
            <w:pStyle w:val="llb"/>
            <w:jc w:val="center"/>
            <w:rPr>
              <w:sz w:val="20"/>
            </w:rPr>
          </w:pPr>
        </w:p>
      </w:tc>
    </w:tr>
  </w:tbl>
  <w:p w:rsidR="00167CE6" w:rsidRDefault="008B07B3" w:rsidP="00474D47">
    <w:pPr>
      <w:pStyle w:val="llb"/>
      <w:tabs>
        <w:tab w:val="clear" w:pos="4536"/>
        <w:tab w:val="clear" w:pos="9072"/>
        <w:tab w:val="left" w:pos="24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74" w:rsidRDefault="000B0008">
      <w:pPr>
        <w:spacing w:after="0" w:line="240" w:lineRule="auto"/>
      </w:pPr>
      <w:r>
        <w:separator/>
      </w:r>
    </w:p>
  </w:footnote>
  <w:footnote w:type="continuationSeparator" w:id="0">
    <w:p w:rsidR="00B62274" w:rsidRDefault="000B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E6" w:rsidRDefault="008B07B3" w:rsidP="00E85C33">
    <w:pPr>
      <w:pStyle w:val="lfej"/>
      <w:jc w:val="center"/>
      <w:rPr>
        <w:sz w:val="20"/>
      </w:rPr>
    </w:pPr>
  </w:p>
  <w:p w:rsidR="00167CE6" w:rsidRPr="00A906C3" w:rsidRDefault="00C24707" w:rsidP="00E85C33">
    <w:pPr>
      <w:pStyle w:val="lfej"/>
      <w:jc w:val="center"/>
      <w:rPr>
        <w:sz w:val="20"/>
        <w:szCs w:val="20"/>
      </w:rPr>
    </w:pPr>
    <w:r w:rsidRPr="00A906C3">
      <w:rPr>
        <w:rStyle w:val="Oldalszm"/>
        <w:sz w:val="20"/>
        <w:szCs w:val="20"/>
      </w:rPr>
      <w:fldChar w:fldCharType="begin"/>
    </w:r>
    <w:r w:rsidRPr="00A906C3">
      <w:rPr>
        <w:rStyle w:val="Oldalszm"/>
        <w:sz w:val="20"/>
        <w:szCs w:val="20"/>
      </w:rPr>
      <w:instrText xml:space="preserve"> PAGE </w:instrText>
    </w:r>
    <w:r w:rsidRPr="00A906C3">
      <w:rPr>
        <w:rStyle w:val="Oldalszm"/>
        <w:sz w:val="20"/>
        <w:szCs w:val="20"/>
      </w:rPr>
      <w:fldChar w:fldCharType="separate"/>
    </w:r>
    <w:r w:rsidR="008B07B3">
      <w:rPr>
        <w:rStyle w:val="Oldalszm"/>
        <w:noProof/>
        <w:sz w:val="20"/>
        <w:szCs w:val="20"/>
      </w:rPr>
      <w:t>2</w:t>
    </w:r>
    <w:r w:rsidRPr="00A906C3">
      <w:rPr>
        <w:rStyle w:val="Oldalszm"/>
        <w:sz w:val="20"/>
        <w:szCs w:val="20"/>
      </w:rPr>
      <w:fldChar w:fldCharType="end"/>
    </w:r>
  </w:p>
  <w:p w:rsidR="00167CE6" w:rsidRPr="00A906C3" w:rsidRDefault="008B07B3" w:rsidP="00E85C3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7F2"/>
    <w:multiLevelType w:val="hybridMultilevel"/>
    <w:tmpl w:val="E4BA3EBE"/>
    <w:lvl w:ilvl="0" w:tplc="4DBEE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07"/>
    <w:rsid w:val="000B0008"/>
    <w:rsid w:val="00820629"/>
    <w:rsid w:val="008B07B3"/>
    <w:rsid w:val="00B62274"/>
    <w:rsid w:val="00C2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7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24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247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24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247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24707"/>
  </w:style>
  <w:style w:type="paragraph" w:styleId="Listaszerbekezds">
    <w:name w:val="List Paragraph"/>
    <w:basedOn w:val="Norml"/>
    <w:link w:val="ListaszerbekezdsChar"/>
    <w:uiPriority w:val="34"/>
    <w:qFormat/>
    <w:rsid w:val="00C24707"/>
    <w:pPr>
      <w:ind w:left="720"/>
      <w:contextualSpacing/>
    </w:pPr>
  </w:style>
  <w:style w:type="table" w:styleId="Rcsostblzat">
    <w:name w:val="Table Grid"/>
    <w:basedOn w:val="Normltblzat"/>
    <w:uiPriority w:val="59"/>
    <w:rsid w:val="00C2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C2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7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24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247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24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247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24707"/>
  </w:style>
  <w:style w:type="paragraph" w:styleId="Listaszerbekezds">
    <w:name w:val="List Paragraph"/>
    <w:basedOn w:val="Norml"/>
    <w:link w:val="ListaszerbekezdsChar"/>
    <w:uiPriority w:val="34"/>
    <w:qFormat/>
    <w:rsid w:val="00C24707"/>
    <w:pPr>
      <w:ind w:left="720"/>
      <w:contextualSpacing/>
    </w:pPr>
  </w:style>
  <w:style w:type="table" w:styleId="Rcsostblzat">
    <w:name w:val="Table Grid"/>
    <w:basedOn w:val="Normltblzat"/>
    <w:uiPriority w:val="59"/>
    <w:rsid w:val="00C2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C2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Pohner Katinka dr.</dc:creator>
  <cp:lastModifiedBy>Berke László dr.</cp:lastModifiedBy>
  <cp:revision>2</cp:revision>
  <dcterms:created xsi:type="dcterms:W3CDTF">2017-01-30T10:37:00Z</dcterms:created>
  <dcterms:modified xsi:type="dcterms:W3CDTF">2017-01-30T10:37:00Z</dcterms:modified>
</cp:coreProperties>
</file>