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F28" w:rsidRPr="00FE31AE" w:rsidRDefault="00D10F28" w:rsidP="00D10F28">
      <w:pPr>
        <w:jc w:val="both"/>
        <w:rPr>
          <w:b/>
          <w:bCs/>
        </w:rPr>
      </w:pPr>
      <w:r w:rsidRPr="00FE31AE">
        <w:rPr>
          <w:b/>
          <w:bCs/>
        </w:rPr>
        <w:t xml:space="preserve">Jelen előterjesztés csak tervezet, amelynek közigazgatási egyeztetése folyamatban van. A minisztériumok közötti egyeztetés során az előterjesztés koncepcionális kérdései is jelentősen módosulhatnak, ezért az előterjesztés jelen formájában nem tekinthető a Kormány álláspontjának. </w:t>
      </w:r>
    </w:p>
    <w:p w:rsidR="00D10F28" w:rsidRPr="00FE31AE" w:rsidRDefault="00D10F28" w:rsidP="00D10F28">
      <w:pPr>
        <w:jc w:val="both"/>
        <w:rPr>
          <w:b/>
          <w:bCs/>
        </w:rPr>
      </w:pPr>
    </w:p>
    <w:p w:rsidR="00D10F28" w:rsidRPr="00FE31AE" w:rsidRDefault="00D10F28" w:rsidP="00D10F28">
      <w:pPr>
        <w:jc w:val="both"/>
        <w:rPr>
          <w:b/>
          <w:bCs/>
        </w:rPr>
      </w:pPr>
      <w:r w:rsidRPr="00FE31AE">
        <w:rPr>
          <w:b/>
          <w:bCs/>
        </w:rPr>
        <w:t>A dokumentum célja a társadalmi egyeztetés elindítása és a jogalkotási folyamat átláthatóvá tétele, amelynek alapján, illetve eredményeként a mellékelt tervezet valamennyi tartalmi és formai eleme módosulhat!</w:t>
      </w:r>
    </w:p>
    <w:p w:rsidR="00D10F28" w:rsidRPr="00FE31AE" w:rsidRDefault="00D10F28" w:rsidP="00D10F28">
      <w:pPr>
        <w:rPr>
          <w:b/>
          <w:bCs/>
        </w:rPr>
      </w:pPr>
    </w:p>
    <w:p w:rsidR="00D10F28" w:rsidRPr="00FE31AE" w:rsidRDefault="00D10F28" w:rsidP="00D10F28">
      <w:pPr>
        <w:rPr>
          <w:b/>
          <w:bCs/>
        </w:rPr>
      </w:pPr>
    </w:p>
    <w:p w:rsidR="000C0BC2" w:rsidRPr="001540BD" w:rsidRDefault="000C0BC2" w:rsidP="001540BD">
      <w:pPr>
        <w:jc w:val="right"/>
        <w:rPr>
          <w:i/>
        </w:rPr>
      </w:pPr>
      <w:r>
        <w:br w:type="page"/>
      </w:r>
      <w:r w:rsidR="00AF0488" w:rsidRPr="00AF0488">
        <w:rPr>
          <w:i/>
        </w:rPr>
        <w:lastRenderedPageBreak/>
        <w:t>M</w:t>
      </w:r>
      <w:r w:rsidRPr="00AF0488">
        <w:rPr>
          <w:i/>
        </w:rPr>
        <w:t>ellé</w:t>
      </w:r>
      <w:r w:rsidRPr="001540BD">
        <w:rPr>
          <w:i/>
        </w:rPr>
        <w:t>klet</w:t>
      </w:r>
    </w:p>
    <w:p w:rsidR="000C0BC2" w:rsidRPr="001540BD" w:rsidRDefault="0017562D" w:rsidP="001540BD">
      <w:pPr>
        <w:jc w:val="right"/>
        <w:rPr>
          <w:i/>
        </w:rPr>
      </w:pPr>
      <w:proofErr w:type="gramStart"/>
      <w:r>
        <w:rPr>
          <w:i/>
        </w:rPr>
        <w:t>az</w:t>
      </w:r>
      <w:proofErr w:type="gramEnd"/>
      <w:r>
        <w:rPr>
          <w:i/>
        </w:rPr>
        <w:t xml:space="preserve"> IM/MIKFO/</w:t>
      </w:r>
      <w:r w:rsidR="000C0BC2" w:rsidRPr="001540BD">
        <w:rPr>
          <w:i/>
        </w:rPr>
        <w:t>ID/</w:t>
      </w:r>
      <w:r w:rsidR="007028C7">
        <w:rPr>
          <w:i/>
        </w:rPr>
        <w:t>750</w:t>
      </w:r>
      <w:r>
        <w:rPr>
          <w:i/>
        </w:rPr>
        <w:t>/2014</w:t>
      </w:r>
      <w:r w:rsidR="000C0BC2" w:rsidRPr="001540BD">
        <w:rPr>
          <w:i/>
        </w:rPr>
        <w:t>. számú előterjesztéshez</w:t>
      </w:r>
    </w:p>
    <w:p w:rsidR="00FC1C77" w:rsidRDefault="00FC1C77" w:rsidP="001540BD">
      <w:pPr>
        <w:jc w:val="center"/>
        <w:rPr>
          <w:b/>
        </w:rPr>
      </w:pPr>
    </w:p>
    <w:p w:rsidR="007028C7" w:rsidRDefault="007028C7" w:rsidP="007028C7">
      <w:pPr>
        <w:jc w:val="center"/>
        <w:rPr>
          <w:b/>
        </w:rPr>
      </w:pPr>
      <w:r w:rsidRPr="001540BD">
        <w:rPr>
          <w:b/>
        </w:rPr>
        <w:t>20</w:t>
      </w:r>
      <w:r>
        <w:rPr>
          <w:b/>
        </w:rPr>
        <w:t>14</w:t>
      </w:r>
      <w:r w:rsidRPr="001540BD">
        <w:rPr>
          <w:b/>
        </w:rPr>
        <w:t xml:space="preserve">. </w:t>
      </w:r>
      <w:proofErr w:type="gramStart"/>
      <w:r w:rsidRPr="001540BD">
        <w:rPr>
          <w:b/>
        </w:rPr>
        <w:t>évi …</w:t>
      </w:r>
      <w:proofErr w:type="gramEnd"/>
      <w:r w:rsidRPr="001540BD">
        <w:rPr>
          <w:b/>
        </w:rPr>
        <w:t xml:space="preserve"> törvény</w:t>
      </w:r>
    </w:p>
    <w:p w:rsidR="007028C7" w:rsidRPr="001540BD" w:rsidRDefault="007028C7" w:rsidP="007028C7">
      <w:pPr>
        <w:jc w:val="center"/>
        <w:rPr>
          <w:b/>
        </w:rPr>
      </w:pPr>
      <w:proofErr w:type="gramStart"/>
      <w:r w:rsidRPr="0017562D">
        <w:rPr>
          <w:b/>
        </w:rPr>
        <w:t>egyes</w:t>
      </w:r>
      <w:proofErr w:type="gramEnd"/>
      <w:r w:rsidRPr="0017562D">
        <w:rPr>
          <w:b/>
        </w:rPr>
        <w:t xml:space="preserve"> </w:t>
      </w:r>
      <w:r>
        <w:rPr>
          <w:b/>
        </w:rPr>
        <w:t xml:space="preserve">igazságügyi és magánjogi tárgyú </w:t>
      </w:r>
      <w:r w:rsidRPr="0017562D">
        <w:rPr>
          <w:b/>
        </w:rPr>
        <w:t>törvények módosításáról</w:t>
      </w:r>
    </w:p>
    <w:p w:rsidR="007028C7" w:rsidRDefault="007028C7" w:rsidP="007028C7">
      <w:pPr>
        <w:tabs>
          <w:tab w:val="left" w:pos="3960"/>
        </w:tabs>
        <w:ind w:right="5112"/>
      </w:pPr>
    </w:p>
    <w:p w:rsidR="007028C7" w:rsidRDefault="007028C7" w:rsidP="007028C7">
      <w:pPr>
        <w:tabs>
          <w:tab w:val="left" w:pos="3960"/>
        </w:tabs>
        <w:ind w:right="5112"/>
      </w:pPr>
    </w:p>
    <w:p w:rsidR="007028C7" w:rsidRDefault="007028C7" w:rsidP="007028C7">
      <w:pPr>
        <w:tabs>
          <w:tab w:val="left" w:pos="3960"/>
        </w:tabs>
        <w:ind w:right="5112"/>
      </w:pPr>
    </w:p>
    <w:p w:rsidR="007028C7" w:rsidRPr="0047360B" w:rsidRDefault="007028C7" w:rsidP="007028C7">
      <w:pPr>
        <w:autoSpaceDE w:val="0"/>
        <w:autoSpaceDN w:val="0"/>
        <w:adjustRightInd w:val="0"/>
        <w:jc w:val="center"/>
        <w:rPr>
          <w:i/>
        </w:rPr>
      </w:pPr>
      <w:r>
        <w:rPr>
          <w:i/>
        </w:rPr>
        <w:t>1</w:t>
      </w:r>
      <w:r w:rsidRPr="0047360B">
        <w:rPr>
          <w:i/>
        </w:rPr>
        <w:t>. Az illetékekről szóló 1990. évi XCIII. törvény módosítása</w:t>
      </w:r>
    </w:p>
    <w:p w:rsidR="007028C7" w:rsidRPr="0047360B" w:rsidRDefault="007028C7" w:rsidP="007028C7">
      <w:pPr>
        <w:autoSpaceDE w:val="0"/>
        <w:autoSpaceDN w:val="0"/>
        <w:adjustRightInd w:val="0"/>
        <w:jc w:val="both"/>
        <w:rPr>
          <w:i/>
        </w:rPr>
      </w:pPr>
    </w:p>
    <w:p w:rsidR="007028C7" w:rsidRPr="0047360B" w:rsidRDefault="007028C7" w:rsidP="007028C7">
      <w:pPr>
        <w:autoSpaceDE w:val="0"/>
        <w:autoSpaceDN w:val="0"/>
        <w:adjustRightInd w:val="0"/>
        <w:jc w:val="center"/>
        <w:rPr>
          <w:b/>
        </w:rPr>
      </w:pPr>
      <w:r w:rsidRPr="0047360B">
        <w:rPr>
          <w:b/>
        </w:rPr>
        <w:t>1. §</w:t>
      </w:r>
    </w:p>
    <w:p w:rsidR="007028C7" w:rsidRDefault="007028C7" w:rsidP="007028C7">
      <w:pPr>
        <w:autoSpaceDE w:val="0"/>
        <w:autoSpaceDN w:val="0"/>
        <w:adjustRightInd w:val="0"/>
        <w:jc w:val="both"/>
        <w:rPr>
          <w:i/>
        </w:rPr>
      </w:pPr>
    </w:p>
    <w:p w:rsidR="007028C7" w:rsidRPr="0047360B" w:rsidRDefault="007028C7" w:rsidP="007028C7">
      <w:pPr>
        <w:autoSpaceDE w:val="0"/>
        <w:autoSpaceDN w:val="0"/>
        <w:adjustRightInd w:val="0"/>
        <w:ind w:firstLine="708"/>
        <w:jc w:val="both"/>
      </w:pPr>
      <w:r w:rsidRPr="0047360B">
        <w:t>Az illetékekről szóló 1990. évi XCIII. törvény 103. §</w:t>
      </w:r>
      <w:proofErr w:type="spellStart"/>
      <w:r w:rsidRPr="0047360B">
        <w:t>-</w:t>
      </w:r>
      <w:proofErr w:type="gramStart"/>
      <w:r w:rsidRPr="0047360B">
        <w:t>a</w:t>
      </w:r>
      <w:proofErr w:type="spellEnd"/>
      <w:proofErr w:type="gramEnd"/>
      <w:r w:rsidRPr="0047360B">
        <w:t xml:space="preserve"> a következő (3) bekezdéssel egészül ki: </w:t>
      </w:r>
    </w:p>
    <w:p w:rsidR="007028C7" w:rsidRPr="0047360B" w:rsidRDefault="007028C7" w:rsidP="007028C7">
      <w:pPr>
        <w:ind w:firstLine="708"/>
        <w:jc w:val="both"/>
        <w:rPr>
          <w:b/>
          <w:bCs/>
          <w:i/>
          <w:iCs/>
        </w:rPr>
      </w:pPr>
    </w:p>
    <w:p w:rsidR="007028C7" w:rsidRDefault="007028C7" w:rsidP="007028C7">
      <w:pPr>
        <w:jc w:val="both"/>
      </w:pPr>
      <w:r w:rsidRPr="0047360B">
        <w:t xml:space="preserve">„(3) E törvény 57. § (1) bekezdés </w:t>
      </w:r>
      <w:r w:rsidRPr="0047360B">
        <w:rPr>
          <w:i/>
          <w:iCs/>
        </w:rPr>
        <w:t>u)</w:t>
      </w:r>
      <w:r w:rsidRPr="0047360B">
        <w:t xml:space="preserve"> pontja a polgári és kereskedelmi ügyekben a joghatóságról, valamint a határozatok elismeréséről és végrehajtásáról szóló, 1215/2012/EU európai parlamenti és tanácsi rendelet végrehajtásához szükséges rendelkezéseket állapít meg.”</w:t>
      </w:r>
    </w:p>
    <w:p w:rsidR="007028C7" w:rsidRDefault="007028C7" w:rsidP="007028C7">
      <w:pPr>
        <w:tabs>
          <w:tab w:val="left" w:pos="3960"/>
        </w:tabs>
        <w:ind w:right="5112"/>
        <w:rPr>
          <w:b/>
          <w:bCs/>
          <w:sz w:val="28"/>
          <w:szCs w:val="28"/>
        </w:rPr>
      </w:pPr>
    </w:p>
    <w:p w:rsidR="007028C7" w:rsidRPr="00AF090C" w:rsidRDefault="007028C7" w:rsidP="007028C7">
      <w:pPr>
        <w:autoSpaceDE w:val="0"/>
        <w:autoSpaceDN w:val="0"/>
        <w:adjustRightInd w:val="0"/>
        <w:jc w:val="center"/>
        <w:rPr>
          <w:i/>
          <w:iCs/>
        </w:rPr>
      </w:pPr>
      <w:r>
        <w:rPr>
          <w:i/>
          <w:iCs/>
        </w:rPr>
        <w:t>2.</w:t>
      </w:r>
      <w:r w:rsidRPr="00AF090C">
        <w:rPr>
          <w:i/>
          <w:iCs/>
        </w:rPr>
        <w:t xml:space="preserve"> </w:t>
      </w:r>
      <w:r w:rsidRPr="00AF090C">
        <w:rPr>
          <w:i/>
        </w:rPr>
        <w:t>A bírósági végrehajtásról szóló 1994. évi LIII. törvény módosítása</w:t>
      </w:r>
    </w:p>
    <w:p w:rsidR="007028C7" w:rsidRPr="0088328D" w:rsidRDefault="007028C7" w:rsidP="007028C7">
      <w:pPr>
        <w:autoSpaceDE w:val="0"/>
        <w:autoSpaceDN w:val="0"/>
        <w:adjustRightInd w:val="0"/>
        <w:jc w:val="both"/>
        <w:rPr>
          <w:iCs/>
        </w:rPr>
      </w:pPr>
    </w:p>
    <w:p w:rsidR="007028C7" w:rsidRPr="0088328D" w:rsidRDefault="007028C7" w:rsidP="007028C7">
      <w:pPr>
        <w:autoSpaceDE w:val="0"/>
        <w:autoSpaceDN w:val="0"/>
        <w:adjustRightInd w:val="0"/>
        <w:jc w:val="center"/>
        <w:rPr>
          <w:b/>
          <w:iCs/>
        </w:rPr>
      </w:pPr>
      <w:r>
        <w:rPr>
          <w:b/>
          <w:iCs/>
        </w:rPr>
        <w:t>2</w:t>
      </w:r>
      <w:r w:rsidRPr="0088328D">
        <w:rPr>
          <w:b/>
          <w:iCs/>
        </w:rPr>
        <w:t>. §</w:t>
      </w:r>
    </w:p>
    <w:p w:rsidR="007028C7" w:rsidRPr="0088328D" w:rsidRDefault="007028C7" w:rsidP="007028C7">
      <w:pPr>
        <w:autoSpaceDE w:val="0"/>
        <w:autoSpaceDN w:val="0"/>
        <w:adjustRightInd w:val="0"/>
        <w:jc w:val="both"/>
        <w:rPr>
          <w:iCs/>
        </w:rPr>
      </w:pPr>
    </w:p>
    <w:p w:rsidR="007028C7" w:rsidRDefault="007028C7" w:rsidP="007028C7">
      <w:pPr>
        <w:ind w:firstLine="708"/>
        <w:jc w:val="both"/>
      </w:pPr>
      <w:r w:rsidRPr="001D621B">
        <w:t xml:space="preserve">A bírósági végrehajtásról szóló 1994. évi LIII. törvény (a továbbiakban: </w:t>
      </w:r>
      <w:proofErr w:type="spellStart"/>
      <w:r w:rsidRPr="001D621B">
        <w:t>Vht</w:t>
      </w:r>
      <w:proofErr w:type="spellEnd"/>
      <w:r w:rsidRPr="001D621B">
        <w:t xml:space="preserve">.) </w:t>
      </w:r>
      <w:r>
        <w:t>a következő 14/</w:t>
      </w:r>
      <w:proofErr w:type="gramStart"/>
      <w:r>
        <w:t>A</w:t>
      </w:r>
      <w:proofErr w:type="gramEnd"/>
      <w:r>
        <w:t>. §</w:t>
      </w:r>
      <w:proofErr w:type="spellStart"/>
      <w:r>
        <w:t>-sal</w:t>
      </w:r>
      <w:proofErr w:type="spellEnd"/>
      <w:r>
        <w:t xml:space="preserve"> egészül ki:</w:t>
      </w:r>
    </w:p>
    <w:p w:rsidR="007028C7" w:rsidRDefault="007028C7" w:rsidP="007028C7">
      <w:pPr>
        <w:ind w:firstLine="1416"/>
        <w:jc w:val="both"/>
      </w:pPr>
    </w:p>
    <w:p w:rsidR="007028C7" w:rsidRDefault="007028C7" w:rsidP="007028C7">
      <w:pPr>
        <w:jc w:val="both"/>
      </w:pPr>
      <w:r>
        <w:t>„14/A. § (1) Ha a</w:t>
      </w:r>
      <w:r w:rsidRPr="000A6DCD">
        <w:t xml:space="preserve"> polgári és kereskedelmi ügyekben a joghatóságról, valamint a határozatok elismeréséről és végrehajtásáról szóló 1215/2012/EU európai parlamenti és tanácsi rendelet </w:t>
      </w:r>
      <w:r>
        <w:t xml:space="preserve">(a továbbiakban: 1215/2012/EU rendelet) 53. cikke alapján kiállított tanúsítvánnyal ellátott külföldi határozat olyan intézkedést vagy rendelkezést tartalmaz, amely nem ismert a magyar jogban, a végrehajtás elrendelésére a 16. § </w:t>
      </w:r>
      <w:r w:rsidRPr="00A92863">
        <w:rPr>
          <w:i/>
        </w:rPr>
        <w:t>n)</w:t>
      </w:r>
      <w:r>
        <w:t xml:space="preserve"> pontja alapján illetékességgel rendelkező bíróság végzésével az intézkedést vagy rendelkezést az 1215/2012/EU rendelet 54. cikkében foglaltaknak megfelelően hozzáigazítja az azonos joghatást kiváltó, valamint hasonló célokat és érdekeket követő intézkedéshez vagy rendelkezéshez. </w:t>
      </w:r>
    </w:p>
    <w:p w:rsidR="007028C7" w:rsidRDefault="007028C7" w:rsidP="007028C7">
      <w:pPr>
        <w:jc w:val="both"/>
      </w:pPr>
    </w:p>
    <w:p w:rsidR="007028C7" w:rsidRDefault="007028C7" w:rsidP="007028C7">
      <w:pPr>
        <w:jc w:val="both"/>
      </w:pPr>
      <w:r>
        <w:t>(2) Az (1) bekezdés szerint meghozott végzés ellen a végrehajtást kérő és az adós fellebbezéssel élhet.</w:t>
      </w:r>
    </w:p>
    <w:p w:rsidR="007028C7" w:rsidRDefault="007028C7" w:rsidP="007028C7">
      <w:pPr>
        <w:jc w:val="both"/>
      </w:pPr>
    </w:p>
    <w:p w:rsidR="007028C7" w:rsidRDefault="007028C7" w:rsidP="007028C7">
      <w:pPr>
        <w:jc w:val="both"/>
      </w:pPr>
      <w:r>
        <w:t>(3) Ha az (1) bekezdés szerinti eljárás lefolytatása szükséges, a bíróság a végzés jogerőre emelkedését követően állítja ki a végrehajtási lapot.”</w:t>
      </w:r>
    </w:p>
    <w:p w:rsidR="007028C7" w:rsidRDefault="007028C7" w:rsidP="007028C7">
      <w:pPr>
        <w:ind w:firstLine="1416"/>
        <w:jc w:val="both"/>
      </w:pPr>
    </w:p>
    <w:p w:rsidR="007028C7" w:rsidRPr="00593CA5" w:rsidRDefault="007028C7" w:rsidP="007028C7">
      <w:pPr>
        <w:jc w:val="center"/>
        <w:rPr>
          <w:b/>
        </w:rPr>
      </w:pPr>
      <w:r>
        <w:rPr>
          <w:b/>
        </w:rPr>
        <w:t>3</w:t>
      </w:r>
      <w:r w:rsidRPr="00593CA5">
        <w:rPr>
          <w:b/>
        </w:rPr>
        <w:t>. §</w:t>
      </w:r>
    </w:p>
    <w:p w:rsidR="007028C7" w:rsidRDefault="007028C7" w:rsidP="007028C7">
      <w:pPr>
        <w:ind w:firstLine="1416"/>
        <w:jc w:val="both"/>
      </w:pPr>
    </w:p>
    <w:p w:rsidR="007028C7" w:rsidRDefault="007028C7" w:rsidP="007028C7">
      <w:pPr>
        <w:ind w:firstLine="708"/>
        <w:jc w:val="both"/>
      </w:pPr>
      <w:r>
        <w:t xml:space="preserve">A </w:t>
      </w:r>
      <w:proofErr w:type="spellStart"/>
      <w:r>
        <w:t>Vht</w:t>
      </w:r>
      <w:proofErr w:type="spellEnd"/>
      <w:r>
        <w:t>. 16. §</w:t>
      </w:r>
      <w:proofErr w:type="spellStart"/>
      <w:r>
        <w:t>-</w:t>
      </w:r>
      <w:proofErr w:type="gramStart"/>
      <w:r>
        <w:t>a</w:t>
      </w:r>
      <w:proofErr w:type="spellEnd"/>
      <w:proofErr w:type="gramEnd"/>
      <w:r>
        <w:t xml:space="preserve"> a következő </w:t>
      </w:r>
      <w:r w:rsidRPr="000A6DCD">
        <w:rPr>
          <w:i/>
        </w:rPr>
        <w:t>n)</w:t>
      </w:r>
      <w:r>
        <w:t xml:space="preserve"> ponttal egészül ki:</w:t>
      </w:r>
    </w:p>
    <w:p w:rsidR="007028C7" w:rsidRDefault="007028C7" w:rsidP="007028C7">
      <w:pPr>
        <w:jc w:val="both"/>
      </w:pPr>
    </w:p>
    <w:p w:rsidR="007028C7" w:rsidRPr="000A6DCD" w:rsidRDefault="007028C7" w:rsidP="007028C7">
      <w:pPr>
        <w:jc w:val="both"/>
        <w:rPr>
          <w:i/>
        </w:rPr>
      </w:pPr>
      <w:r>
        <w:rPr>
          <w:i/>
        </w:rPr>
        <w:t>(Végrehajtási lapot állít ki</w:t>
      </w:r>
      <w:r w:rsidRPr="000A6DCD">
        <w:rPr>
          <w:i/>
        </w:rPr>
        <w:t xml:space="preserve">) </w:t>
      </w:r>
    </w:p>
    <w:p w:rsidR="007028C7" w:rsidRDefault="007028C7" w:rsidP="007028C7">
      <w:pPr>
        <w:jc w:val="both"/>
      </w:pPr>
    </w:p>
    <w:p w:rsidR="007028C7" w:rsidRDefault="007028C7" w:rsidP="007028C7">
      <w:pPr>
        <w:jc w:val="both"/>
      </w:pPr>
      <w:r>
        <w:t>„</w:t>
      </w:r>
      <w:r w:rsidRPr="00AF090C">
        <w:rPr>
          <w:i/>
        </w:rPr>
        <w:t>n)</w:t>
      </w:r>
      <w:r>
        <w:t xml:space="preserve"> az 1215/2012/EU rendelet 53. cikke alapján kiállított tanúsítvánnyal ellátott külföldi határozat alapján az adós lakóhelye, székhelye – </w:t>
      </w:r>
      <w:r w:rsidRPr="000617D0">
        <w:t xml:space="preserve">ezek hiányában az adós végrehajtás alá </w:t>
      </w:r>
      <w:r w:rsidRPr="000617D0">
        <w:lastRenderedPageBreak/>
        <w:t>vonható vagyontárgyának helye, külföldi székhelyű vállalkozás magyarországi fióktelepe, köz</w:t>
      </w:r>
      <w:r>
        <w:t>vetlen kereskedelmi képviselete</w:t>
      </w:r>
      <w:r w:rsidRPr="000617D0">
        <w:t xml:space="preserve"> esetén a fióktelep, illetve a képviselet belföldi cégnyilvántartásba bejegyzett székhelye, az európai gazdasági egyesülés belföldi telephelye </w:t>
      </w:r>
      <w:r>
        <w:t>– szerinti törvényszék székhelyén működő járásbíróság, Budapesten a Budai Központi Kerületi Bíróság.”</w:t>
      </w:r>
    </w:p>
    <w:p w:rsidR="007028C7" w:rsidRDefault="007028C7" w:rsidP="007028C7">
      <w:pPr>
        <w:jc w:val="both"/>
      </w:pPr>
    </w:p>
    <w:p w:rsidR="007028C7" w:rsidRDefault="007028C7" w:rsidP="007028C7">
      <w:pPr>
        <w:autoSpaceDE w:val="0"/>
        <w:autoSpaceDN w:val="0"/>
        <w:adjustRightInd w:val="0"/>
        <w:jc w:val="center"/>
        <w:rPr>
          <w:b/>
          <w:iCs/>
        </w:rPr>
      </w:pPr>
      <w:r>
        <w:rPr>
          <w:b/>
          <w:iCs/>
        </w:rPr>
        <w:t>4</w:t>
      </w:r>
      <w:r w:rsidRPr="00317CE5">
        <w:rPr>
          <w:b/>
          <w:iCs/>
        </w:rPr>
        <w:t>. §</w:t>
      </w:r>
    </w:p>
    <w:p w:rsidR="007028C7" w:rsidRDefault="007028C7" w:rsidP="007028C7">
      <w:pPr>
        <w:jc w:val="both"/>
      </w:pPr>
    </w:p>
    <w:p w:rsidR="007028C7" w:rsidRPr="00317CE5" w:rsidRDefault="007028C7" w:rsidP="007028C7">
      <w:pPr>
        <w:ind w:firstLine="708"/>
        <w:jc w:val="both"/>
      </w:pPr>
      <w:r>
        <w:rPr>
          <w:iCs/>
        </w:rPr>
        <w:t xml:space="preserve">A </w:t>
      </w:r>
      <w:proofErr w:type="spellStart"/>
      <w:r>
        <w:rPr>
          <w:iCs/>
        </w:rPr>
        <w:t>Vht</w:t>
      </w:r>
      <w:proofErr w:type="spellEnd"/>
      <w:r>
        <w:rPr>
          <w:iCs/>
        </w:rPr>
        <w:t xml:space="preserve">. </w:t>
      </w:r>
      <w:r w:rsidRPr="00317CE5">
        <w:t>23/B. §</w:t>
      </w:r>
      <w:r>
        <w:t xml:space="preserve"> (1</w:t>
      </w:r>
      <w:r w:rsidRPr="00317CE5">
        <w:t xml:space="preserve">) bekezdése a következő </w:t>
      </w:r>
      <w:r w:rsidRPr="00317CE5">
        <w:rPr>
          <w:i/>
        </w:rPr>
        <w:t xml:space="preserve">d) </w:t>
      </w:r>
      <w:r w:rsidRPr="00317CE5">
        <w:t>ponttal egészül ki:</w:t>
      </w:r>
    </w:p>
    <w:p w:rsidR="007028C7" w:rsidRDefault="007028C7" w:rsidP="007028C7">
      <w:pPr>
        <w:autoSpaceDE w:val="0"/>
        <w:autoSpaceDN w:val="0"/>
        <w:adjustRightInd w:val="0"/>
        <w:jc w:val="both"/>
        <w:rPr>
          <w:iCs/>
        </w:rPr>
      </w:pPr>
    </w:p>
    <w:p w:rsidR="007028C7" w:rsidRPr="00CC201A" w:rsidRDefault="007028C7" w:rsidP="007028C7">
      <w:pPr>
        <w:autoSpaceDE w:val="0"/>
        <w:autoSpaceDN w:val="0"/>
        <w:adjustRightInd w:val="0"/>
        <w:jc w:val="both"/>
        <w:rPr>
          <w:i/>
          <w:iCs/>
        </w:rPr>
      </w:pPr>
      <w:r w:rsidRPr="00CC201A">
        <w:rPr>
          <w:i/>
          <w:iCs/>
        </w:rPr>
        <w:t>(Az okiratot végrehajtási záradékkal látja el a következő bíróság:)</w:t>
      </w:r>
    </w:p>
    <w:p w:rsidR="007028C7" w:rsidRPr="00317CE5" w:rsidRDefault="007028C7" w:rsidP="007028C7">
      <w:pPr>
        <w:autoSpaceDE w:val="0"/>
        <w:autoSpaceDN w:val="0"/>
        <w:adjustRightInd w:val="0"/>
        <w:jc w:val="both"/>
        <w:rPr>
          <w:iCs/>
        </w:rPr>
      </w:pPr>
      <w:r w:rsidRPr="00CC201A">
        <w:rPr>
          <w:iCs/>
        </w:rPr>
        <w:t xml:space="preserve">   </w:t>
      </w:r>
    </w:p>
    <w:p w:rsidR="007028C7" w:rsidRPr="00317CE5" w:rsidRDefault="007028C7" w:rsidP="007028C7">
      <w:pPr>
        <w:jc w:val="both"/>
      </w:pPr>
      <w:r w:rsidRPr="00317CE5">
        <w:t>„</w:t>
      </w:r>
      <w:r w:rsidRPr="00AF090C">
        <w:rPr>
          <w:i/>
        </w:rPr>
        <w:t>d)</w:t>
      </w:r>
      <w:r w:rsidRPr="00317CE5">
        <w:t xml:space="preserve"> az 1215/2012/EU rendelet szerinti közokiratot az adós lakóhelye, székhelye</w:t>
      </w:r>
      <w:r>
        <w:t xml:space="preserve"> – </w:t>
      </w:r>
      <w:r w:rsidRPr="000617D0">
        <w:t>ezek hiányában végrehajtás alá vonható vagyontárgyának helye, külföldi székhelyű vállalkozás magyarországi fióktelepe, közvetlen kereskedelmi képviselete belföldi cégnyilvántartásba bejegyzett székhelye, az európai gazdasági egyesülés belföldi telephelye</w:t>
      </w:r>
      <w:r>
        <w:t xml:space="preserve"> – </w:t>
      </w:r>
      <w:r w:rsidRPr="00317CE5">
        <w:t>szerinti törvényszék székhelyén működő járásbíróság, Budapesten a Budai Központi Kerületi Bíróság.”</w:t>
      </w:r>
    </w:p>
    <w:p w:rsidR="007028C7" w:rsidRPr="00317CE5" w:rsidRDefault="007028C7" w:rsidP="007028C7">
      <w:pPr>
        <w:autoSpaceDE w:val="0"/>
        <w:autoSpaceDN w:val="0"/>
        <w:adjustRightInd w:val="0"/>
        <w:jc w:val="both"/>
        <w:rPr>
          <w:iCs/>
        </w:rPr>
      </w:pPr>
    </w:p>
    <w:p w:rsidR="007028C7" w:rsidRDefault="007028C7" w:rsidP="007028C7">
      <w:pPr>
        <w:autoSpaceDE w:val="0"/>
        <w:autoSpaceDN w:val="0"/>
        <w:adjustRightInd w:val="0"/>
        <w:jc w:val="center"/>
        <w:rPr>
          <w:b/>
          <w:iCs/>
        </w:rPr>
      </w:pPr>
      <w:r>
        <w:rPr>
          <w:b/>
          <w:iCs/>
        </w:rPr>
        <w:t>5</w:t>
      </w:r>
      <w:r w:rsidRPr="00317CE5">
        <w:rPr>
          <w:b/>
          <w:iCs/>
        </w:rPr>
        <w:t>. §</w:t>
      </w:r>
    </w:p>
    <w:p w:rsidR="007028C7" w:rsidRPr="00317CE5" w:rsidRDefault="007028C7" w:rsidP="007028C7">
      <w:pPr>
        <w:autoSpaceDE w:val="0"/>
        <w:autoSpaceDN w:val="0"/>
        <w:adjustRightInd w:val="0"/>
        <w:jc w:val="center"/>
        <w:rPr>
          <w:b/>
          <w:iCs/>
        </w:rPr>
      </w:pPr>
    </w:p>
    <w:p w:rsidR="007028C7" w:rsidRDefault="007028C7" w:rsidP="007028C7">
      <w:pPr>
        <w:autoSpaceDE w:val="0"/>
        <w:autoSpaceDN w:val="0"/>
        <w:adjustRightInd w:val="0"/>
        <w:jc w:val="both"/>
        <w:rPr>
          <w:iCs/>
        </w:rPr>
      </w:pPr>
      <w:r w:rsidRPr="00317CE5">
        <w:rPr>
          <w:iCs/>
        </w:rPr>
        <w:tab/>
      </w:r>
      <w:r>
        <w:rPr>
          <w:iCs/>
        </w:rPr>
        <w:t xml:space="preserve">(1) A </w:t>
      </w:r>
      <w:proofErr w:type="spellStart"/>
      <w:r>
        <w:rPr>
          <w:iCs/>
        </w:rPr>
        <w:t>Vht</w:t>
      </w:r>
      <w:proofErr w:type="spellEnd"/>
      <w:r>
        <w:rPr>
          <w:iCs/>
        </w:rPr>
        <w:t xml:space="preserve">. 31/C. § (1) bekezdése a következő </w:t>
      </w:r>
      <w:r w:rsidRPr="00317CE5">
        <w:rPr>
          <w:i/>
          <w:iCs/>
        </w:rPr>
        <w:t xml:space="preserve">g) </w:t>
      </w:r>
      <w:r>
        <w:rPr>
          <w:iCs/>
        </w:rPr>
        <w:t>ponttal egészül ki:</w:t>
      </w:r>
    </w:p>
    <w:p w:rsidR="007028C7" w:rsidRDefault="007028C7" w:rsidP="007028C7">
      <w:pPr>
        <w:autoSpaceDE w:val="0"/>
        <w:autoSpaceDN w:val="0"/>
        <w:adjustRightInd w:val="0"/>
        <w:jc w:val="both"/>
        <w:rPr>
          <w:iCs/>
        </w:rPr>
      </w:pPr>
    </w:p>
    <w:p w:rsidR="007028C7" w:rsidRPr="00CC201A" w:rsidRDefault="007028C7" w:rsidP="007028C7">
      <w:pPr>
        <w:autoSpaceDE w:val="0"/>
        <w:autoSpaceDN w:val="0"/>
        <w:adjustRightInd w:val="0"/>
        <w:jc w:val="both"/>
        <w:rPr>
          <w:i/>
          <w:iCs/>
        </w:rPr>
      </w:pPr>
      <w:r w:rsidRPr="00CC201A">
        <w:rPr>
          <w:i/>
          <w:iCs/>
        </w:rPr>
        <w:t>(Az első fokon eljárt bíróság kérelemre kiállítja)</w:t>
      </w:r>
    </w:p>
    <w:p w:rsidR="007028C7" w:rsidRDefault="007028C7" w:rsidP="007028C7">
      <w:pPr>
        <w:autoSpaceDE w:val="0"/>
        <w:autoSpaceDN w:val="0"/>
        <w:adjustRightInd w:val="0"/>
        <w:jc w:val="both"/>
        <w:rPr>
          <w:iCs/>
        </w:rPr>
      </w:pPr>
      <w:r w:rsidRPr="00CC201A">
        <w:rPr>
          <w:iCs/>
        </w:rPr>
        <w:t xml:space="preserve">   </w:t>
      </w:r>
    </w:p>
    <w:p w:rsidR="007028C7" w:rsidRPr="00317CE5" w:rsidRDefault="007028C7" w:rsidP="007028C7">
      <w:pPr>
        <w:autoSpaceDE w:val="0"/>
        <w:autoSpaceDN w:val="0"/>
        <w:adjustRightInd w:val="0"/>
        <w:jc w:val="both"/>
        <w:rPr>
          <w:iCs/>
        </w:rPr>
      </w:pPr>
      <w:r>
        <w:rPr>
          <w:iCs/>
        </w:rPr>
        <w:t>„</w:t>
      </w:r>
      <w:r w:rsidRPr="00806E1B">
        <w:rPr>
          <w:i/>
          <w:iCs/>
        </w:rPr>
        <w:t>g)</w:t>
      </w:r>
      <w:r>
        <w:rPr>
          <w:iCs/>
        </w:rPr>
        <w:t xml:space="preserve"> az 1215/2012/EU rendelet</w:t>
      </w:r>
      <w:r w:rsidRPr="000617D0">
        <w:rPr>
          <w:iCs/>
        </w:rPr>
        <w:t xml:space="preserve"> 53. cikke szerinti tanúsí</w:t>
      </w:r>
      <w:r>
        <w:rPr>
          <w:iCs/>
        </w:rPr>
        <w:t>tványt, a 1215/2012/EU rendelet</w:t>
      </w:r>
      <w:r w:rsidRPr="000617D0">
        <w:rPr>
          <w:iCs/>
        </w:rPr>
        <w:t xml:space="preserve"> I. mellékletében közzétett formanyomtatvány felhasználásával.</w:t>
      </w:r>
      <w:r>
        <w:rPr>
          <w:iCs/>
        </w:rPr>
        <w:t>”</w:t>
      </w:r>
      <w:r w:rsidRPr="00317CE5">
        <w:rPr>
          <w:iCs/>
        </w:rPr>
        <w:tab/>
      </w:r>
    </w:p>
    <w:p w:rsidR="007028C7" w:rsidRPr="00887493" w:rsidRDefault="007028C7" w:rsidP="007028C7">
      <w:pPr>
        <w:jc w:val="both"/>
      </w:pPr>
    </w:p>
    <w:p w:rsidR="007028C7" w:rsidRDefault="007028C7" w:rsidP="007028C7">
      <w:pPr>
        <w:jc w:val="both"/>
        <w:rPr>
          <w:iCs/>
        </w:rPr>
      </w:pPr>
      <w:r w:rsidRPr="00887493">
        <w:tab/>
      </w:r>
      <w:r>
        <w:t xml:space="preserve">(2) </w:t>
      </w:r>
      <w:r>
        <w:rPr>
          <w:iCs/>
        </w:rPr>
        <w:t xml:space="preserve">A </w:t>
      </w:r>
      <w:proofErr w:type="spellStart"/>
      <w:r>
        <w:rPr>
          <w:iCs/>
        </w:rPr>
        <w:t>Vht</w:t>
      </w:r>
      <w:proofErr w:type="spellEnd"/>
      <w:r>
        <w:rPr>
          <w:iCs/>
        </w:rPr>
        <w:t xml:space="preserve">. 31/C. § (2) bekezdése a következő </w:t>
      </w:r>
      <w:r>
        <w:rPr>
          <w:i/>
          <w:iCs/>
        </w:rPr>
        <w:t>e</w:t>
      </w:r>
      <w:r w:rsidRPr="00317CE5">
        <w:rPr>
          <w:i/>
          <w:iCs/>
        </w:rPr>
        <w:t xml:space="preserve">) </w:t>
      </w:r>
      <w:r>
        <w:rPr>
          <w:iCs/>
        </w:rPr>
        <w:t>ponttal egészül ki:</w:t>
      </w:r>
    </w:p>
    <w:p w:rsidR="007028C7" w:rsidRDefault="007028C7" w:rsidP="007028C7">
      <w:pPr>
        <w:jc w:val="both"/>
        <w:rPr>
          <w:iCs/>
        </w:rPr>
      </w:pPr>
    </w:p>
    <w:p w:rsidR="007028C7" w:rsidRPr="00CC201A" w:rsidRDefault="007028C7" w:rsidP="007028C7">
      <w:pPr>
        <w:jc w:val="both"/>
        <w:rPr>
          <w:i/>
        </w:rPr>
      </w:pPr>
      <w:r w:rsidRPr="00CC201A">
        <w:rPr>
          <w:i/>
        </w:rPr>
        <w:t>(A közokiratot kiállító hatóság székhelye szerint illetékes járásbíróság, ha pedig a közokiratot közjegyző állította ki, továbbá a közjegyző által hozott, marasztalást tartalmazó végzés és</w:t>
      </w:r>
      <w:r>
        <w:rPr>
          <w:i/>
        </w:rPr>
        <w:t xml:space="preserve"> a közjegyző által jóváhagyott –</w:t>
      </w:r>
      <w:r w:rsidRPr="00CC201A">
        <w:rPr>
          <w:i/>
        </w:rPr>
        <w:t xml:space="preserve"> a bírós</w:t>
      </w:r>
      <w:r>
        <w:rPr>
          <w:i/>
        </w:rPr>
        <w:t>ági egyezséggel azonos hatályú –</w:t>
      </w:r>
      <w:r w:rsidRPr="00CC201A">
        <w:rPr>
          <w:i/>
        </w:rPr>
        <w:t xml:space="preserve"> egyezség esetén a közjegyző kérelemre kiállítja)</w:t>
      </w:r>
    </w:p>
    <w:p w:rsidR="007028C7" w:rsidRPr="00887493" w:rsidRDefault="007028C7" w:rsidP="007028C7">
      <w:pPr>
        <w:jc w:val="both"/>
      </w:pPr>
    </w:p>
    <w:p w:rsidR="007028C7" w:rsidRDefault="007028C7" w:rsidP="007028C7">
      <w:pPr>
        <w:jc w:val="both"/>
      </w:pPr>
      <w:r w:rsidRPr="00887493">
        <w:t>„</w:t>
      </w:r>
      <w:r w:rsidRPr="00806E1B">
        <w:rPr>
          <w:i/>
        </w:rPr>
        <w:t>e)</w:t>
      </w:r>
      <w:r w:rsidRPr="00887493">
        <w:t xml:space="preserve"> </w:t>
      </w:r>
      <w:r>
        <w:t xml:space="preserve">az 1215/2012/EU rendelet </w:t>
      </w:r>
      <w:r w:rsidRPr="000617D0">
        <w:t>60. cikke szerinti tanúsí</w:t>
      </w:r>
      <w:r>
        <w:t>tványt, a 1215/2012/EU rendelet</w:t>
      </w:r>
      <w:r w:rsidRPr="000617D0">
        <w:t xml:space="preserve"> II. mellékletében közzétett formanyomtatvány felhasználásával.</w:t>
      </w:r>
      <w:r>
        <w:t>”</w:t>
      </w:r>
    </w:p>
    <w:p w:rsidR="007028C7" w:rsidRPr="00CC201A" w:rsidRDefault="007028C7" w:rsidP="007028C7">
      <w:pPr>
        <w:jc w:val="both"/>
      </w:pPr>
    </w:p>
    <w:p w:rsidR="007028C7" w:rsidRPr="00CC201A" w:rsidRDefault="007028C7" w:rsidP="007028C7">
      <w:pPr>
        <w:ind w:firstLine="708"/>
        <w:jc w:val="both"/>
      </w:pPr>
      <w:r>
        <w:t xml:space="preserve">(3) </w:t>
      </w:r>
      <w:r w:rsidRPr="00CC201A">
        <w:t xml:space="preserve">A </w:t>
      </w:r>
      <w:proofErr w:type="spellStart"/>
      <w:r w:rsidRPr="00CC201A">
        <w:t>Vht</w:t>
      </w:r>
      <w:proofErr w:type="spellEnd"/>
      <w:r w:rsidRPr="00CC201A">
        <w:t>. 31/C. § (5) bekezdése helyébe a következő rendelkezés lép:</w:t>
      </w:r>
    </w:p>
    <w:p w:rsidR="007028C7" w:rsidRPr="00CC201A" w:rsidRDefault="007028C7" w:rsidP="007028C7"/>
    <w:p w:rsidR="007028C7" w:rsidRDefault="007028C7" w:rsidP="007028C7">
      <w:pPr>
        <w:jc w:val="both"/>
      </w:pPr>
      <w:r w:rsidRPr="00CC201A">
        <w:t xml:space="preserve">„(5) Az (1) bekezdés </w:t>
      </w:r>
      <w:r w:rsidRPr="00806E1B">
        <w:rPr>
          <w:i/>
        </w:rPr>
        <w:t>a)</w:t>
      </w:r>
      <w:r w:rsidRPr="00CC201A">
        <w:t xml:space="preserve">, </w:t>
      </w:r>
      <w:r w:rsidRPr="00806E1B">
        <w:rPr>
          <w:i/>
        </w:rPr>
        <w:t>b)</w:t>
      </w:r>
      <w:r w:rsidRPr="00CC201A">
        <w:t xml:space="preserve">, </w:t>
      </w:r>
      <w:r w:rsidRPr="00806E1B">
        <w:rPr>
          <w:i/>
        </w:rPr>
        <w:t>e)</w:t>
      </w:r>
      <w:r w:rsidRPr="00CC201A">
        <w:t xml:space="preserve"> és </w:t>
      </w:r>
      <w:r w:rsidRPr="00806E1B">
        <w:rPr>
          <w:i/>
        </w:rPr>
        <w:t>g)</w:t>
      </w:r>
      <w:r w:rsidRPr="00CC201A">
        <w:t xml:space="preserve"> pontja szerinti, valamint a (2) bekezdés </w:t>
      </w:r>
      <w:r w:rsidRPr="00806E1B">
        <w:rPr>
          <w:i/>
        </w:rPr>
        <w:t>a)</w:t>
      </w:r>
      <w:r w:rsidRPr="00CC201A">
        <w:t xml:space="preserve">, </w:t>
      </w:r>
      <w:r w:rsidRPr="00806E1B">
        <w:rPr>
          <w:i/>
        </w:rPr>
        <w:t>c)</w:t>
      </w:r>
      <w:r w:rsidRPr="00CC201A">
        <w:t xml:space="preserve"> és </w:t>
      </w:r>
      <w:r w:rsidRPr="00806E1B">
        <w:rPr>
          <w:i/>
        </w:rPr>
        <w:t>e)</w:t>
      </w:r>
      <w:r w:rsidRPr="00CC201A">
        <w:t xml:space="preserve"> pontja szerinti tanúsítvány, igazolás és kivonat több alkalommal is kiállítható.”</w:t>
      </w:r>
    </w:p>
    <w:p w:rsidR="007028C7" w:rsidRDefault="007028C7" w:rsidP="007028C7">
      <w:pPr>
        <w:jc w:val="both"/>
      </w:pPr>
    </w:p>
    <w:p w:rsidR="007028C7" w:rsidRPr="009B3DAA" w:rsidRDefault="007028C7" w:rsidP="007028C7">
      <w:pPr>
        <w:jc w:val="center"/>
        <w:rPr>
          <w:b/>
        </w:rPr>
      </w:pPr>
      <w:r>
        <w:rPr>
          <w:b/>
        </w:rPr>
        <w:t>6</w:t>
      </w:r>
      <w:r w:rsidRPr="009B3DAA">
        <w:rPr>
          <w:b/>
        </w:rPr>
        <w:t>. §</w:t>
      </w:r>
    </w:p>
    <w:p w:rsidR="007028C7" w:rsidRDefault="007028C7" w:rsidP="007028C7"/>
    <w:p w:rsidR="007028C7" w:rsidRDefault="007028C7" w:rsidP="007028C7">
      <w:pPr>
        <w:ind w:firstLine="708"/>
      </w:pPr>
      <w:r>
        <w:t xml:space="preserve">(1) A </w:t>
      </w:r>
      <w:proofErr w:type="spellStart"/>
      <w:r>
        <w:t>Vht</w:t>
      </w:r>
      <w:proofErr w:type="spellEnd"/>
      <w:r>
        <w:t xml:space="preserve">. 35/D. § (1) bekezdés </w:t>
      </w:r>
      <w:r w:rsidRPr="00CE4CFE">
        <w:rPr>
          <w:i/>
        </w:rPr>
        <w:t>a)</w:t>
      </w:r>
      <w:r>
        <w:t xml:space="preserve"> pontja helyébe a következő rendelkezés lép:</w:t>
      </w:r>
    </w:p>
    <w:p w:rsidR="007028C7" w:rsidRDefault="007028C7" w:rsidP="007028C7"/>
    <w:p w:rsidR="007028C7" w:rsidRPr="005B5487" w:rsidRDefault="007028C7" w:rsidP="007028C7">
      <w:pPr>
        <w:jc w:val="both"/>
        <w:rPr>
          <w:i/>
        </w:rPr>
      </w:pPr>
      <w:r>
        <w:rPr>
          <w:i/>
        </w:rPr>
        <w:t>(</w:t>
      </w:r>
      <w:r w:rsidRPr="005B5487">
        <w:rPr>
          <w:i/>
        </w:rPr>
        <w:t xml:space="preserve">Az elektronikus kapcsolattartás igénylése iránti, legalább fokozott biztonságú elektronikus aláírással és időbélyegzővel ellátott, elektronikus iratba foglalt kérelmet és annak jogszabályban meghatározott mellékleteit a kézbesítési rendszer felhasználói szabályzatának </w:t>
      </w:r>
      <w:r w:rsidRPr="005B5487">
        <w:rPr>
          <w:i/>
        </w:rPr>
        <w:lastRenderedPageBreak/>
        <w:t xml:space="preserve">elfogadása mellett bárki előterjeszthet a végrehajtónál. A végrehajtó a kérelem teljesítéseként rögzíti a kézbesítési rendszerben az elektronikus </w:t>
      </w:r>
      <w:r>
        <w:rPr>
          <w:i/>
        </w:rPr>
        <w:t>kapcsolattartásra jogosult fél:)</w:t>
      </w:r>
    </w:p>
    <w:p w:rsidR="007028C7" w:rsidRDefault="007028C7" w:rsidP="007028C7"/>
    <w:p w:rsidR="007028C7" w:rsidRDefault="007028C7" w:rsidP="007028C7">
      <w:pPr>
        <w:jc w:val="both"/>
      </w:pPr>
      <w:r>
        <w:t>„</w:t>
      </w:r>
      <w:r w:rsidRPr="00EC0A34">
        <w:rPr>
          <w:i/>
        </w:rPr>
        <w:t>a)</w:t>
      </w:r>
      <w:r>
        <w:t xml:space="preserve"> természetes személyazonosító adatait, lakóhelyét, személyazonosító okmányának típusát és számát, valamint törvényes képviselőjének nevét, lakóhelyét és személyazonosító okmányának típusát, számát; szervezet esetében elnevezését, székhelyét, a nyilvántartását vezető hatóság elnevezését, nyilvántartási számát, valamint a képviselőjének nevét, lakóhelyét és személyazonosító okmányának típusát, számát;”</w:t>
      </w:r>
    </w:p>
    <w:p w:rsidR="007028C7" w:rsidRDefault="007028C7" w:rsidP="007028C7">
      <w:pPr>
        <w:jc w:val="both"/>
      </w:pPr>
    </w:p>
    <w:p w:rsidR="007028C7" w:rsidRDefault="007028C7" w:rsidP="007028C7">
      <w:pPr>
        <w:ind w:firstLine="708"/>
        <w:jc w:val="both"/>
      </w:pPr>
      <w:r>
        <w:t xml:space="preserve">(2) A </w:t>
      </w:r>
      <w:proofErr w:type="spellStart"/>
      <w:r>
        <w:t>Vht</w:t>
      </w:r>
      <w:proofErr w:type="spellEnd"/>
      <w:r>
        <w:t>. 35/D. § (2) bekezdése helyébe a következő rendelkezés lép:</w:t>
      </w:r>
    </w:p>
    <w:p w:rsidR="007028C7" w:rsidRDefault="007028C7" w:rsidP="007028C7">
      <w:pPr>
        <w:jc w:val="both"/>
      </w:pPr>
    </w:p>
    <w:p w:rsidR="007028C7" w:rsidRDefault="007028C7" w:rsidP="007028C7">
      <w:pPr>
        <w:jc w:val="both"/>
      </w:pPr>
      <w:r>
        <w:t>„(2) A végrehajtó a kérelem teljesítése előtt a 47/</w:t>
      </w:r>
      <w:proofErr w:type="gramStart"/>
      <w:r>
        <w:t>A</w:t>
      </w:r>
      <w:proofErr w:type="gramEnd"/>
      <w:r>
        <w:t>. § szerint ellenőrzi a személyazonosság és a lakóhely igazolására szolgáló személyazonosító okmány száma alapján annak érvényességét és adatainak valóságát.</w:t>
      </w:r>
      <w:r w:rsidRPr="0091434A">
        <w:t xml:space="preserve"> </w:t>
      </w:r>
      <w:r>
        <w:t>Ha a fél nem szolgáltatja az (1) bekezdésben meghatározott adatokat, vagy a személyazonosságával kapcsolatban kétség merül fel, a végrehajtó a kérelem teljesítését megtagadja.”</w:t>
      </w:r>
    </w:p>
    <w:p w:rsidR="007028C7" w:rsidRDefault="007028C7" w:rsidP="007028C7">
      <w:pPr>
        <w:jc w:val="both"/>
      </w:pPr>
    </w:p>
    <w:p w:rsidR="007028C7" w:rsidRPr="00907820" w:rsidRDefault="007028C7" w:rsidP="007028C7">
      <w:pPr>
        <w:jc w:val="center"/>
        <w:rPr>
          <w:b/>
        </w:rPr>
      </w:pPr>
      <w:r>
        <w:rPr>
          <w:b/>
        </w:rPr>
        <w:t>7</w:t>
      </w:r>
      <w:r w:rsidRPr="00907820">
        <w:rPr>
          <w:b/>
        </w:rPr>
        <w:t>. §</w:t>
      </w:r>
    </w:p>
    <w:p w:rsidR="007028C7" w:rsidRDefault="007028C7" w:rsidP="007028C7">
      <w:pPr>
        <w:jc w:val="both"/>
      </w:pPr>
    </w:p>
    <w:p w:rsidR="007028C7" w:rsidRPr="001E1ACF" w:rsidRDefault="007028C7" w:rsidP="007028C7">
      <w:pPr>
        <w:ind w:firstLine="708"/>
        <w:jc w:val="both"/>
      </w:pPr>
      <w:r w:rsidRPr="001E1ACF">
        <w:t xml:space="preserve">A </w:t>
      </w:r>
      <w:proofErr w:type="spellStart"/>
      <w:r w:rsidRPr="001E1ACF">
        <w:t>Vht</w:t>
      </w:r>
      <w:proofErr w:type="spellEnd"/>
      <w:r w:rsidRPr="001E1ACF">
        <w:t>. 37/B. § (4) bekezdése helyébe a következő rendelkezés lép:</w:t>
      </w:r>
    </w:p>
    <w:p w:rsidR="007028C7" w:rsidRPr="001E1ACF" w:rsidRDefault="007028C7" w:rsidP="007028C7">
      <w:pPr>
        <w:jc w:val="both"/>
      </w:pPr>
    </w:p>
    <w:p w:rsidR="007028C7" w:rsidRPr="00CC201A" w:rsidRDefault="007028C7" w:rsidP="007028C7">
      <w:pPr>
        <w:jc w:val="both"/>
      </w:pPr>
      <w:r w:rsidRPr="001E1ACF">
        <w:t>„(4) Nem kell kézbesítési megbízottat me</w:t>
      </w:r>
      <w:r>
        <w:t>gjelölni a 861/2007/EK rendelet,</w:t>
      </w:r>
      <w:r w:rsidRPr="001E1ACF">
        <w:t xml:space="preserve"> a 4/2009/EK tanácsi rendelet</w:t>
      </w:r>
      <w:r>
        <w:t>, és az 1215/2012/EU rendelet</w:t>
      </w:r>
      <w:r w:rsidRPr="001E1ACF">
        <w:t xml:space="preserve"> szerinti határozat végrehajtására indult eljárásban.”</w:t>
      </w:r>
    </w:p>
    <w:p w:rsidR="007028C7" w:rsidRPr="0017562D" w:rsidRDefault="007028C7" w:rsidP="007028C7">
      <w:pPr>
        <w:ind w:firstLine="1440"/>
        <w:jc w:val="both"/>
        <w:rPr>
          <w:highlight w:val="yellow"/>
        </w:rPr>
      </w:pPr>
    </w:p>
    <w:p w:rsidR="007028C7" w:rsidRPr="004713E7" w:rsidRDefault="007028C7" w:rsidP="007028C7">
      <w:pPr>
        <w:jc w:val="center"/>
        <w:rPr>
          <w:b/>
        </w:rPr>
      </w:pPr>
      <w:r>
        <w:rPr>
          <w:b/>
        </w:rPr>
        <w:t>8</w:t>
      </w:r>
      <w:r w:rsidRPr="004713E7">
        <w:rPr>
          <w:b/>
        </w:rPr>
        <w:t>. §</w:t>
      </w:r>
    </w:p>
    <w:p w:rsidR="007028C7" w:rsidRDefault="007028C7" w:rsidP="007028C7">
      <w:pPr>
        <w:jc w:val="both"/>
      </w:pPr>
    </w:p>
    <w:p w:rsidR="007028C7" w:rsidRDefault="007028C7" w:rsidP="007028C7">
      <w:pPr>
        <w:ind w:firstLine="708"/>
        <w:jc w:val="both"/>
      </w:pPr>
      <w:r>
        <w:t xml:space="preserve">A </w:t>
      </w:r>
      <w:proofErr w:type="spellStart"/>
      <w:r>
        <w:t>Vht</w:t>
      </w:r>
      <w:proofErr w:type="spellEnd"/>
      <w:r>
        <w:t>. 48. § (8) bekezdése helyébe a következő rendelkezés lép:</w:t>
      </w:r>
    </w:p>
    <w:p w:rsidR="007028C7" w:rsidRDefault="007028C7" w:rsidP="007028C7">
      <w:pPr>
        <w:jc w:val="both"/>
      </w:pPr>
    </w:p>
    <w:p w:rsidR="007028C7" w:rsidRPr="00907820" w:rsidRDefault="007028C7" w:rsidP="007028C7">
      <w:pPr>
        <w:jc w:val="both"/>
      </w:pPr>
      <w:r>
        <w:t xml:space="preserve">„(8) A végrehajtást foganatosító bíróság dönt az adósnak a 805/2004/EK rendelet 23. cikke, a 1896/2006/EK rendelet 23. cikke, a 861/2007/EK rendelet 23. cikke, a 4/2009/EK tanácsi rendelet 21. cikk (3) bekezdése, valamint az 1215/2012/EU rendelet 47. cikke szerinti kérelméről. A bíróság a 805/2004/EK rendelet 23. cikkének </w:t>
      </w:r>
      <w:r w:rsidRPr="00806E1B">
        <w:rPr>
          <w:i/>
        </w:rPr>
        <w:t>a)</w:t>
      </w:r>
      <w:r>
        <w:t xml:space="preserve"> pontja, az 1896/2006/EK rendelet 23. cikk </w:t>
      </w:r>
      <w:r w:rsidRPr="00806E1B">
        <w:rPr>
          <w:i/>
        </w:rPr>
        <w:t>a)</w:t>
      </w:r>
      <w:r>
        <w:t xml:space="preserve"> pontja, valamint a 861/2007/EK rendelet 23. cikk </w:t>
      </w:r>
      <w:r w:rsidRPr="00806E1B">
        <w:rPr>
          <w:i/>
        </w:rPr>
        <w:t>a)</w:t>
      </w:r>
      <w:r>
        <w:t xml:space="preserve"> pontja szerinti kérelemnek a végrehajtás felfüggesztésével ad helyt.”</w:t>
      </w:r>
    </w:p>
    <w:p w:rsidR="007028C7" w:rsidRDefault="007028C7" w:rsidP="007028C7">
      <w:pPr>
        <w:jc w:val="both"/>
      </w:pPr>
    </w:p>
    <w:p w:rsidR="007028C7" w:rsidRDefault="007028C7" w:rsidP="007028C7">
      <w:pPr>
        <w:jc w:val="center"/>
        <w:rPr>
          <w:b/>
        </w:rPr>
      </w:pPr>
      <w:r>
        <w:rPr>
          <w:b/>
        </w:rPr>
        <w:t>9</w:t>
      </w:r>
      <w:r w:rsidRPr="001E1ACF">
        <w:rPr>
          <w:b/>
        </w:rPr>
        <w:t>. §</w:t>
      </w:r>
    </w:p>
    <w:p w:rsidR="007028C7" w:rsidRPr="001E1ACF" w:rsidRDefault="007028C7" w:rsidP="007028C7">
      <w:pPr>
        <w:jc w:val="center"/>
        <w:rPr>
          <w:b/>
        </w:rPr>
      </w:pPr>
    </w:p>
    <w:p w:rsidR="007028C7" w:rsidRPr="005010AE" w:rsidRDefault="007028C7" w:rsidP="007028C7">
      <w:pPr>
        <w:ind w:firstLine="708"/>
        <w:jc w:val="both"/>
      </w:pPr>
      <w:r w:rsidRPr="005010AE">
        <w:t xml:space="preserve">A </w:t>
      </w:r>
      <w:proofErr w:type="spellStart"/>
      <w:r w:rsidRPr="005010AE">
        <w:t>Vht</w:t>
      </w:r>
      <w:proofErr w:type="spellEnd"/>
      <w:r w:rsidRPr="005010AE">
        <w:t>. 186. § (3) bekezdése helyébe a következő rendelkezés lép:</w:t>
      </w:r>
    </w:p>
    <w:p w:rsidR="007028C7" w:rsidRPr="005010AE" w:rsidRDefault="007028C7" w:rsidP="007028C7">
      <w:pPr>
        <w:jc w:val="both"/>
      </w:pPr>
    </w:p>
    <w:p w:rsidR="007028C7" w:rsidRPr="004713E7" w:rsidRDefault="007028C7" w:rsidP="007028C7">
      <w:pPr>
        <w:jc w:val="both"/>
      </w:pPr>
      <w:r w:rsidRPr="005010AE">
        <w:t>„(3) Biztosítási intézkedés rendelhető el e § alapján akkor is, ha a követelés olyan bírósági határozaton alapul, amelyet a 44/2001/EK tanácsi rendele</w:t>
      </w:r>
      <w:r>
        <w:t>t, a 4/2009/EK tanácsi rendelet</w:t>
      </w:r>
      <w:r w:rsidRPr="005010AE">
        <w:t xml:space="preserve"> vagy az 1215/2012/EU rendelet </w:t>
      </w:r>
      <w:proofErr w:type="gramStart"/>
      <w:r w:rsidRPr="005010AE">
        <w:t>alapján</w:t>
      </w:r>
      <w:proofErr w:type="gramEnd"/>
      <w:r w:rsidRPr="005010AE">
        <w:t xml:space="preserve"> Magyarországon el kell ismerni. A biztosítási intézkedést a 16. § </w:t>
      </w:r>
      <w:r w:rsidRPr="005010AE">
        <w:rPr>
          <w:i/>
        </w:rPr>
        <w:t>c)</w:t>
      </w:r>
      <w:r w:rsidRPr="005010AE">
        <w:t xml:space="preserve"> pontjában meghatározott bíróság rendeli el.”</w:t>
      </w:r>
    </w:p>
    <w:p w:rsidR="007028C7" w:rsidRPr="0017562D" w:rsidRDefault="007028C7" w:rsidP="007028C7">
      <w:pPr>
        <w:jc w:val="both"/>
        <w:rPr>
          <w:highlight w:val="yellow"/>
        </w:rPr>
      </w:pPr>
    </w:p>
    <w:p w:rsidR="007028C7" w:rsidRPr="005010AE" w:rsidRDefault="007028C7" w:rsidP="007028C7">
      <w:pPr>
        <w:autoSpaceDE w:val="0"/>
        <w:autoSpaceDN w:val="0"/>
        <w:adjustRightInd w:val="0"/>
        <w:jc w:val="center"/>
        <w:rPr>
          <w:b/>
        </w:rPr>
      </w:pPr>
      <w:r>
        <w:rPr>
          <w:b/>
        </w:rPr>
        <w:t>10</w:t>
      </w:r>
      <w:r w:rsidRPr="005010AE">
        <w:rPr>
          <w:b/>
        </w:rPr>
        <w:t>. §</w:t>
      </w:r>
    </w:p>
    <w:p w:rsidR="007028C7" w:rsidRPr="005010AE" w:rsidRDefault="007028C7" w:rsidP="007028C7">
      <w:pPr>
        <w:autoSpaceDE w:val="0"/>
        <w:autoSpaceDN w:val="0"/>
        <w:adjustRightInd w:val="0"/>
      </w:pPr>
    </w:p>
    <w:p w:rsidR="007028C7" w:rsidRPr="00907820" w:rsidRDefault="007028C7" w:rsidP="007028C7">
      <w:pPr>
        <w:ind w:firstLine="708"/>
        <w:jc w:val="both"/>
      </w:pPr>
      <w:r>
        <w:t xml:space="preserve">A </w:t>
      </w:r>
      <w:proofErr w:type="spellStart"/>
      <w:r>
        <w:t>Vht</w:t>
      </w:r>
      <w:proofErr w:type="spellEnd"/>
      <w:r>
        <w:t xml:space="preserve">. 187. § (3) bekezdése </w:t>
      </w:r>
      <w:r w:rsidRPr="00907820">
        <w:t>helyébe a következő rendelkezés lép:</w:t>
      </w:r>
    </w:p>
    <w:p w:rsidR="007028C7" w:rsidRDefault="007028C7" w:rsidP="007028C7">
      <w:pPr>
        <w:jc w:val="both"/>
      </w:pPr>
    </w:p>
    <w:p w:rsidR="007028C7" w:rsidRDefault="007028C7" w:rsidP="007028C7">
      <w:pPr>
        <w:jc w:val="both"/>
      </w:pPr>
      <w:r>
        <w:lastRenderedPageBreak/>
        <w:t>„(3) Biztosítási intézkedés rendelhető el e § alapján akkor is, ha a 44/2001/EK tanácsi rendelet, a 4/2009/EK tanácsi rendelet,</w:t>
      </w:r>
      <w:r w:rsidRPr="004713E7">
        <w:t xml:space="preserve"> </w:t>
      </w:r>
      <w:r>
        <w:t xml:space="preserve">vagy az 1215/2012/EU rendelet szerinti ügyben a kereseti kérelmet az Európai Unió másik tagállamának bíróságához nyújtották be. A biztosítási intézkedést a 16. § </w:t>
      </w:r>
      <w:r w:rsidRPr="0047360B">
        <w:rPr>
          <w:i/>
        </w:rPr>
        <w:t>c)</w:t>
      </w:r>
      <w:r>
        <w:t xml:space="preserve"> pontjában meghatározott bíróság rendeli el.”</w:t>
      </w:r>
    </w:p>
    <w:p w:rsidR="007028C7" w:rsidRPr="0017562D" w:rsidRDefault="007028C7" w:rsidP="007028C7">
      <w:pPr>
        <w:jc w:val="both"/>
        <w:rPr>
          <w:highlight w:val="yellow"/>
        </w:rPr>
      </w:pPr>
    </w:p>
    <w:p w:rsidR="007028C7" w:rsidRPr="005010AE" w:rsidRDefault="007028C7" w:rsidP="007028C7">
      <w:pPr>
        <w:jc w:val="center"/>
        <w:rPr>
          <w:b/>
        </w:rPr>
      </w:pPr>
      <w:r>
        <w:rPr>
          <w:b/>
        </w:rPr>
        <w:t>11</w:t>
      </w:r>
      <w:r w:rsidRPr="005010AE">
        <w:rPr>
          <w:b/>
        </w:rPr>
        <w:t>. §</w:t>
      </w:r>
    </w:p>
    <w:p w:rsidR="007028C7" w:rsidRDefault="007028C7" w:rsidP="007028C7">
      <w:pPr>
        <w:jc w:val="both"/>
      </w:pPr>
    </w:p>
    <w:p w:rsidR="007028C7" w:rsidRDefault="007028C7" w:rsidP="007028C7">
      <w:pPr>
        <w:ind w:firstLine="708"/>
        <w:jc w:val="both"/>
      </w:pPr>
      <w:r>
        <w:t xml:space="preserve">A </w:t>
      </w:r>
      <w:proofErr w:type="spellStart"/>
      <w:r>
        <w:t>Vht</w:t>
      </w:r>
      <w:proofErr w:type="spellEnd"/>
      <w:r>
        <w:t xml:space="preserve">. 211. § (3) bekezdés </w:t>
      </w:r>
      <w:r w:rsidRPr="00512748">
        <w:rPr>
          <w:i/>
        </w:rPr>
        <w:t>c)</w:t>
      </w:r>
      <w:r>
        <w:t xml:space="preserve"> pontja helyébe a következő rendelkezés lép:</w:t>
      </w:r>
    </w:p>
    <w:p w:rsidR="007028C7" w:rsidRDefault="007028C7" w:rsidP="007028C7">
      <w:pPr>
        <w:jc w:val="both"/>
      </w:pPr>
    </w:p>
    <w:p w:rsidR="007028C7" w:rsidRPr="00512748" w:rsidRDefault="007028C7" w:rsidP="007028C7">
      <w:pPr>
        <w:jc w:val="both"/>
        <w:rPr>
          <w:i/>
        </w:rPr>
      </w:pPr>
      <w:r w:rsidRPr="00512748">
        <w:rPr>
          <w:i/>
        </w:rPr>
        <w:t xml:space="preserve">(A bíróság akkor is visszavonja a végrehajtási lapot vagy törli a végrehajtási záradékot, ha az adós kérelmére megállapítja, hogy) </w:t>
      </w:r>
    </w:p>
    <w:p w:rsidR="007028C7" w:rsidRDefault="007028C7" w:rsidP="007028C7">
      <w:pPr>
        <w:jc w:val="both"/>
      </w:pPr>
    </w:p>
    <w:p w:rsidR="007028C7" w:rsidRDefault="007028C7" w:rsidP="007028C7">
      <w:pPr>
        <w:jc w:val="both"/>
      </w:pPr>
      <w:r w:rsidRPr="00512748">
        <w:t>„</w:t>
      </w:r>
      <w:r w:rsidRPr="0047360B">
        <w:rPr>
          <w:i/>
        </w:rPr>
        <w:t>c)</w:t>
      </w:r>
      <w:r>
        <w:t xml:space="preserve"> a 4/2009/EK tanácsi rendelet 21. cikk (2) bekezdésének második </w:t>
      </w:r>
      <w:proofErr w:type="spellStart"/>
      <w:r>
        <w:t>albekezdése</w:t>
      </w:r>
      <w:proofErr w:type="spellEnd"/>
      <w:r>
        <w:t>, vagy az 1215/2012/EU rendelet 45. cikk (1) bekezdése alapján a végrehajtás megtagadásának”</w:t>
      </w:r>
    </w:p>
    <w:p w:rsidR="007028C7" w:rsidRDefault="007028C7" w:rsidP="007028C7">
      <w:pPr>
        <w:jc w:val="both"/>
      </w:pPr>
    </w:p>
    <w:p w:rsidR="007028C7" w:rsidRPr="00512748" w:rsidRDefault="007028C7" w:rsidP="007028C7">
      <w:pPr>
        <w:jc w:val="both"/>
        <w:rPr>
          <w:i/>
        </w:rPr>
      </w:pPr>
      <w:r w:rsidRPr="00512748">
        <w:rPr>
          <w:i/>
        </w:rPr>
        <w:t>(feltételei fennállnak.)</w:t>
      </w:r>
    </w:p>
    <w:p w:rsidR="007028C7" w:rsidRDefault="007028C7" w:rsidP="007028C7">
      <w:pPr>
        <w:jc w:val="both"/>
      </w:pPr>
    </w:p>
    <w:p w:rsidR="007028C7" w:rsidRPr="008B20D2" w:rsidRDefault="007028C7" w:rsidP="007028C7">
      <w:pPr>
        <w:jc w:val="center"/>
        <w:rPr>
          <w:b/>
        </w:rPr>
      </w:pPr>
      <w:r w:rsidRPr="008B20D2">
        <w:rPr>
          <w:b/>
        </w:rPr>
        <w:t>1</w:t>
      </w:r>
      <w:r>
        <w:rPr>
          <w:b/>
        </w:rPr>
        <w:t>2</w:t>
      </w:r>
      <w:r w:rsidRPr="008B20D2">
        <w:rPr>
          <w:b/>
        </w:rPr>
        <w:t>. §</w:t>
      </w:r>
    </w:p>
    <w:p w:rsidR="007028C7" w:rsidRPr="008B20D2" w:rsidRDefault="007028C7" w:rsidP="007028C7">
      <w:pPr>
        <w:autoSpaceDE w:val="0"/>
        <w:autoSpaceDN w:val="0"/>
        <w:adjustRightInd w:val="0"/>
        <w:jc w:val="both"/>
      </w:pPr>
    </w:p>
    <w:p w:rsidR="007028C7" w:rsidRPr="005010AE" w:rsidRDefault="007028C7" w:rsidP="007028C7">
      <w:pPr>
        <w:ind w:firstLine="708"/>
        <w:jc w:val="both"/>
      </w:pPr>
      <w:r w:rsidRPr="005010AE">
        <w:t xml:space="preserve">A </w:t>
      </w:r>
      <w:proofErr w:type="spellStart"/>
      <w:r w:rsidRPr="005010AE">
        <w:t>Vht</w:t>
      </w:r>
      <w:proofErr w:type="spellEnd"/>
      <w:r w:rsidRPr="005010AE">
        <w:t xml:space="preserve">. 317. § (2) bekezdése a következő </w:t>
      </w:r>
      <w:r w:rsidRPr="005010AE">
        <w:rPr>
          <w:i/>
        </w:rPr>
        <w:t>h)</w:t>
      </w:r>
      <w:r w:rsidRPr="005010AE">
        <w:t xml:space="preserve"> ponttal egészül ki: </w:t>
      </w:r>
    </w:p>
    <w:p w:rsidR="007028C7" w:rsidRPr="005010AE" w:rsidRDefault="007028C7" w:rsidP="007028C7">
      <w:pPr>
        <w:ind w:firstLine="1440"/>
        <w:jc w:val="both"/>
      </w:pPr>
    </w:p>
    <w:p w:rsidR="007028C7" w:rsidRPr="005010AE" w:rsidRDefault="007028C7" w:rsidP="007028C7">
      <w:pPr>
        <w:pStyle w:val="Cmsor1"/>
        <w:keepNext w:val="0"/>
        <w:jc w:val="both"/>
        <w:rPr>
          <w:bCs/>
        </w:rPr>
      </w:pPr>
      <w:r>
        <w:rPr>
          <w:bCs/>
        </w:rPr>
        <w:t>(</w:t>
      </w:r>
      <w:r w:rsidRPr="005010AE">
        <w:rPr>
          <w:bCs/>
        </w:rPr>
        <w:t>E törvény</w:t>
      </w:r>
      <w:r>
        <w:rPr>
          <w:bCs/>
        </w:rPr>
        <w:t>)</w:t>
      </w:r>
      <w:r w:rsidRPr="005010AE">
        <w:rPr>
          <w:bCs/>
        </w:rPr>
        <w:t xml:space="preserve"> </w:t>
      </w:r>
    </w:p>
    <w:p w:rsidR="007028C7" w:rsidRPr="005010AE" w:rsidRDefault="007028C7" w:rsidP="007028C7">
      <w:pPr>
        <w:pStyle w:val="Cmsor1"/>
        <w:keepNext w:val="0"/>
        <w:jc w:val="both"/>
        <w:rPr>
          <w:b/>
          <w:bCs/>
        </w:rPr>
      </w:pPr>
    </w:p>
    <w:p w:rsidR="007028C7" w:rsidRPr="005010AE" w:rsidRDefault="007028C7" w:rsidP="007028C7">
      <w:pPr>
        <w:jc w:val="both"/>
      </w:pPr>
      <w:r w:rsidRPr="005010AE">
        <w:rPr>
          <w:bCs/>
          <w:iCs/>
        </w:rPr>
        <w:t>„</w:t>
      </w:r>
      <w:r>
        <w:rPr>
          <w:bCs/>
          <w:i/>
          <w:iCs/>
        </w:rPr>
        <w:t>h</w:t>
      </w:r>
      <w:r w:rsidRPr="005010AE">
        <w:rPr>
          <w:bCs/>
          <w:i/>
          <w:iCs/>
        </w:rPr>
        <w:t>)</w:t>
      </w:r>
      <w:r w:rsidRPr="005010AE">
        <w:rPr>
          <w:bCs/>
        </w:rPr>
        <w:t xml:space="preserve"> </w:t>
      </w:r>
      <w:r w:rsidRPr="000617D0">
        <w:rPr>
          <w:bCs/>
        </w:rPr>
        <w:t>14/</w:t>
      </w:r>
      <w:proofErr w:type="gramStart"/>
      <w:r w:rsidRPr="000617D0">
        <w:rPr>
          <w:bCs/>
        </w:rPr>
        <w:t>A</w:t>
      </w:r>
      <w:proofErr w:type="gramEnd"/>
      <w:r w:rsidRPr="000617D0">
        <w:rPr>
          <w:bCs/>
        </w:rPr>
        <w:t>. §</w:t>
      </w:r>
      <w:proofErr w:type="spellStart"/>
      <w:r w:rsidRPr="000617D0">
        <w:rPr>
          <w:bCs/>
        </w:rPr>
        <w:t>-</w:t>
      </w:r>
      <w:proofErr w:type="gramStart"/>
      <w:r w:rsidRPr="000617D0">
        <w:rPr>
          <w:bCs/>
        </w:rPr>
        <w:t>a</w:t>
      </w:r>
      <w:proofErr w:type="spellEnd"/>
      <w:proofErr w:type="gramEnd"/>
      <w:r w:rsidRPr="000617D0">
        <w:rPr>
          <w:bCs/>
        </w:rPr>
        <w:t>, 16. § n) pontja, 23/B. §</w:t>
      </w:r>
      <w:proofErr w:type="spellStart"/>
      <w:r w:rsidRPr="000617D0">
        <w:rPr>
          <w:bCs/>
        </w:rPr>
        <w:t>-</w:t>
      </w:r>
      <w:proofErr w:type="gramStart"/>
      <w:r w:rsidRPr="000617D0">
        <w:rPr>
          <w:bCs/>
        </w:rPr>
        <w:t>a</w:t>
      </w:r>
      <w:proofErr w:type="spellEnd"/>
      <w:proofErr w:type="gramEnd"/>
      <w:r w:rsidRPr="000617D0">
        <w:rPr>
          <w:bCs/>
        </w:rPr>
        <w:t>, 31/C. §</w:t>
      </w:r>
      <w:proofErr w:type="spellStart"/>
      <w:r w:rsidRPr="000617D0">
        <w:rPr>
          <w:bCs/>
        </w:rPr>
        <w:t>-</w:t>
      </w:r>
      <w:proofErr w:type="gramStart"/>
      <w:r w:rsidRPr="000617D0">
        <w:rPr>
          <w:bCs/>
        </w:rPr>
        <w:t>a</w:t>
      </w:r>
      <w:proofErr w:type="spellEnd"/>
      <w:proofErr w:type="gramEnd"/>
      <w:r w:rsidRPr="000617D0">
        <w:rPr>
          <w:bCs/>
        </w:rPr>
        <w:t>, 37/B. § (4) bekezdése, 48. § (8) bekezdése, 177/</w:t>
      </w:r>
      <w:proofErr w:type="gramStart"/>
      <w:r w:rsidRPr="000617D0">
        <w:rPr>
          <w:bCs/>
        </w:rPr>
        <w:t>A</w:t>
      </w:r>
      <w:proofErr w:type="gramEnd"/>
      <w:r w:rsidRPr="000617D0">
        <w:rPr>
          <w:bCs/>
        </w:rPr>
        <w:t>. §</w:t>
      </w:r>
      <w:proofErr w:type="spellStart"/>
      <w:r w:rsidRPr="000617D0">
        <w:rPr>
          <w:bCs/>
        </w:rPr>
        <w:t>-</w:t>
      </w:r>
      <w:proofErr w:type="gramStart"/>
      <w:r w:rsidRPr="000617D0">
        <w:rPr>
          <w:bCs/>
        </w:rPr>
        <w:t>a</w:t>
      </w:r>
      <w:proofErr w:type="spellEnd"/>
      <w:proofErr w:type="gramEnd"/>
      <w:r w:rsidRPr="000617D0">
        <w:rPr>
          <w:bCs/>
        </w:rPr>
        <w:t xml:space="preserve">, 186. § (3) bekezdése, </w:t>
      </w:r>
      <w:r>
        <w:rPr>
          <w:bCs/>
        </w:rPr>
        <w:t xml:space="preserve">187. § (3) bekezdése, és 211. § </w:t>
      </w:r>
      <w:r w:rsidRPr="000617D0">
        <w:rPr>
          <w:bCs/>
        </w:rPr>
        <w:t>(3) bekezdése a polgári és kereskedelmi ügyekben a joghatóságról, valamint a határozatok elismeréséről és végrehajtásáról szóló 1215/2012/EU rendelet</w:t>
      </w:r>
      <w:r w:rsidRPr="005010AE">
        <w:rPr>
          <w:bCs/>
        </w:rPr>
        <w:t>”</w:t>
      </w:r>
    </w:p>
    <w:p w:rsidR="007028C7" w:rsidRPr="005010AE" w:rsidRDefault="007028C7" w:rsidP="007028C7">
      <w:pPr>
        <w:jc w:val="both"/>
        <w:rPr>
          <w:bCs/>
        </w:rPr>
      </w:pPr>
    </w:p>
    <w:p w:rsidR="007028C7" w:rsidRPr="005010AE" w:rsidRDefault="007028C7" w:rsidP="007028C7">
      <w:pPr>
        <w:jc w:val="both"/>
        <w:rPr>
          <w:bCs/>
          <w:i/>
        </w:rPr>
      </w:pPr>
      <w:r>
        <w:rPr>
          <w:bCs/>
          <w:i/>
        </w:rPr>
        <w:t>(</w:t>
      </w:r>
      <w:r w:rsidRPr="005010AE">
        <w:rPr>
          <w:bCs/>
          <w:i/>
        </w:rPr>
        <w:t>végrehajtásához szükséges rendelkezéseket állapít meg</w:t>
      </w:r>
      <w:r>
        <w:rPr>
          <w:bCs/>
          <w:i/>
        </w:rPr>
        <w:t>.)</w:t>
      </w:r>
    </w:p>
    <w:p w:rsidR="007028C7" w:rsidRDefault="007028C7" w:rsidP="007028C7">
      <w:pPr>
        <w:jc w:val="both"/>
      </w:pPr>
    </w:p>
    <w:p w:rsidR="007028C7" w:rsidRDefault="007028C7" w:rsidP="007028C7">
      <w:pPr>
        <w:jc w:val="both"/>
      </w:pPr>
    </w:p>
    <w:p w:rsidR="007028C7" w:rsidRPr="0010291C" w:rsidRDefault="007028C7" w:rsidP="007028C7">
      <w:pPr>
        <w:jc w:val="center"/>
        <w:rPr>
          <w:i/>
        </w:rPr>
      </w:pPr>
      <w:r w:rsidRPr="0010291C">
        <w:rPr>
          <w:i/>
        </w:rPr>
        <w:t>3. Az államháztartásról szóló 1992. évi XXXVIII. törvény és egyes kapcsolódó törvények módosításáról rendelkező 2006. évi LXV. törvény módosítása</w:t>
      </w:r>
    </w:p>
    <w:p w:rsidR="007028C7" w:rsidRPr="0010291C" w:rsidRDefault="007028C7" w:rsidP="007028C7"/>
    <w:p w:rsidR="007028C7" w:rsidRPr="0010291C" w:rsidRDefault="007028C7" w:rsidP="007028C7">
      <w:pPr>
        <w:jc w:val="center"/>
        <w:rPr>
          <w:b/>
        </w:rPr>
      </w:pPr>
      <w:r w:rsidRPr="0010291C">
        <w:rPr>
          <w:b/>
        </w:rPr>
        <w:t>13. §</w:t>
      </w:r>
    </w:p>
    <w:p w:rsidR="007028C7" w:rsidRPr="0010291C" w:rsidRDefault="007028C7" w:rsidP="007028C7"/>
    <w:p w:rsidR="007028C7" w:rsidRPr="0010291C" w:rsidRDefault="007028C7" w:rsidP="007028C7">
      <w:pPr>
        <w:ind w:firstLine="708"/>
        <w:jc w:val="both"/>
      </w:pPr>
      <w:r w:rsidRPr="0010291C">
        <w:t xml:space="preserve">Az államháztartásról szóló 1992. évi XXXVIII. törvény és egyes kapcsolódó törvények módosításáról rendelkező 2006. évi LXV. törvény (a továbbiakban: </w:t>
      </w:r>
      <w:proofErr w:type="spellStart"/>
      <w:r w:rsidRPr="0010291C">
        <w:t>Áhtmód</w:t>
      </w:r>
      <w:proofErr w:type="spellEnd"/>
      <w:r w:rsidRPr="0010291C">
        <w:t>. tv.) 1. §</w:t>
      </w:r>
      <w:proofErr w:type="spellStart"/>
      <w:r w:rsidRPr="0010291C">
        <w:t>-</w:t>
      </w:r>
      <w:proofErr w:type="gramStart"/>
      <w:r w:rsidRPr="0010291C">
        <w:t>a</w:t>
      </w:r>
      <w:proofErr w:type="spellEnd"/>
      <w:proofErr w:type="gramEnd"/>
      <w:r w:rsidRPr="0010291C">
        <w:t xml:space="preserve"> a következő (3)</w:t>
      </w:r>
      <w:r>
        <w:t xml:space="preserve"> és (3a)</w:t>
      </w:r>
      <w:r w:rsidRPr="0010291C">
        <w:t xml:space="preserve"> bekezdéssel egészül ki:</w:t>
      </w:r>
    </w:p>
    <w:p w:rsidR="007028C7" w:rsidRPr="0010291C" w:rsidRDefault="007028C7" w:rsidP="007028C7">
      <w:pPr>
        <w:jc w:val="both"/>
      </w:pPr>
    </w:p>
    <w:p w:rsidR="007028C7" w:rsidRDefault="007028C7" w:rsidP="00F90605">
      <w:pPr>
        <w:jc w:val="both"/>
      </w:pPr>
      <w:r w:rsidRPr="0010291C">
        <w:t>„(3) Az e törvény hatálya alá tartozó közalapítvány közhasznú jogállást szerezhet, ha teljesíti a közhasznú jogállás megszerzésének az egyesülési jogról, a közhasznú jogállásról, valamint a civil szervezetek működéséről és támogatásáról szóló 2011. évi CLXXV. törvényben (a továbbiakban: Civil törvény) foglalt feltételeit.</w:t>
      </w:r>
    </w:p>
    <w:p w:rsidR="00F90605" w:rsidRDefault="00F90605" w:rsidP="00F90605">
      <w:pPr>
        <w:jc w:val="both"/>
      </w:pPr>
    </w:p>
    <w:p w:rsidR="007028C7" w:rsidRDefault="007028C7" w:rsidP="00F90605">
      <w:pPr>
        <w:jc w:val="both"/>
      </w:pPr>
      <w:r>
        <w:t>(3a) K</w:t>
      </w:r>
      <w:r w:rsidRPr="0010291C">
        <w:rPr>
          <w:bCs/>
        </w:rPr>
        <w:t>özhasznú közalapítvány</w:t>
      </w:r>
      <w:r>
        <w:rPr>
          <w:bCs/>
        </w:rPr>
        <w:t xml:space="preserve"> esetén </w:t>
      </w:r>
      <w:r w:rsidRPr="0010291C">
        <w:rPr>
          <w:bCs/>
        </w:rPr>
        <w:t>a Civil törvény 30.</w:t>
      </w:r>
      <w:r>
        <w:rPr>
          <w:bCs/>
        </w:rPr>
        <w:t xml:space="preserve"> </w:t>
      </w:r>
      <w:r w:rsidRPr="0010291C">
        <w:rPr>
          <w:bCs/>
        </w:rPr>
        <w:t>§</w:t>
      </w:r>
      <w:proofErr w:type="spellStart"/>
      <w:r w:rsidRPr="0010291C">
        <w:rPr>
          <w:bCs/>
        </w:rPr>
        <w:t>-á</w:t>
      </w:r>
      <w:r>
        <w:rPr>
          <w:bCs/>
        </w:rPr>
        <w:t>t</w:t>
      </w:r>
      <w:proofErr w:type="spellEnd"/>
      <w:r>
        <w:rPr>
          <w:bCs/>
        </w:rPr>
        <w:t xml:space="preserve"> alkalmazni kell.</w:t>
      </w:r>
      <w:r w:rsidRPr="0010291C">
        <w:t>”</w:t>
      </w:r>
    </w:p>
    <w:p w:rsidR="007028C7" w:rsidRPr="0010291C" w:rsidRDefault="007028C7" w:rsidP="007028C7">
      <w:pPr>
        <w:jc w:val="both"/>
      </w:pPr>
    </w:p>
    <w:p w:rsidR="007028C7" w:rsidRPr="0010291C" w:rsidRDefault="007028C7" w:rsidP="007028C7">
      <w:pPr>
        <w:jc w:val="center"/>
        <w:rPr>
          <w:b/>
        </w:rPr>
      </w:pPr>
      <w:r w:rsidRPr="0010291C">
        <w:rPr>
          <w:b/>
        </w:rPr>
        <w:t>14. §</w:t>
      </w:r>
    </w:p>
    <w:p w:rsidR="007028C7" w:rsidRPr="0010291C" w:rsidRDefault="007028C7" w:rsidP="007028C7">
      <w:pPr>
        <w:jc w:val="both"/>
      </w:pPr>
    </w:p>
    <w:p w:rsidR="007028C7" w:rsidRPr="0010291C" w:rsidRDefault="007028C7" w:rsidP="007028C7">
      <w:pPr>
        <w:ind w:firstLine="708"/>
        <w:jc w:val="both"/>
      </w:pPr>
      <w:r w:rsidRPr="0010291C">
        <w:t xml:space="preserve">Az </w:t>
      </w:r>
      <w:proofErr w:type="spellStart"/>
      <w:r w:rsidRPr="0010291C">
        <w:t>Áhtmód</w:t>
      </w:r>
      <w:proofErr w:type="spellEnd"/>
      <w:r w:rsidRPr="0010291C">
        <w:t xml:space="preserve">. tv. </w:t>
      </w:r>
      <w:proofErr w:type="gramStart"/>
      <w:r w:rsidRPr="0010291C">
        <w:t>a</w:t>
      </w:r>
      <w:proofErr w:type="gramEnd"/>
      <w:r w:rsidRPr="0010291C">
        <w:t xml:space="preserve"> következő 9. §</w:t>
      </w:r>
      <w:proofErr w:type="spellStart"/>
      <w:r w:rsidRPr="0010291C">
        <w:t>-sal</w:t>
      </w:r>
      <w:proofErr w:type="spellEnd"/>
      <w:r w:rsidRPr="0010291C">
        <w:t xml:space="preserve"> egészül ki:</w:t>
      </w:r>
    </w:p>
    <w:p w:rsidR="007028C7" w:rsidRPr="0010291C" w:rsidRDefault="007028C7" w:rsidP="007028C7">
      <w:pPr>
        <w:jc w:val="both"/>
      </w:pPr>
    </w:p>
    <w:p w:rsidR="007028C7" w:rsidRPr="0010291C" w:rsidRDefault="007028C7" w:rsidP="007028C7">
      <w:pPr>
        <w:jc w:val="both"/>
      </w:pPr>
      <w:r w:rsidRPr="0010291C">
        <w:t xml:space="preserve">„9. § (1) Azt az e törvény szerinti közalapítványt, amely 2014. május 31. napján közhasznú jogállással rendelkezett, és a Civil törvény szerinti közhasznúsági nyilvántartásba vétel iránti kérelmét 2015. május 15. napjáig benyújtotta, közhasznú szervezetnek kell tekinteni, ha utóbb e kérelem alapján a bíróság a közhasznú jogállást megállapítja és azt a nyilvántartásba bejegyzi. </w:t>
      </w:r>
    </w:p>
    <w:p w:rsidR="007028C7" w:rsidRPr="0010291C" w:rsidRDefault="007028C7" w:rsidP="007028C7">
      <w:pPr>
        <w:jc w:val="both"/>
      </w:pPr>
    </w:p>
    <w:p w:rsidR="007028C7" w:rsidRPr="0010291C" w:rsidRDefault="007028C7" w:rsidP="007028C7">
      <w:pPr>
        <w:jc w:val="both"/>
      </w:pPr>
      <w:r w:rsidRPr="0010291C">
        <w:t xml:space="preserve">(2) Az (1) bekezdés alapján benyújtott kérelmek esetén a már folyamatban lévő </w:t>
      </w:r>
      <w:r>
        <w:t>–</w:t>
      </w:r>
      <w:r w:rsidRPr="0010291C">
        <w:t xml:space="preserve"> közhasznúsági jogállás elbírálásával kapcsolatos </w:t>
      </w:r>
      <w:r>
        <w:t>–</w:t>
      </w:r>
      <w:r w:rsidRPr="0010291C">
        <w:t xml:space="preserve"> eljárásokat </w:t>
      </w:r>
      <w:r>
        <w:t xml:space="preserve">az (1) bekezdésben foglalt kérelmek elbírálásáig </w:t>
      </w:r>
      <w:r w:rsidRPr="0010291C">
        <w:t>fel kell függeszteni. A közhasznú jogállás megállapítása esetén egyidejűleg rendelkezni kell a korábbi közhasznúsági kérelmet elutasító határozatok hatályon kívül helyezéséről és a korábban törölt közhasznúsági jogállásra vonatkozó bejegyzések módosításáról.</w:t>
      </w:r>
    </w:p>
    <w:p w:rsidR="007028C7" w:rsidRPr="0010291C" w:rsidRDefault="007028C7" w:rsidP="007028C7">
      <w:pPr>
        <w:jc w:val="both"/>
      </w:pPr>
    </w:p>
    <w:p w:rsidR="007028C7" w:rsidRPr="0010291C" w:rsidRDefault="007028C7" w:rsidP="007028C7">
      <w:pPr>
        <w:jc w:val="both"/>
      </w:pPr>
      <w:r w:rsidRPr="0010291C">
        <w:t>(3) Az (1) bekezdésben meghatározott kérelem benyújtására nyitva álló határidő elmulasztása esetén igazolási kérelem előterjesztésének nincs helye.</w:t>
      </w:r>
    </w:p>
    <w:p w:rsidR="007028C7" w:rsidRPr="0010291C" w:rsidRDefault="007028C7" w:rsidP="007028C7">
      <w:pPr>
        <w:jc w:val="both"/>
      </w:pPr>
    </w:p>
    <w:p w:rsidR="007028C7" w:rsidRPr="0010291C" w:rsidRDefault="007028C7" w:rsidP="007028C7">
      <w:pPr>
        <w:jc w:val="both"/>
      </w:pPr>
      <w:r w:rsidRPr="0010291C">
        <w:t>(4) Az (1) bekezdés szerinti közalapítvány 2014. június 1. és a közhasznúsági nyilvántartásba vétel napja között megkötött szerződéseit, nyújtott, illetve kapott adományait, támogatásait, megszerzett kedvezményeit közhasznú jogállással rendelkező szervezet által kötött szerződésnek, adománynak, támogatásnak, közhasznú jogállással rendelkező szervezet által megszerzett kedvezménynek kell tekinteni.</w:t>
      </w:r>
      <w:r w:rsidRPr="0010291C">
        <w:rPr>
          <w:bCs/>
        </w:rPr>
        <w:t>”</w:t>
      </w:r>
    </w:p>
    <w:p w:rsidR="007028C7" w:rsidRPr="00C73F7A" w:rsidRDefault="007028C7" w:rsidP="007028C7">
      <w:pPr>
        <w:jc w:val="both"/>
      </w:pPr>
    </w:p>
    <w:p w:rsidR="007028C7" w:rsidRPr="0010291C" w:rsidRDefault="007028C7" w:rsidP="007028C7">
      <w:pPr>
        <w:jc w:val="center"/>
        <w:rPr>
          <w:b/>
        </w:rPr>
      </w:pPr>
      <w:r>
        <w:rPr>
          <w:b/>
        </w:rPr>
        <w:t>15</w:t>
      </w:r>
      <w:r w:rsidRPr="0010291C">
        <w:rPr>
          <w:b/>
        </w:rPr>
        <w:t>. §</w:t>
      </w:r>
    </w:p>
    <w:p w:rsidR="007028C7" w:rsidRPr="0010291C" w:rsidRDefault="007028C7" w:rsidP="007028C7">
      <w:pPr>
        <w:jc w:val="both"/>
      </w:pPr>
    </w:p>
    <w:p w:rsidR="007028C7" w:rsidRDefault="007028C7" w:rsidP="007028C7">
      <w:pPr>
        <w:jc w:val="both"/>
      </w:pPr>
      <w:r>
        <w:t xml:space="preserve">Hatályát veszti az </w:t>
      </w:r>
      <w:proofErr w:type="spellStart"/>
      <w:r>
        <w:t>Áhtmód</w:t>
      </w:r>
      <w:proofErr w:type="spellEnd"/>
      <w:r>
        <w:t xml:space="preserve">. tv. </w:t>
      </w:r>
    </w:p>
    <w:p w:rsidR="007028C7" w:rsidRDefault="007028C7" w:rsidP="007028C7">
      <w:pPr>
        <w:ind w:firstLine="709"/>
        <w:jc w:val="both"/>
      </w:pPr>
    </w:p>
    <w:p w:rsidR="007028C7" w:rsidRDefault="007028C7" w:rsidP="007028C7">
      <w:pPr>
        <w:ind w:firstLine="709"/>
        <w:jc w:val="both"/>
      </w:pPr>
      <w:proofErr w:type="gramStart"/>
      <w:r>
        <w:rPr>
          <w:i/>
          <w:iCs/>
        </w:rPr>
        <w:t>a</w:t>
      </w:r>
      <w:proofErr w:type="gramEnd"/>
      <w:r>
        <w:rPr>
          <w:i/>
          <w:iCs/>
        </w:rPr>
        <w:t xml:space="preserve">) </w:t>
      </w:r>
      <w:r>
        <w:t>2. § (3) bekezdésében az „a gazdasági társaságokról szóló törvénynek”,</w:t>
      </w:r>
    </w:p>
    <w:p w:rsidR="007028C7" w:rsidRDefault="007028C7" w:rsidP="007028C7">
      <w:pPr>
        <w:ind w:firstLine="709"/>
        <w:jc w:val="both"/>
      </w:pPr>
      <w:r>
        <w:rPr>
          <w:i/>
          <w:iCs/>
        </w:rPr>
        <w:t xml:space="preserve">b) </w:t>
      </w:r>
      <w:r>
        <w:t>2. § (6) bekezdésében a „gazdasági társaságokról szóló törvényben foglaltak alapján és”</w:t>
      </w:r>
    </w:p>
    <w:p w:rsidR="007028C7" w:rsidRDefault="007028C7" w:rsidP="007028C7">
      <w:pPr>
        <w:ind w:firstLine="709"/>
        <w:jc w:val="both"/>
      </w:pPr>
    </w:p>
    <w:p w:rsidR="007028C7" w:rsidRDefault="007028C7" w:rsidP="007028C7">
      <w:pPr>
        <w:jc w:val="both"/>
      </w:pPr>
      <w:proofErr w:type="gramStart"/>
      <w:r>
        <w:t>szövegrész</w:t>
      </w:r>
      <w:proofErr w:type="gramEnd"/>
      <w:r>
        <w:t>.</w:t>
      </w:r>
    </w:p>
    <w:p w:rsidR="007028C7" w:rsidRPr="000A51C5" w:rsidRDefault="007028C7" w:rsidP="007028C7">
      <w:pPr>
        <w:jc w:val="both"/>
      </w:pPr>
    </w:p>
    <w:p w:rsidR="007028C7" w:rsidRDefault="007028C7" w:rsidP="007028C7">
      <w:pPr>
        <w:autoSpaceDE w:val="0"/>
        <w:autoSpaceDN w:val="0"/>
        <w:adjustRightInd w:val="0"/>
      </w:pPr>
    </w:p>
    <w:p w:rsidR="007028C7" w:rsidRDefault="007028C7" w:rsidP="007028C7">
      <w:pPr>
        <w:autoSpaceDE w:val="0"/>
        <w:autoSpaceDN w:val="0"/>
        <w:adjustRightInd w:val="0"/>
        <w:jc w:val="center"/>
        <w:rPr>
          <w:i/>
          <w:iCs/>
        </w:rPr>
      </w:pPr>
      <w:r>
        <w:rPr>
          <w:i/>
          <w:iCs/>
        </w:rPr>
        <w:t>4. A</w:t>
      </w:r>
      <w:r w:rsidRPr="007E55F1">
        <w:rPr>
          <w:i/>
          <w:iCs/>
        </w:rPr>
        <w:t xml:space="preserve"> hozzátartozók közötti erőszak miatt alkalmazható távoltartásról szóló</w:t>
      </w:r>
      <w:r>
        <w:rPr>
          <w:i/>
          <w:iCs/>
        </w:rPr>
        <w:t xml:space="preserve"> </w:t>
      </w:r>
      <w:r w:rsidRPr="007E55F1">
        <w:rPr>
          <w:i/>
          <w:iCs/>
        </w:rPr>
        <w:t>2009. évi LXXII. törvény módosítása</w:t>
      </w:r>
    </w:p>
    <w:p w:rsidR="007028C7" w:rsidRDefault="007028C7" w:rsidP="007028C7">
      <w:pPr>
        <w:autoSpaceDE w:val="0"/>
        <w:autoSpaceDN w:val="0"/>
        <w:adjustRightInd w:val="0"/>
        <w:jc w:val="center"/>
        <w:rPr>
          <w:iCs/>
        </w:rPr>
      </w:pPr>
    </w:p>
    <w:p w:rsidR="007028C7" w:rsidRDefault="007028C7" w:rsidP="007028C7">
      <w:pPr>
        <w:autoSpaceDE w:val="0"/>
        <w:autoSpaceDN w:val="0"/>
        <w:adjustRightInd w:val="0"/>
        <w:jc w:val="center"/>
        <w:rPr>
          <w:b/>
          <w:iCs/>
        </w:rPr>
      </w:pPr>
      <w:r>
        <w:rPr>
          <w:b/>
          <w:iCs/>
        </w:rPr>
        <w:t>16. §</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ind w:firstLine="708"/>
        <w:jc w:val="both"/>
        <w:rPr>
          <w:iCs/>
        </w:rPr>
      </w:pPr>
      <w:r>
        <w:rPr>
          <w:iCs/>
        </w:rPr>
        <w:t xml:space="preserve">A </w:t>
      </w:r>
      <w:r w:rsidRPr="007E55F1">
        <w:rPr>
          <w:iCs/>
        </w:rPr>
        <w:t>hozzátartozók közötti erőszak miatt alkalmazható távoltartásról</w:t>
      </w:r>
      <w:r w:rsidRPr="003175FD">
        <w:rPr>
          <w:iCs/>
        </w:rPr>
        <w:t xml:space="preserve"> szóló</w:t>
      </w:r>
      <w:r>
        <w:rPr>
          <w:iCs/>
        </w:rPr>
        <w:t xml:space="preserve"> </w:t>
      </w:r>
      <w:r w:rsidRPr="007E55F1">
        <w:rPr>
          <w:iCs/>
        </w:rPr>
        <w:t>2009. évi LXXII. törvény</w:t>
      </w:r>
      <w:r>
        <w:rPr>
          <w:iCs/>
        </w:rPr>
        <w:t xml:space="preserve"> (a továbbiakban: </w:t>
      </w:r>
      <w:proofErr w:type="spellStart"/>
      <w:r>
        <w:rPr>
          <w:iCs/>
        </w:rPr>
        <w:t>Hettv</w:t>
      </w:r>
      <w:proofErr w:type="spellEnd"/>
      <w:r>
        <w:rPr>
          <w:iCs/>
        </w:rPr>
        <w:t>.) 1. §</w:t>
      </w:r>
      <w:proofErr w:type="spellStart"/>
      <w:r>
        <w:rPr>
          <w:iCs/>
        </w:rPr>
        <w:t>-</w:t>
      </w:r>
      <w:proofErr w:type="gramStart"/>
      <w:r>
        <w:rPr>
          <w:iCs/>
        </w:rPr>
        <w:t>a</w:t>
      </w:r>
      <w:proofErr w:type="spellEnd"/>
      <w:proofErr w:type="gramEnd"/>
      <w:r>
        <w:rPr>
          <w:iCs/>
        </w:rPr>
        <w:t xml:space="preserve"> a következő (3a) bekezdéssel egészül ki:</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jc w:val="both"/>
      </w:pPr>
      <w:r>
        <w:rPr>
          <w:iCs/>
        </w:rPr>
        <w:t xml:space="preserve">„(3a) </w:t>
      </w:r>
      <w:r>
        <w:t xml:space="preserve">Az Európai Unió valamely tagállamában elrendelt védelmi intézkedésnek a 606/2013/EU európai parlamenti és tanácsi rendelet </w:t>
      </w:r>
      <w:proofErr w:type="gramStart"/>
      <w:r>
        <w:t>alapján</w:t>
      </w:r>
      <w:proofErr w:type="gramEnd"/>
      <w:r>
        <w:t xml:space="preserve"> Magyarországon történő elismerése és végrehajtása iránti eljárásban a (2) bekezdésben foglalt bántalmazotton a rendelet szerinti védett személyt, a (3) bekezdés szerinti bántalmazón a rendelet szerinti veszélyeztető személyt is érteni kell.”</w:t>
      </w:r>
    </w:p>
    <w:p w:rsidR="007028C7" w:rsidRDefault="007028C7" w:rsidP="007028C7">
      <w:pPr>
        <w:autoSpaceDE w:val="0"/>
        <w:autoSpaceDN w:val="0"/>
        <w:adjustRightInd w:val="0"/>
        <w:jc w:val="both"/>
      </w:pPr>
    </w:p>
    <w:p w:rsidR="00F90605" w:rsidRDefault="00F90605" w:rsidP="007028C7">
      <w:pPr>
        <w:autoSpaceDE w:val="0"/>
        <w:autoSpaceDN w:val="0"/>
        <w:adjustRightInd w:val="0"/>
        <w:jc w:val="both"/>
      </w:pPr>
    </w:p>
    <w:p w:rsidR="00F90605" w:rsidRDefault="00F90605" w:rsidP="007028C7">
      <w:pPr>
        <w:autoSpaceDE w:val="0"/>
        <w:autoSpaceDN w:val="0"/>
        <w:adjustRightInd w:val="0"/>
        <w:jc w:val="both"/>
      </w:pPr>
    </w:p>
    <w:p w:rsidR="007028C7" w:rsidRDefault="007028C7" w:rsidP="007028C7">
      <w:pPr>
        <w:autoSpaceDE w:val="0"/>
        <w:autoSpaceDN w:val="0"/>
        <w:adjustRightInd w:val="0"/>
        <w:jc w:val="center"/>
        <w:rPr>
          <w:b/>
          <w:iCs/>
        </w:rPr>
      </w:pPr>
      <w:r>
        <w:rPr>
          <w:b/>
          <w:iCs/>
        </w:rPr>
        <w:lastRenderedPageBreak/>
        <w:t>17. §</w:t>
      </w:r>
    </w:p>
    <w:p w:rsidR="007028C7" w:rsidRDefault="007028C7" w:rsidP="007028C7">
      <w:pPr>
        <w:autoSpaceDE w:val="0"/>
        <w:autoSpaceDN w:val="0"/>
        <w:adjustRightInd w:val="0"/>
        <w:jc w:val="both"/>
      </w:pPr>
    </w:p>
    <w:p w:rsidR="007028C7" w:rsidRDefault="007028C7" w:rsidP="007028C7">
      <w:pPr>
        <w:autoSpaceDE w:val="0"/>
        <w:autoSpaceDN w:val="0"/>
        <w:adjustRightInd w:val="0"/>
        <w:ind w:firstLine="708"/>
        <w:jc w:val="both"/>
        <w:rPr>
          <w:iCs/>
        </w:rPr>
      </w:pPr>
      <w:r>
        <w:rPr>
          <w:iCs/>
        </w:rPr>
        <w:t xml:space="preserve">A </w:t>
      </w:r>
      <w:proofErr w:type="spellStart"/>
      <w:r>
        <w:rPr>
          <w:iCs/>
        </w:rPr>
        <w:t>Hettv</w:t>
      </w:r>
      <w:proofErr w:type="spellEnd"/>
      <w:r>
        <w:rPr>
          <w:iCs/>
        </w:rPr>
        <w:t>. 6. §</w:t>
      </w:r>
      <w:proofErr w:type="spellStart"/>
      <w:r>
        <w:rPr>
          <w:iCs/>
        </w:rPr>
        <w:t>-</w:t>
      </w:r>
      <w:proofErr w:type="gramStart"/>
      <w:r>
        <w:rPr>
          <w:iCs/>
        </w:rPr>
        <w:t>a</w:t>
      </w:r>
      <w:proofErr w:type="spellEnd"/>
      <w:proofErr w:type="gramEnd"/>
      <w:r>
        <w:rPr>
          <w:iCs/>
        </w:rPr>
        <w:t xml:space="preserve"> a következő (5) bekezdéssel egészül ki:</w:t>
      </w:r>
    </w:p>
    <w:p w:rsidR="007028C7" w:rsidRDefault="007028C7" w:rsidP="007028C7">
      <w:pPr>
        <w:autoSpaceDE w:val="0"/>
        <w:autoSpaceDN w:val="0"/>
        <w:adjustRightInd w:val="0"/>
        <w:ind w:firstLine="1416"/>
        <w:jc w:val="both"/>
        <w:rPr>
          <w:bCs/>
        </w:rPr>
      </w:pPr>
    </w:p>
    <w:p w:rsidR="007028C7" w:rsidRDefault="007028C7" w:rsidP="007028C7">
      <w:pPr>
        <w:autoSpaceDE w:val="0"/>
        <w:autoSpaceDN w:val="0"/>
        <w:adjustRightInd w:val="0"/>
        <w:jc w:val="both"/>
      </w:pPr>
      <w:r>
        <w:rPr>
          <w:bCs/>
        </w:rPr>
        <w:t>„(5)</w:t>
      </w:r>
      <w:r>
        <w:rPr>
          <w:b/>
          <w:bCs/>
        </w:rPr>
        <w:t xml:space="preserve"> </w:t>
      </w:r>
      <w:r>
        <w:t>A rendőrség a bántalmazott kérelmére a 606/2013/EU európai parlamenti és tanácsi rendelet 5. cikke szerinti tanúsítványt (a továbbiakban: védelmi tanúsítvány) állít ki.”</w:t>
      </w:r>
    </w:p>
    <w:p w:rsidR="007028C7" w:rsidRDefault="007028C7" w:rsidP="007028C7">
      <w:pPr>
        <w:autoSpaceDE w:val="0"/>
        <w:autoSpaceDN w:val="0"/>
        <w:adjustRightInd w:val="0"/>
        <w:jc w:val="both"/>
      </w:pPr>
    </w:p>
    <w:p w:rsidR="007028C7" w:rsidRDefault="007028C7" w:rsidP="007028C7">
      <w:pPr>
        <w:autoSpaceDE w:val="0"/>
        <w:autoSpaceDN w:val="0"/>
        <w:adjustRightInd w:val="0"/>
        <w:jc w:val="center"/>
        <w:rPr>
          <w:b/>
          <w:iCs/>
        </w:rPr>
      </w:pPr>
      <w:r>
        <w:rPr>
          <w:b/>
          <w:iCs/>
        </w:rPr>
        <w:t>18. §</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ind w:firstLine="708"/>
        <w:jc w:val="both"/>
      </w:pPr>
      <w:r>
        <w:rPr>
          <w:iCs/>
        </w:rPr>
        <w:t xml:space="preserve">A </w:t>
      </w:r>
      <w:proofErr w:type="spellStart"/>
      <w:r>
        <w:rPr>
          <w:iCs/>
        </w:rPr>
        <w:t>Hettv</w:t>
      </w:r>
      <w:proofErr w:type="spellEnd"/>
      <w:r>
        <w:rPr>
          <w:iCs/>
        </w:rPr>
        <w:t>. 7. §</w:t>
      </w:r>
      <w:proofErr w:type="spellStart"/>
      <w:r>
        <w:rPr>
          <w:iCs/>
        </w:rPr>
        <w:t>-</w:t>
      </w:r>
      <w:proofErr w:type="gramStart"/>
      <w:r>
        <w:rPr>
          <w:iCs/>
        </w:rPr>
        <w:t>a</w:t>
      </w:r>
      <w:proofErr w:type="spellEnd"/>
      <w:proofErr w:type="gramEnd"/>
      <w:r>
        <w:rPr>
          <w:iCs/>
        </w:rPr>
        <w:t xml:space="preserve"> a következő (1a) bekezdéssel egészül ki: </w:t>
      </w:r>
    </w:p>
    <w:p w:rsidR="007028C7" w:rsidRPr="00AD04A7" w:rsidRDefault="007028C7" w:rsidP="007028C7">
      <w:pPr>
        <w:autoSpaceDE w:val="0"/>
        <w:autoSpaceDN w:val="0"/>
        <w:adjustRightInd w:val="0"/>
        <w:jc w:val="both"/>
        <w:rPr>
          <w:iCs/>
        </w:rPr>
      </w:pPr>
    </w:p>
    <w:p w:rsidR="007028C7" w:rsidRDefault="007028C7" w:rsidP="007028C7">
      <w:pPr>
        <w:autoSpaceDE w:val="0"/>
        <w:autoSpaceDN w:val="0"/>
        <w:adjustRightInd w:val="0"/>
        <w:jc w:val="both"/>
        <w:rPr>
          <w:rFonts w:eastAsia="Calibri"/>
          <w:lang w:eastAsia="en-US"/>
        </w:rPr>
      </w:pPr>
      <w:r>
        <w:rPr>
          <w:bCs/>
        </w:rPr>
        <w:t>„(1a)</w:t>
      </w:r>
      <w:r>
        <w:rPr>
          <w:b/>
          <w:bCs/>
        </w:rPr>
        <w:t xml:space="preserve"> </w:t>
      </w:r>
      <w:r>
        <w:t xml:space="preserve">A rendőrség a védelmi tanúsítványt helyszíni eljárás </w:t>
      </w:r>
      <w:proofErr w:type="gramStart"/>
      <w:r>
        <w:t>esetén</w:t>
      </w:r>
      <w:proofErr w:type="gramEnd"/>
      <w:r>
        <w:t xml:space="preserve"> a helyszínen, vagy ha annak feltételei nem adottak, a helyszíni eljárás időpontjától számított legkésőbb 12 órán belül állítja ki. </w:t>
      </w:r>
      <w:r w:rsidRPr="00281A69">
        <w:rPr>
          <w:rFonts w:eastAsia="Calibri"/>
          <w:lang w:eastAsia="en-US"/>
        </w:rPr>
        <w:t>Ha a rendőrség az eljárása során a bántalmazóval szemben az előállítás rendőri intézkedést alkalmazza, a rendőrség a tanúsítványt az ideiglenes megelőző távoltartásról szóló határozat meghozatalával egyidejűleg állítja ki.”</w:t>
      </w:r>
    </w:p>
    <w:p w:rsidR="00F90605" w:rsidRPr="0012601A" w:rsidRDefault="00F90605" w:rsidP="007028C7">
      <w:pPr>
        <w:autoSpaceDE w:val="0"/>
        <w:autoSpaceDN w:val="0"/>
        <w:adjustRightInd w:val="0"/>
        <w:jc w:val="both"/>
      </w:pPr>
    </w:p>
    <w:p w:rsidR="007028C7" w:rsidRDefault="007028C7" w:rsidP="007028C7">
      <w:pPr>
        <w:autoSpaceDE w:val="0"/>
        <w:autoSpaceDN w:val="0"/>
        <w:adjustRightInd w:val="0"/>
        <w:jc w:val="center"/>
        <w:rPr>
          <w:b/>
          <w:iCs/>
        </w:rPr>
      </w:pPr>
      <w:r>
        <w:rPr>
          <w:b/>
          <w:iCs/>
        </w:rPr>
        <w:t>19. §</w:t>
      </w:r>
    </w:p>
    <w:p w:rsidR="007028C7" w:rsidRPr="00281A69" w:rsidRDefault="007028C7" w:rsidP="007028C7">
      <w:pPr>
        <w:autoSpaceDE w:val="0"/>
        <w:autoSpaceDN w:val="0"/>
        <w:adjustRightInd w:val="0"/>
        <w:jc w:val="both"/>
        <w:rPr>
          <w:rFonts w:eastAsia="Calibri"/>
          <w:lang w:eastAsia="en-US"/>
        </w:rPr>
      </w:pPr>
    </w:p>
    <w:p w:rsidR="007028C7" w:rsidRDefault="007028C7" w:rsidP="007028C7">
      <w:pPr>
        <w:autoSpaceDE w:val="0"/>
        <w:autoSpaceDN w:val="0"/>
        <w:adjustRightInd w:val="0"/>
        <w:ind w:firstLine="708"/>
        <w:jc w:val="both"/>
        <w:rPr>
          <w:bCs/>
        </w:rPr>
      </w:pPr>
      <w:r>
        <w:rPr>
          <w:iCs/>
        </w:rPr>
        <w:t xml:space="preserve">A </w:t>
      </w:r>
      <w:proofErr w:type="spellStart"/>
      <w:r>
        <w:rPr>
          <w:iCs/>
        </w:rPr>
        <w:t>Hettv</w:t>
      </w:r>
      <w:proofErr w:type="spellEnd"/>
      <w:r>
        <w:rPr>
          <w:iCs/>
        </w:rPr>
        <w:t>. 9. §</w:t>
      </w:r>
      <w:proofErr w:type="spellStart"/>
      <w:r>
        <w:rPr>
          <w:iCs/>
        </w:rPr>
        <w:t>-</w:t>
      </w:r>
      <w:proofErr w:type="gramStart"/>
      <w:r>
        <w:rPr>
          <w:iCs/>
        </w:rPr>
        <w:t>a</w:t>
      </w:r>
      <w:proofErr w:type="spellEnd"/>
      <w:proofErr w:type="gramEnd"/>
      <w:r>
        <w:rPr>
          <w:iCs/>
        </w:rPr>
        <w:t xml:space="preserve"> a következő (2a) bekezdéssel egészül ki: </w:t>
      </w:r>
    </w:p>
    <w:p w:rsidR="007028C7" w:rsidRDefault="007028C7" w:rsidP="007028C7">
      <w:pPr>
        <w:autoSpaceDE w:val="0"/>
        <w:autoSpaceDN w:val="0"/>
        <w:adjustRightInd w:val="0"/>
        <w:ind w:firstLine="709"/>
        <w:jc w:val="both"/>
        <w:rPr>
          <w:bCs/>
        </w:rPr>
      </w:pPr>
    </w:p>
    <w:p w:rsidR="007028C7" w:rsidRDefault="007028C7" w:rsidP="007028C7">
      <w:pPr>
        <w:autoSpaceDE w:val="0"/>
        <w:autoSpaceDN w:val="0"/>
        <w:adjustRightInd w:val="0"/>
        <w:jc w:val="both"/>
      </w:pPr>
      <w:r>
        <w:rPr>
          <w:bCs/>
        </w:rPr>
        <w:t>„(2a)</w:t>
      </w:r>
      <w:r>
        <w:rPr>
          <w:b/>
          <w:bCs/>
        </w:rPr>
        <w:t xml:space="preserve"> </w:t>
      </w:r>
      <w:proofErr w:type="gramStart"/>
      <w:r>
        <w:t>A</w:t>
      </w:r>
      <w:proofErr w:type="gramEnd"/>
      <w:r>
        <w:t xml:space="preserve"> rendőrség a bántalmazottal a védelmi tanúsítványt, a bántalmazóval a védelmi tanúsítványról szóló értesítést az (1) és (2) bekezdésben foglaltak szerint közli.”</w:t>
      </w:r>
    </w:p>
    <w:p w:rsidR="007028C7" w:rsidRPr="00281A69" w:rsidRDefault="007028C7" w:rsidP="007028C7">
      <w:pPr>
        <w:autoSpaceDE w:val="0"/>
        <w:autoSpaceDN w:val="0"/>
        <w:adjustRightInd w:val="0"/>
        <w:jc w:val="both"/>
        <w:rPr>
          <w:rFonts w:eastAsia="Calibri"/>
          <w:lang w:eastAsia="en-US"/>
        </w:rPr>
      </w:pPr>
    </w:p>
    <w:p w:rsidR="007028C7" w:rsidRDefault="007028C7" w:rsidP="007028C7">
      <w:pPr>
        <w:autoSpaceDE w:val="0"/>
        <w:autoSpaceDN w:val="0"/>
        <w:adjustRightInd w:val="0"/>
        <w:jc w:val="center"/>
        <w:rPr>
          <w:b/>
          <w:iCs/>
        </w:rPr>
      </w:pPr>
      <w:r>
        <w:rPr>
          <w:b/>
          <w:iCs/>
        </w:rPr>
        <w:t>20. §</w:t>
      </w:r>
    </w:p>
    <w:p w:rsidR="007028C7" w:rsidRPr="00281A69" w:rsidRDefault="007028C7" w:rsidP="007028C7">
      <w:pPr>
        <w:autoSpaceDE w:val="0"/>
        <w:autoSpaceDN w:val="0"/>
        <w:adjustRightInd w:val="0"/>
        <w:jc w:val="both"/>
        <w:rPr>
          <w:rFonts w:eastAsia="Calibri"/>
          <w:lang w:eastAsia="en-US"/>
        </w:rPr>
      </w:pPr>
    </w:p>
    <w:p w:rsidR="007028C7" w:rsidRPr="009B0D51" w:rsidRDefault="007028C7" w:rsidP="007028C7">
      <w:pPr>
        <w:autoSpaceDE w:val="0"/>
        <w:autoSpaceDN w:val="0"/>
        <w:adjustRightInd w:val="0"/>
        <w:ind w:firstLine="708"/>
        <w:jc w:val="both"/>
      </w:pPr>
      <w:r>
        <w:t xml:space="preserve">A </w:t>
      </w:r>
      <w:proofErr w:type="spellStart"/>
      <w:r>
        <w:t>Hettv</w:t>
      </w:r>
      <w:proofErr w:type="spellEnd"/>
      <w:r>
        <w:t xml:space="preserve">. </w:t>
      </w:r>
      <w:r w:rsidRPr="009B0D51">
        <w:t>12. §</w:t>
      </w:r>
      <w:proofErr w:type="spellStart"/>
      <w:r w:rsidRPr="009B0D51">
        <w:t>-</w:t>
      </w:r>
      <w:proofErr w:type="gramStart"/>
      <w:r w:rsidRPr="009B0D51">
        <w:t>a</w:t>
      </w:r>
      <w:proofErr w:type="spellEnd"/>
      <w:proofErr w:type="gramEnd"/>
      <w:r w:rsidRPr="009B0D51">
        <w:t xml:space="preserve"> a következő (7) </w:t>
      </w:r>
      <w:r>
        <w:t xml:space="preserve">és (8) </w:t>
      </w:r>
      <w:r w:rsidRPr="009B0D51">
        <w:t>bekezdéssel egészül ki:</w:t>
      </w:r>
    </w:p>
    <w:p w:rsidR="007028C7" w:rsidRPr="009B0D51" w:rsidRDefault="007028C7" w:rsidP="007028C7">
      <w:pPr>
        <w:autoSpaceDE w:val="0"/>
        <w:autoSpaceDN w:val="0"/>
        <w:adjustRightInd w:val="0"/>
        <w:ind w:firstLine="709"/>
        <w:jc w:val="both"/>
      </w:pPr>
    </w:p>
    <w:p w:rsidR="007028C7" w:rsidRDefault="007028C7" w:rsidP="007028C7">
      <w:pPr>
        <w:autoSpaceDE w:val="0"/>
        <w:autoSpaceDN w:val="0"/>
        <w:adjustRightInd w:val="0"/>
        <w:jc w:val="both"/>
        <w:rPr>
          <w:bCs/>
        </w:rPr>
      </w:pPr>
      <w:r w:rsidRPr="009B0D51">
        <w:t>„(</w:t>
      </w:r>
      <w:r>
        <w:t>7</w:t>
      </w:r>
      <w:r w:rsidRPr="009B0D51">
        <w:t>)</w:t>
      </w:r>
      <w:r>
        <w:t xml:space="preserve"> </w:t>
      </w:r>
      <w:r>
        <w:rPr>
          <w:bCs/>
        </w:rPr>
        <w:t>Ha a bántalmazott részére a rendőrség az ideiglenes megelőző távoltartásról szóló határozata alapján védelmi tanúsítványt állított ki, a bántalmazott, illetve a bántalmazó erre irányuló kérelmére</w:t>
      </w:r>
    </w:p>
    <w:p w:rsidR="007028C7" w:rsidRDefault="007028C7" w:rsidP="007028C7">
      <w:pPr>
        <w:autoSpaceDE w:val="0"/>
        <w:autoSpaceDN w:val="0"/>
        <w:adjustRightInd w:val="0"/>
        <w:jc w:val="both"/>
        <w:rPr>
          <w:bCs/>
        </w:rPr>
      </w:pPr>
    </w:p>
    <w:p w:rsidR="007028C7" w:rsidRDefault="007028C7" w:rsidP="007028C7">
      <w:pPr>
        <w:autoSpaceDE w:val="0"/>
        <w:autoSpaceDN w:val="0"/>
        <w:adjustRightInd w:val="0"/>
        <w:jc w:val="both"/>
        <w:rPr>
          <w:bCs/>
        </w:rPr>
      </w:pPr>
      <w:proofErr w:type="gramStart"/>
      <w:r w:rsidRPr="001E437E">
        <w:rPr>
          <w:bCs/>
          <w:i/>
        </w:rPr>
        <w:t>a</w:t>
      </w:r>
      <w:proofErr w:type="gramEnd"/>
      <w:r w:rsidRPr="001E437E">
        <w:rPr>
          <w:bCs/>
          <w:i/>
        </w:rPr>
        <w:t>)</w:t>
      </w:r>
      <w:r>
        <w:rPr>
          <w:bCs/>
        </w:rPr>
        <w:t xml:space="preserve"> </w:t>
      </w:r>
      <w:proofErr w:type="spellStart"/>
      <w:r>
        <w:t>a</w:t>
      </w:r>
      <w:proofErr w:type="spellEnd"/>
      <w:r>
        <w:t xml:space="preserve"> védelmi tanúsítvány saját hatáskörben való kijavítása, kiegészítése vagy visszavonása esetén ennek </w:t>
      </w:r>
      <w:proofErr w:type="spellStart"/>
      <w:r>
        <w:t>tényéről</w:t>
      </w:r>
      <w:proofErr w:type="spellEnd"/>
      <w:r>
        <w:t>,</w:t>
      </w:r>
    </w:p>
    <w:p w:rsidR="007028C7" w:rsidRDefault="007028C7" w:rsidP="007028C7">
      <w:pPr>
        <w:autoSpaceDE w:val="0"/>
        <w:autoSpaceDN w:val="0"/>
        <w:adjustRightInd w:val="0"/>
        <w:jc w:val="both"/>
        <w:rPr>
          <w:bCs/>
        </w:rPr>
      </w:pPr>
      <w:r w:rsidRPr="001E437E">
        <w:rPr>
          <w:bCs/>
          <w:i/>
        </w:rPr>
        <w:t>b)</w:t>
      </w:r>
      <w:r>
        <w:rPr>
          <w:bCs/>
        </w:rPr>
        <w:t xml:space="preserve"> a (3) bekezdésben foglalt esetben a végrehajtás felfüggesztésének </w:t>
      </w:r>
      <w:proofErr w:type="spellStart"/>
      <w:r>
        <w:rPr>
          <w:bCs/>
        </w:rPr>
        <w:t>tényéről</w:t>
      </w:r>
      <w:proofErr w:type="spellEnd"/>
      <w:r>
        <w:rPr>
          <w:bCs/>
        </w:rPr>
        <w:t>,</w:t>
      </w:r>
    </w:p>
    <w:p w:rsidR="007028C7" w:rsidRDefault="007028C7" w:rsidP="007028C7">
      <w:pPr>
        <w:autoSpaceDE w:val="0"/>
        <w:autoSpaceDN w:val="0"/>
        <w:adjustRightInd w:val="0"/>
        <w:jc w:val="both"/>
        <w:rPr>
          <w:bCs/>
        </w:rPr>
      </w:pPr>
      <w:r w:rsidRPr="001E437E">
        <w:rPr>
          <w:bCs/>
          <w:i/>
        </w:rPr>
        <w:t>c)</w:t>
      </w:r>
      <w:r>
        <w:rPr>
          <w:bCs/>
        </w:rPr>
        <w:t xml:space="preserve"> az (5) bekezdésben foglalt esetben az ideiglenes megelőző távoltartás megváltozásáról, </w:t>
      </w:r>
    </w:p>
    <w:p w:rsidR="007028C7" w:rsidRDefault="007028C7" w:rsidP="007028C7">
      <w:pPr>
        <w:autoSpaceDE w:val="0"/>
        <w:autoSpaceDN w:val="0"/>
        <w:adjustRightInd w:val="0"/>
        <w:jc w:val="both"/>
        <w:rPr>
          <w:bCs/>
        </w:rPr>
      </w:pPr>
      <w:r w:rsidRPr="001E437E">
        <w:rPr>
          <w:bCs/>
          <w:i/>
        </w:rPr>
        <w:t>d)</w:t>
      </w:r>
      <w:r>
        <w:rPr>
          <w:bCs/>
        </w:rPr>
        <w:t xml:space="preserve"> a 16. § (4) és (5) bekezdésben meghatározott esetben az ideiglenes megelőző távoltartás hatályának megszűnéséről</w:t>
      </w:r>
    </w:p>
    <w:p w:rsidR="007028C7" w:rsidRDefault="007028C7" w:rsidP="007028C7">
      <w:pPr>
        <w:autoSpaceDE w:val="0"/>
        <w:autoSpaceDN w:val="0"/>
        <w:adjustRightInd w:val="0"/>
        <w:jc w:val="both"/>
        <w:rPr>
          <w:bCs/>
        </w:rPr>
      </w:pPr>
    </w:p>
    <w:p w:rsidR="007028C7" w:rsidRPr="00281A69" w:rsidRDefault="007028C7" w:rsidP="007028C7">
      <w:pPr>
        <w:autoSpaceDE w:val="0"/>
        <w:autoSpaceDN w:val="0"/>
        <w:adjustRightInd w:val="0"/>
        <w:jc w:val="both"/>
        <w:rPr>
          <w:rFonts w:eastAsia="Calibri"/>
          <w:lang w:eastAsia="en-US"/>
        </w:rPr>
      </w:pPr>
      <w:proofErr w:type="gramStart"/>
      <w:r>
        <w:t>a</w:t>
      </w:r>
      <w:proofErr w:type="gramEnd"/>
      <w:r>
        <w:t xml:space="preserve"> 606/2013/EU európai parlamenti és tanácsi rendelet 14. cikke szerinti tanúsítványt</w:t>
      </w:r>
      <w:r>
        <w:rPr>
          <w:bCs/>
        </w:rPr>
        <w:t xml:space="preserve"> állít ki.</w:t>
      </w:r>
    </w:p>
    <w:p w:rsidR="007028C7" w:rsidRDefault="007028C7" w:rsidP="007028C7">
      <w:pPr>
        <w:autoSpaceDE w:val="0"/>
        <w:autoSpaceDN w:val="0"/>
        <w:adjustRightInd w:val="0"/>
        <w:jc w:val="both"/>
      </w:pPr>
    </w:p>
    <w:p w:rsidR="007028C7" w:rsidRDefault="007028C7" w:rsidP="007028C7">
      <w:pPr>
        <w:autoSpaceDE w:val="0"/>
        <w:autoSpaceDN w:val="0"/>
        <w:adjustRightInd w:val="0"/>
        <w:jc w:val="both"/>
      </w:pPr>
      <w:r>
        <w:t>(8) A (7) bekezdés szerinti tanúsítványt szóban előterjesztett kérelem esetén azonnal, írásbeli kérelem esetén a kérelem beérkezésétől számított 12 órán belül kell kiállítani.”</w:t>
      </w:r>
    </w:p>
    <w:p w:rsidR="007028C7" w:rsidRDefault="007028C7" w:rsidP="007028C7">
      <w:pPr>
        <w:autoSpaceDE w:val="0"/>
        <w:autoSpaceDN w:val="0"/>
        <w:adjustRightInd w:val="0"/>
        <w:jc w:val="both"/>
      </w:pPr>
    </w:p>
    <w:p w:rsidR="007028C7" w:rsidRDefault="007028C7" w:rsidP="007028C7">
      <w:pPr>
        <w:autoSpaceDE w:val="0"/>
        <w:autoSpaceDN w:val="0"/>
        <w:adjustRightInd w:val="0"/>
        <w:jc w:val="center"/>
        <w:rPr>
          <w:b/>
          <w:iCs/>
        </w:rPr>
      </w:pPr>
      <w:r>
        <w:rPr>
          <w:b/>
          <w:iCs/>
        </w:rPr>
        <w:t>21. §</w:t>
      </w:r>
    </w:p>
    <w:p w:rsidR="007028C7" w:rsidRPr="009B0D51" w:rsidRDefault="007028C7" w:rsidP="007028C7">
      <w:pPr>
        <w:autoSpaceDE w:val="0"/>
        <w:autoSpaceDN w:val="0"/>
        <w:adjustRightInd w:val="0"/>
        <w:jc w:val="both"/>
      </w:pPr>
    </w:p>
    <w:p w:rsidR="007028C7" w:rsidRDefault="007028C7" w:rsidP="007028C7">
      <w:pPr>
        <w:autoSpaceDE w:val="0"/>
        <w:autoSpaceDN w:val="0"/>
        <w:adjustRightInd w:val="0"/>
        <w:ind w:firstLine="708"/>
        <w:jc w:val="both"/>
        <w:rPr>
          <w:bCs/>
        </w:rPr>
      </w:pPr>
      <w:r>
        <w:rPr>
          <w:iCs/>
        </w:rPr>
        <w:t xml:space="preserve">A </w:t>
      </w:r>
      <w:proofErr w:type="spellStart"/>
      <w:r>
        <w:rPr>
          <w:iCs/>
        </w:rPr>
        <w:t>Hettv</w:t>
      </w:r>
      <w:proofErr w:type="spellEnd"/>
      <w:r>
        <w:rPr>
          <w:iCs/>
        </w:rPr>
        <w:t>. 14. §</w:t>
      </w:r>
      <w:proofErr w:type="spellStart"/>
      <w:r>
        <w:rPr>
          <w:iCs/>
        </w:rPr>
        <w:t>-</w:t>
      </w:r>
      <w:proofErr w:type="gramStart"/>
      <w:r>
        <w:rPr>
          <w:iCs/>
        </w:rPr>
        <w:t>a</w:t>
      </w:r>
      <w:proofErr w:type="spellEnd"/>
      <w:proofErr w:type="gramEnd"/>
      <w:r>
        <w:rPr>
          <w:iCs/>
        </w:rPr>
        <w:t xml:space="preserve"> a következő (3a) bekezdéssel egészül ki: </w:t>
      </w:r>
    </w:p>
    <w:p w:rsidR="007028C7" w:rsidRDefault="007028C7" w:rsidP="007028C7">
      <w:pPr>
        <w:autoSpaceDE w:val="0"/>
        <w:autoSpaceDN w:val="0"/>
        <w:adjustRightInd w:val="0"/>
        <w:ind w:firstLine="709"/>
        <w:jc w:val="both"/>
        <w:rPr>
          <w:bCs/>
        </w:rPr>
      </w:pPr>
    </w:p>
    <w:p w:rsidR="007028C7" w:rsidRDefault="007028C7" w:rsidP="007028C7">
      <w:pPr>
        <w:autoSpaceDE w:val="0"/>
        <w:autoSpaceDN w:val="0"/>
        <w:adjustRightInd w:val="0"/>
        <w:jc w:val="both"/>
      </w:pPr>
      <w:r>
        <w:rPr>
          <w:bCs/>
        </w:rPr>
        <w:t>„(3a) Ha a bántalmazott védelmi tanúsítvány kiállítását is kéri, a (3) bekezdés szerinti kérelemben erről nyilatkozni kell.</w:t>
      </w:r>
      <w:r>
        <w:t>”</w:t>
      </w:r>
    </w:p>
    <w:p w:rsidR="007028C7" w:rsidRDefault="007028C7" w:rsidP="007028C7">
      <w:pPr>
        <w:autoSpaceDE w:val="0"/>
        <w:autoSpaceDN w:val="0"/>
        <w:adjustRightInd w:val="0"/>
        <w:ind w:firstLine="709"/>
        <w:jc w:val="both"/>
      </w:pPr>
    </w:p>
    <w:p w:rsidR="007028C7" w:rsidRDefault="007028C7" w:rsidP="007028C7">
      <w:pPr>
        <w:autoSpaceDE w:val="0"/>
        <w:autoSpaceDN w:val="0"/>
        <w:adjustRightInd w:val="0"/>
        <w:jc w:val="center"/>
        <w:rPr>
          <w:b/>
          <w:iCs/>
        </w:rPr>
      </w:pPr>
      <w:r>
        <w:rPr>
          <w:b/>
          <w:iCs/>
        </w:rPr>
        <w:t>22. §</w:t>
      </w:r>
    </w:p>
    <w:p w:rsidR="007028C7" w:rsidRPr="00281A69" w:rsidRDefault="007028C7" w:rsidP="007028C7">
      <w:pPr>
        <w:autoSpaceDE w:val="0"/>
        <w:autoSpaceDN w:val="0"/>
        <w:adjustRightInd w:val="0"/>
        <w:jc w:val="both"/>
        <w:rPr>
          <w:rFonts w:eastAsia="Calibri"/>
          <w:lang w:eastAsia="en-US"/>
        </w:rPr>
      </w:pPr>
    </w:p>
    <w:p w:rsidR="007028C7" w:rsidRDefault="007028C7" w:rsidP="007028C7">
      <w:pPr>
        <w:autoSpaceDE w:val="0"/>
        <w:autoSpaceDN w:val="0"/>
        <w:adjustRightInd w:val="0"/>
        <w:ind w:firstLine="708"/>
        <w:jc w:val="both"/>
        <w:rPr>
          <w:bCs/>
        </w:rPr>
      </w:pPr>
      <w:r>
        <w:rPr>
          <w:iCs/>
        </w:rPr>
        <w:t xml:space="preserve">A </w:t>
      </w:r>
      <w:proofErr w:type="spellStart"/>
      <w:r>
        <w:rPr>
          <w:iCs/>
        </w:rPr>
        <w:t>Hettv</w:t>
      </w:r>
      <w:proofErr w:type="spellEnd"/>
      <w:r>
        <w:rPr>
          <w:iCs/>
        </w:rPr>
        <w:t>. 16. §</w:t>
      </w:r>
      <w:proofErr w:type="spellStart"/>
      <w:r>
        <w:rPr>
          <w:iCs/>
        </w:rPr>
        <w:t>-</w:t>
      </w:r>
      <w:proofErr w:type="gramStart"/>
      <w:r>
        <w:rPr>
          <w:iCs/>
        </w:rPr>
        <w:t>a</w:t>
      </w:r>
      <w:proofErr w:type="spellEnd"/>
      <w:proofErr w:type="gramEnd"/>
      <w:r>
        <w:rPr>
          <w:iCs/>
        </w:rPr>
        <w:t xml:space="preserve"> a következő (2b) bekezdéssel egészül ki: </w:t>
      </w:r>
    </w:p>
    <w:p w:rsidR="007028C7" w:rsidRDefault="007028C7" w:rsidP="007028C7">
      <w:pPr>
        <w:autoSpaceDE w:val="0"/>
        <w:autoSpaceDN w:val="0"/>
        <w:adjustRightInd w:val="0"/>
        <w:ind w:firstLine="709"/>
        <w:jc w:val="both"/>
        <w:rPr>
          <w:bCs/>
        </w:rPr>
      </w:pPr>
    </w:p>
    <w:p w:rsidR="007028C7" w:rsidRDefault="007028C7" w:rsidP="007028C7">
      <w:pPr>
        <w:autoSpaceDE w:val="0"/>
        <w:autoSpaceDN w:val="0"/>
        <w:adjustRightInd w:val="0"/>
        <w:jc w:val="both"/>
      </w:pPr>
      <w:r>
        <w:rPr>
          <w:bCs/>
        </w:rPr>
        <w:t xml:space="preserve">„(2b) </w:t>
      </w:r>
      <w:proofErr w:type="gramStart"/>
      <w:r>
        <w:rPr>
          <w:bCs/>
        </w:rPr>
        <w:t>A</w:t>
      </w:r>
      <w:proofErr w:type="gramEnd"/>
      <w:r>
        <w:rPr>
          <w:bCs/>
        </w:rPr>
        <w:t xml:space="preserve"> megelőző távoltartás elrendelésével egyidejűleg a bíróság védelmi tanúsítványt állít ki, a bántalmazott erre irányuló kérelmére.</w:t>
      </w:r>
      <w:r>
        <w:t>”</w:t>
      </w:r>
    </w:p>
    <w:p w:rsidR="007028C7" w:rsidRPr="00281A69" w:rsidRDefault="007028C7" w:rsidP="007028C7">
      <w:pPr>
        <w:autoSpaceDE w:val="0"/>
        <w:autoSpaceDN w:val="0"/>
        <w:adjustRightInd w:val="0"/>
        <w:jc w:val="both"/>
        <w:rPr>
          <w:rFonts w:eastAsia="Calibri"/>
          <w:lang w:eastAsia="en-US"/>
        </w:rPr>
      </w:pPr>
    </w:p>
    <w:p w:rsidR="007028C7" w:rsidRDefault="007028C7" w:rsidP="007028C7">
      <w:pPr>
        <w:autoSpaceDE w:val="0"/>
        <w:autoSpaceDN w:val="0"/>
        <w:adjustRightInd w:val="0"/>
        <w:jc w:val="center"/>
        <w:rPr>
          <w:b/>
          <w:iCs/>
        </w:rPr>
      </w:pPr>
      <w:r>
        <w:rPr>
          <w:b/>
          <w:iCs/>
        </w:rPr>
        <w:t>23. §</w:t>
      </w:r>
    </w:p>
    <w:p w:rsidR="007028C7" w:rsidRDefault="007028C7" w:rsidP="007028C7">
      <w:pPr>
        <w:autoSpaceDE w:val="0"/>
        <w:autoSpaceDN w:val="0"/>
        <w:adjustRightInd w:val="0"/>
        <w:ind w:firstLine="1418"/>
        <w:jc w:val="both"/>
        <w:rPr>
          <w:iCs/>
        </w:rPr>
      </w:pPr>
    </w:p>
    <w:p w:rsidR="007028C7" w:rsidRDefault="007028C7" w:rsidP="007028C7">
      <w:pPr>
        <w:autoSpaceDE w:val="0"/>
        <w:autoSpaceDN w:val="0"/>
        <w:adjustRightInd w:val="0"/>
        <w:ind w:firstLine="708"/>
        <w:jc w:val="both"/>
        <w:rPr>
          <w:bCs/>
        </w:rPr>
      </w:pPr>
      <w:r>
        <w:rPr>
          <w:iCs/>
        </w:rPr>
        <w:t xml:space="preserve">A </w:t>
      </w:r>
      <w:proofErr w:type="spellStart"/>
      <w:r>
        <w:rPr>
          <w:iCs/>
        </w:rPr>
        <w:t>Hettv</w:t>
      </w:r>
      <w:proofErr w:type="spellEnd"/>
      <w:r>
        <w:rPr>
          <w:iCs/>
        </w:rPr>
        <w:t>. 16. §</w:t>
      </w:r>
      <w:proofErr w:type="spellStart"/>
      <w:r>
        <w:rPr>
          <w:iCs/>
        </w:rPr>
        <w:t>-</w:t>
      </w:r>
      <w:proofErr w:type="gramStart"/>
      <w:r>
        <w:rPr>
          <w:iCs/>
        </w:rPr>
        <w:t>a</w:t>
      </w:r>
      <w:proofErr w:type="spellEnd"/>
      <w:proofErr w:type="gramEnd"/>
      <w:r>
        <w:rPr>
          <w:iCs/>
        </w:rPr>
        <w:t xml:space="preserve"> a következő (3a) bekezdéssel egészül ki: </w:t>
      </w:r>
    </w:p>
    <w:p w:rsidR="007028C7" w:rsidRDefault="007028C7" w:rsidP="007028C7">
      <w:pPr>
        <w:autoSpaceDE w:val="0"/>
        <w:autoSpaceDN w:val="0"/>
        <w:adjustRightInd w:val="0"/>
        <w:ind w:firstLine="709"/>
        <w:jc w:val="both"/>
        <w:rPr>
          <w:bCs/>
        </w:rPr>
      </w:pPr>
    </w:p>
    <w:p w:rsidR="007028C7" w:rsidRDefault="007028C7" w:rsidP="007028C7">
      <w:pPr>
        <w:autoSpaceDE w:val="0"/>
        <w:autoSpaceDN w:val="0"/>
        <w:adjustRightInd w:val="0"/>
        <w:jc w:val="both"/>
      </w:pPr>
      <w:r>
        <w:rPr>
          <w:bCs/>
        </w:rPr>
        <w:t xml:space="preserve">„(3a) </w:t>
      </w:r>
      <w:proofErr w:type="gramStart"/>
      <w:r>
        <w:t>A</w:t>
      </w:r>
      <w:proofErr w:type="gramEnd"/>
      <w:r>
        <w:t xml:space="preserve"> bíróság a bántalmazottal a védelmi tanúsítványt, a bántalmazóval a védelmi tanúsítványról szóló értesítést a (3) bekezdésben foglaltak szerint közli.”</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jc w:val="center"/>
        <w:rPr>
          <w:b/>
          <w:iCs/>
        </w:rPr>
      </w:pPr>
      <w:r>
        <w:rPr>
          <w:b/>
          <w:iCs/>
        </w:rPr>
        <w:t>24. §</w:t>
      </w:r>
    </w:p>
    <w:p w:rsidR="007028C7" w:rsidRDefault="007028C7" w:rsidP="007028C7">
      <w:pPr>
        <w:autoSpaceDE w:val="0"/>
        <w:autoSpaceDN w:val="0"/>
        <w:adjustRightInd w:val="0"/>
        <w:ind w:firstLine="1418"/>
        <w:jc w:val="both"/>
        <w:rPr>
          <w:iCs/>
        </w:rPr>
      </w:pPr>
    </w:p>
    <w:p w:rsidR="007028C7" w:rsidRDefault="007028C7" w:rsidP="007028C7">
      <w:pPr>
        <w:autoSpaceDE w:val="0"/>
        <w:autoSpaceDN w:val="0"/>
        <w:adjustRightInd w:val="0"/>
        <w:ind w:firstLine="708"/>
        <w:jc w:val="both"/>
        <w:rPr>
          <w:bCs/>
        </w:rPr>
      </w:pPr>
      <w:r>
        <w:rPr>
          <w:iCs/>
        </w:rPr>
        <w:t xml:space="preserve">A </w:t>
      </w:r>
      <w:proofErr w:type="spellStart"/>
      <w:r>
        <w:rPr>
          <w:iCs/>
        </w:rPr>
        <w:t>Hettv</w:t>
      </w:r>
      <w:proofErr w:type="spellEnd"/>
      <w:r>
        <w:rPr>
          <w:iCs/>
        </w:rPr>
        <w:t>. 16. §</w:t>
      </w:r>
      <w:proofErr w:type="spellStart"/>
      <w:r>
        <w:rPr>
          <w:iCs/>
        </w:rPr>
        <w:t>-</w:t>
      </w:r>
      <w:proofErr w:type="gramStart"/>
      <w:r>
        <w:rPr>
          <w:iCs/>
        </w:rPr>
        <w:t>a</w:t>
      </w:r>
      <w:proofErr w:type="spellEnd"/>
      <w:proofErr w:type="gramEnd"/>
      <w:r>
        <w:rPr>
          <w:iCs/>
        </w:rPr>
        <w:t xml:space="preserve"> a következő (10) bekezdéssel egészül ki: </w:t>
      </w:r>
    </w:p>
    <w:p w:rsidR="007028C7" w:rsidRDefault="007028C7" w:rsidP="007028C7">
      <w:pPr>
        <w:autoSpaceDE w:val="0"/>
        <w:autoSpaceDN w:val="0"/>
        <w:adjustRightInd w:val="0"/>
        <w:ind w:firstLine="709"/>
        <w:jc w:val="both"/>
        <w:rPr>
          <w:bCs/>
        </w:rPr>
      </w:pPr>
    </w:p>
    <w:p w:rsidR="007028C7" w:rsidRDefault="007028C7" w:rsidP="007028C7">
      <w:pPr>
        <w:autoSpaceDE w:val="0"/>
        <w:autoSpaceDN w:val="0"/>
        <w:adjustRightInd w:val="0"/>
        <w:jc w:val="both"/>
        <w:rPr>
          <w:bCs/>
        </w:rPr>
      </w:pPr>
      <w:r>
        <w:rPr>
          <w:bCs/>
        </w:rPr>
        <w:t>„(10) Ha a bántalmazott részére az elsőfokú bíróság a megelőző távoltartás elrendelése mellett védelmi tanúsítványt állított ki, a bántalmazott, illetve a bántalmazó erre irányuló kérelmére</w:t>
      </w:r>
    </w:p>
    <w:p w:rsidR="007028C7" w:rsidRDefault="007028C7" w:rsidP="007028C7">
      <w:pPr>
        <w:autoSpaceDE w:val="0"/>
        <w:autoSpaceDN w:val="0"/>
        <w:adjustRightInd w:val="0"/>
        <w:jc w:val="both"/>
        <w:rPr>
          <w:bCs/>
        </w:rPr>
      </w:pPr>
    </w:p>
    <w:p w:rsidR="007028C7" w:rsidRDefault="007028C7" w:rsidP="007028C7">
      <w:pPr>
        <w:autoSpaceDE w:val="0"/>
        <w:autoSpaceDN w:val="0"/>
        <w:adjustRightInd w:val="0"/>
        <w:jc w:val="both"/>
        <w:rPr>
          <w:bCs/>
        </w:rPr>
      </w:pPr>
      <w:proofErr w:type="gramStart"/>
      <w:r w:rsidRPr="001E437E">
        <w:rPr>
          <w:bCs/>
          <w:i/>
        </w:rPr>
        <w:t>a</w:t>
      </w:r>
      <w:proofErr w:type="gramEnd"/>
      <w:r w:rsidRPr="001E437E">
        <w:rPr>
          <w:bCs/>
          <w:i/>
        </w:rPr>
        <w:t>)</w:t>
      </w:r>
      <w:r>
        <w:rPr>
          <w:bCs/>
        </w:rPr>
        <w:t xml:space="preserve"> </w:t>
      </w:r>
      <w:proofErr w:type="spellStart"/>
      <w:r>
        <w:t>a</w:t>
      </w:r>
      <w:proofErr w:type="spellEnd"/>
      <w:r>
        <w:t xml:space="preserve"> védelmi tanúsítvány saját hatáskörben való kijavítása, kiegészítése vagy visszavonása esetén ennek </w:t>
      </w:r>
      <w:proofErr w:type="spellStart"/>
      <w:r>
        <w:t>tényéről</w:t>
      </w:r>
      <w:proofErr w:type="spellEnd"/>
      <w:r>
        <w:t>,</w:t>
      </w:r>
    </w:p>
    <w:p w:rsidR="007028C7" w:rsidRDefault="007028C7" w:rsidP="007028C7">
      <w:pPr>
        <w:autoSpaceDE w:val="0"/>
        <w:autoSpaceDN w:val="0"/>
        <w:adjustRightInd w:val="0"/>
        <w:jc w:val="both"/>
        <w:rPr>
          <w:bCs/>
        </w:rPr>
      </w:pPr>
      <w:r w:rsidRPr="001E437E">
        <w:rPr>
          <w:bCs/>
          <w:i/>
        </w:rPr>
        <w:t>b)</w:t>
      </w:r>
      <w:r>
        <w:rPr>
          <w:bCs/>
        </w:rPr>
        <w:t xml:space="preserve"> ha a fellebbezés folytán a másodfokú bíróság a megelőző távoltartást elrendelő határozatot megváltoztatta vagy hatályon kívül helyezte, ennek </w:t>
      </w:r>
      <w:proofErr w:type="spellStart"/>
      <w:r>
        <w:rPr>
          <w:bCs/>
        </w:rPr>
        <w:t>tényéről</w:t>
      </w:r>
      <w:proofErr w:type="spellEnd"/>
    </w:p>
    <w:p w:rsidR="007028C7" w:rsidRDefault="007028C7" w:rsidP="007028C7">
      <w:pPr>
        <w:autoSpaceDE w:val="0"/>
        <w:autoSpaceDN w:val="0"/>
        <w:adjustRightInd w:val="0"/>
        <w:jc w:val="both"/>
        <w:rPr>
          <w:bCs/>
        </w:rPr>
      </w:pPr>
    </w:p>
    <w:p w:rsidR="007028C7" w:rsidRPr="00281A69" w:rsidRDefault="007028C7" w:rsidP="007028C7">
      <w:pPr>
        <w:autoSpaceDE w:val="0"/>
        <w:autoSpaceDN w:val="0"/>
        <w:adjustRightInd w:val="0"/>
        <w:jc w:val="both"/>
        <w:rPr>
          <w:rFonts w:eastAsia="Calibri"/>
          <w:lang w:eastAsia="en-US"/>
        </w:rPr>
      </w:pPr>
      <w:proofErr w:type="gramStart"/>
      <w:r>
        <w:t>a</w:t>
      </w:r>
      <w:proofErr w:type="gramEnd"/>
      <w:r>
        <w:t xml:space="preserve"> 606/2013/EU európai parlamenti és tanácsi rendelet 14. cikke szerinti tanúsítványt</w:t>
      </w:r>
      <w:r>
        <w:rPr>
          <w:bCs/>
        </w:rPr>
        <w:t xml:space="preserve"> állít ki.</w:t>
      </w:r>
      <w:r>
        <w:t>”</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jc w:val="center"/>
        <w:rPr>
          <w:b/>
          <w:iCs/>
        </w:rPr>
      </w:pPr>
      <w:r>
        <w:rPr>
          <w:b/>
          <w:iCs/>
        </w:rPr>
        <w:t>25. §</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ind w:firstLine="708"/>
        <w:jc w:val="both"/>
        <w:rPr>
          <w:bCs/>
        </w:rPr>
      </w:pPr>
      <w:r>
        <w:rPr>
          <w:iCs/>
        </w:rPr>
        <w:t xml:space="preserve">A </w:t>
      </w:r>
      <w:proofErr w:type="spellStart"/>
      <w:r>
        <w:rPr>
          <w:iCs/>
        </w:rPr>
        <w:t>Hettv</w:t>
      </w:r>
      <w:proofErr w:type="spellEnd"/>
      <w:r>
        <w:rPr>
          <w:iCs/>
        </w:rPr>
        <w:t>. a 17. §</w:t>
      </w:r>
      <w:proofErr w:type="spellStart"/>
      <w:r>
        <w:rPr>
          <w:iCs/>
        </w:rPr>
        <w:t>-t</w:t>
      </w:r>
      <w:proofErr w:type="spellEnd"/>
      <w:r>
        <w:rPr>
          <w:iCs/>
        </w:rPr>
        <w:t xml:space="preserve"> követően a következő alcímmel és 17/</w:t>
      </w:r>
      <w:proofErr w:type="gramStart"/>
      <w:r>
        <w:rPr>
          <w:iCs/>
        </w:rPr>
        <w:t>A</w:t>
      </w:r>
      <w:proofErr w:type="gramEnd"/>
      <w:r>
        <w:rPr>
          <w:iCs/>
        </w:rPr>
        <w:t>. és 17/B. §</w:t>
      </w:r>
      <w:proofErr w:type="spellStart"/>
      <w:r>
        <w:rPr>
          <w:iCs/>
        </w:rPr>
        <w:t>-sal</w:t>
      </w:r>
      <w:proofErr w:type="spellEnd"/>
      <w:r>
        <w:rPr>
          <w:iCs/>
        </w:rPr>
        <w:t xml:space="preserve"> egészül ki: </w:t>
      </w:r>
    </w:p>
    <w:p w:rsidR="007028C7" w:rsidRDefault="007028C7" w:rsidP="007028C7">
      <w:pPr>
        <w:autoSpaceDE w:val="0"/>
        <w:autoSpaceDN w:val="0"/>
        <w:adjustRightInd w:val="0"/>
        <w:jc w:val="both"/>
        <w:rPr>
          <w:bCs/>
        </w:rPr>
      </w:pPr>
    </w:p>
    <w:p w:rsidR="007028C7" w:rsidRDefault="007028C7" w:rsidP="007028C7">
      <w:pPr>
        <w:autoSpaceDE w:val="0"/>
        <w:autoSpaceDN w:val="0"/>
        <w:adjustRightInd w:val="0"/>
        <w:jc w:val="center"/>
        <w:rPr>
          <w:bCs/>
        </w:rPr>
      </w:pPr>
      <w:r>
        <w:rPr>
          <w:bCs/>
        </w:rPr>
        <w:t xml:space="preserve">„A más tagállamban elrendelt </w:t>
      </w:r>
      <w:r w:rsidRPr="00764442">
        <w:rPr>
          <w:bCs/>
        </w:rPr>
        <w:t>védelmi intézkedés alapján</w:t>
      </w:r>
      <w:r>
        <w:rPr>
          <w:bCs/>
        </w:rPr>
        <w:t xml:space="preserve"> előterjesztett megkeresésekkel kapcsolatos eljárás</w:t>
      </w:r>
    </w:p>
    <w:p w:rsidR="007028C7" w:rsidRDefault="007028C7" w:rsidP="007028C7">
      <w:pPr>
        <w:autoSpaceDE w:val="0"/>
        <w:autoSpaceDN w:val="0"/>
        <w:adjustRightInd w:val="0"/>
        <w:jc w:val="both"/>
        <w:rPr>
          <w:bCs/>
        </w:rPr>
      </w:pPr>
    </w:p>
    <w:p w:rsidR="007028C7" w:rsidRDefault="007028C7" w:rsidP="007028C7">
      <w:pPr>
        <w:autoSpaceDE w:val="0"/>
        <w:autoSpaceDN w:val="0"/>
        <w:adjustRightInd w:val="0"/>
        <w:jc w:val="both"/>
      </w:pPr>
      <w:r>
        <w:rPr>
          <w:bCs/>
        </w:rPr>
        <w:t xml:space="preserve">17/A. § (1) A más tagállamban elrendelt védelmi intézkedésnek a </w:t>
      </w:r>
      <w:r>
        <w:t>606/2013/EU európai parlamenti és tanácsi rendelet 4. cikke alapján kezdeményezett Magyarországon történő elismerésére és végrehajtására a megelőző távoltartás szabályait kell megfelelően alkalmazni az e §</w:t>
      </w:r>
      <w:proofErr w:type="spellStart"/>
      <w:r>
        <w:t>-ban</w:t>
      </w:r>
      <w:proofErr w:type="spellEnd"/>
      <w:r>
        <w:t xml:space="preserve"> foglalt </w:t>
      </w:r>
      <w:proofErr w:type="gramStart"/>
      <w:r>
        <w:t>eltérésekkel</w:t>
      </w:r>
      <w:proofErr w:type="gramEnd"/>
      <w:r>
        <w:t xml:space="preserve"> azzal, hogy kérelemnek a rendelet 4. cikke szerinti megkeresést (a továbbiakban e §</w:t>
      </w:r>
      <w:proofErr w:type="spellStart"/>
      <w:r>
        <w:t>-ban</w:t>
      </w:r>
      <w:proofErr w:type="spellEnd"/>
      <w:r>
        <w:t>: megkeresés) kell tekinteni.</w:t>
      </w:r>
    </w:p>
    <w:p w:rsidR="007028C7" w:rsidRDefault="007028C7" w:rsidP="007028C7">
      <w:pPr>
        <w:autoSpaceDE w:val="0"/>
        <w:autoSpaceDN w:val="0"/>
        <w:adjustRightInd w:val="0"/>
        <w:ind w:firstLine="709"/>
        <w:jc w:val="both"/>
      </w:pPr>
    </w:p>
    <w:p w:rsidR="007028C7" w:rsidRPr="00281A69" w:rsidRDefault="007028C7" w:rsidP="007028C7">
      <w:pPr>
        <w:autoSpaceDE w:val="0"/>
        <w:autoSpaceDN w:val="0"/>
        <w:adjustRightInd w:val="0"/>
        <w:jc w:val="both"/>
        <w:rPr>
          <w:rFonts w:eastAsia="Calibri"/>
          <w:lang w:eastAsia="en-US"/>
        </w:rPr>
      </w:pPr>
      <w:r>
        <w:rPr>
          <w:bCs/>
        </w:rPr>
        <w:t xml:space="preserve">(2) A megkeresést </w:t>
      </w:r>
      <w:r w:rsidRPr="00281A69">
        <w:rPr>
          <w:rFonts w:eastAsia="Calibri"/>
          <w:lang w:eastAsia="en-US"/>
        </w:rPr>
        <w:t>a bíróság megvizsgálja és 3 munkanapon belül</w:t>
      </w:r>
    </w:p>
    <w:p w:rsidR="007028C7" w:rsidRPr="00281A69" w:rsidRDefault="007028C7" w:rsidP="007028C7">
      <w:pPr>
        <w:autoSpaceDE w:val="0"/>
        <w:autoSpaceDN w:val="0"/>
        <w:adjustRightInd w:val="0"/>
        <w:ind w:firstLine="1418"/>
        <w:jc w:val="both"/>
        <w:rPr>
          <w:rFonts w:eastAsia="Calibri"/>
          <w:lang w:eastAsia="en-US"/>
        </w:rPr>
      </w:pPr>
    </w:p>
    <w:p w:rsidR="007028C7" w:rsidRPr="00281A69" w:rsidRDefault="007028C7" w:rsidP="007028C7">
      <w:pPr>
        <w:autoSpaceDE w:val="0"/>
        <w:autoSpaceDN w:val="0"/>
        <w:adjustRightInd w:val="0"/>
        <w:jc w:val="both"/>
        <w:rPr>
          <w:rFonts w:eastAsia="Calibri"/>
          <w:lang w:eastAsia="en-US"/>
        </w:rPr>
      </w:pPr>
      <w:proofErr w:type="gramStart"/>
      <w:r w:rsidRPr="00281A69">
        <w:rPr>
          <w:rFonts w:eastAsia="Calibri"/>
          <w:i/>
          <w:lang w:eastAsia="en-US"/>
        </w:rPr>
        <w:t>a</w:t>
      </w:r>
      <w:proofErr w:type="gramEnd"/>
      <w:r w:rsidRPr="00281A69">
        <w:rPr>
          <w:rFonts w:eastAsia="Calibri"/>
          <w:i/>
          <w:lang w:eastAsia="en-US"/>
        </w:rPr>
        <w:t>)</w:t>
      </w:r>
      <w:r w:rsidRPr="00281A69">
        <w:rPr>
          <w:rFonts w:eastAsia="Calibri"/>
          <w:lang w:eastAsia="en-US"/>
        </w:rPr>
        <w:t xml:space="preserve"> hiánypótlásra hívja fel a bántalmazottat, ha a megkeresés nem felel meg a </w:t>
      </w:r>
      <w:r>
        <w:t>606/2013/EU európai parlamenti és tanácsi rendeletben előírtaknak,</w:t>
      </w:r>
    </w:p>
    <w:p w:rsidR="007028C7" w:rsidRDefault="007028C7" w:rsidP="007028C7">
      <w:pPr>
        <w:autoSpaceDE w:val="0"/>
        <w:autoSpaceDN w:val="0"/>
        <w:adjustRightInd w:val="0"/>
        <w:jc w:val="both"/>
        <w:rPr>
          <w:bCs/>
        </w:rPr>
      </w:pPr>
      <w:r w:rsidRPr="003219D5">
        <w:rPr>
          <w:bCs/>
          <w:i/>
        </w:rPr>
        <w:t>b)</w:t>
      </w:r>
      <w:r>
        <w:rPr>
          <w:bCs/>
        </w:rPr>
        <w:t xml:space="preserve"> a megkeresés alapjául szolgáló védelmi intézkedésnek a </w:t>
      </w:r>
      <w:r>
        <w:t>606/2013/EU európai parlamenti és tanácsi rendelet</w:t>
      </w:r>
      <w:r>
        <w:rPr>
          <w:bCs/>
        </w:rPr>
        <w:t xml:space="preserve"> 11. cikke szerinti megváltoztatásával megelőző távoltartást rendel el,</w:t>
      </w:r>
    </w:p>
    <w:p w:rsidR="007028C7" w:rsidRDefault="007028C7" w:rsidP="007028C7">
      <w:pPr>
        <w:autoSpaceDE w:val="0"/>
        <w:autoSpaceDN w:val="0"/>
        <w:adjustRightInd w:val="0"/>
        <w:jc w:val="both"/>
        <w:rPr>
          <w:iCs/>
        </w:rPr>
      </w:pPr>
      <w:r w:rsidRPr="003E1E9A">
        <w:rPr>
          <w:i/>
          <w:iCs/>
        </w:rPr>
        <w:t>c)</w:t>
      </w:r>
      <w:r>
        <w:rPr>
          <w:iCs/>
        </w:rPr>
        <w:t xml:space="preserve"> a megkeresés alapjául szolgáló védelmi intézkedés tartalmával egyezően megelőző távoltartást rendel el, vagy</w:t>
      </w:r>
    </w:p>
    <w:p w:rsidR="007028C7" w:rsidRDefault="007028C7" w:rsidP="007028C7">
      <w:pPr>
        <w:autoSpaceDE w:val="0"/>
        <w:autoSpaceDN w:val="0"/>
        <w:adjustRightInd w:val="0"/>
        <w:jc w:val="both"/>
        <w:rPr>
          <w:iCs/>
        </w:rPr>
      </w:pPr>
      <w:r w:rsidRPr="00814076">
        <w:rPr>
          <w:i/>
          <w:iCs/>
        </w:rPr>
        <w:lastRenderedPageBreak/>
        <w:t>d)</w:t>
      </w:r>
      <w:r>
        <w:rPr>
          <w:iCs/>
        </w:rPr>
        <w:t xml:space="preserve"> a megkeresést a bántalmazó erre irányuló kérelmére a </w:t>
      </w:r>
      <w:r>
        <w:t>606/2013/EU európai parlamenti és tanácsi rendelet</w:t>
      </w:r>
      <w:r>
        <w:rPr>
          <w:bCs/>
        </w:rPr>
        <w:t xml:space="preserve"> 13. cikkének (1) bekezdése alapján elutasítja.</w:t>
      </w:r>
    </w:p>
    <w:p w:rsidR="007028C7" w:rsidRPr="00AD04A7" w:rsidRDefault="007028C7" w:rsidP="007028C7">
      <w:pPr>
        <w:autoSpaceDE w:val="0"/>
        <w:autoSpaceDN w:val="0"/>
        <w:adjustRightInd w:val="0"/>
        <w:jc w:val="both"/>
        <w:rPr>
          <w:iCs/>
        </w:rPr>
      </w:pPr>
    </w:p>
    <w:p w:rsidR="007028C7" w:rsidRDefault="007028C7" w:rsidP="007028C7">
      <w:pPr>
        <w:autoSpaceDE w:val="0"/>
        <w:autoSpaceDN w:val="0"/>
        <w:adjustRightInd w:val="0"/>
        <w:jc w:val="both"/>
        <w:rPr>
          <w:iCs/>
        </w:rPr>
      </w:pPr>
      <w:r>
        <w:rPr>
          <w:iCs/>
        </w:rPr>
        <w:t xml:space="preserve">(3) Ha a bántalmazott a (2) bekezdés </w:t>
      </w:r>
      <w:r w:rsidRPr="0045092A">
        <w:rPr>
          <w:i/>
          <w:iCs/>
        </w:rPr>
        <w:t>a)</w:t>
      </w:r>
      <w:r>
        <w:rPr>
          <w:iCs/>
        </w:rPr>
        <w:t xml:space="preserve"> pontjában foglalt felhívásnak nem </w:t>
      </w:r>
      <w:proofErr w:type="gramStart"/>
      <w:r>
        <w:rPr>
          <w:iCs/>
        </w:rPr>
        <w:t>tesz</w:t>
      </w:r>
      <w:proofErr w:type="gramEnd"/>
      <w:r>
        <w:rPr>
          <w:iCs/>
        </w:rPr>
        <w:t xml:space="preserve"> eleget a bíróság a megkeresést elutasítja. Az elutasított megkeresés ismételten előterjeszthető.</w:t>
      </w:r>
    </w:p>
    <w:p w:rsidR="007028C7" w:rsidRDefault="007028C7" w:rsidP="007028C7">
      <w:pPr>
        <w:autoSpaceDE w:val="0"/>
        <w:autoSpaceDN w:val="0"/>
        <w:adjustRightInd w:val="0"/>
        <w:ind w:firstLine="709"/>
        <w:jc w:val="both"/>
        <w:rPr>
          <w:iCs/>
        </w:rPr>
      </w:pPr>
    </w:p>
    <w:p w:rsidR="007028C7" w:rsidRDefault="007028C7" w:rsidP="007028C7">
      <w:pPr>
        <w:autoSpaceDE w:val="0"/>
        <w:autoSpaceDN w:val="0"/>
        <w:adjustRightInd w:val="0"/>
        <w:jc w:val="both"/>
        <w:rPr>
          <w:iCs/>
        </w:rPr>
      </w:pPr>
      <w:r>
        <w:rPr>
          <w:iCs/>
        </w:rPr>
        <w:t xml:space="preserve">(4) A bíróság a (2) bekezdés </w:t>
      </w:r>
      <w:r w:rsidRPr="008C7428">
        <w:rPr>
          <w:i/>
          <w:iCs/>
        </w:rPr>
        <w:t>a)</w:t>
      </w:r>
      <w:r>
        <w:rPr>
          <w:iCs/>
        </w:rPr>
        <w:t xml:space="preserve"> és </w:t>
      </w:r>
      <w:r w:rsidRPr="008C7428">
        <w:rPr>
          <w:i/>
          <w:iCs/>
        </w:rPr>
        <w:t>c)</w:t>
      </w:r>
      <w:r>
        <w:rPr>
          <w:iCs/>
        </w:rPr>
        <w:t xml:space="preserve"> pontjában foglalt esetben nem, a (2) bekezdés </w:t>
      </w:r>
      <w:r w:rsidRPr="00BB6F0D">
        <w:rPr>
          <w:i/>
          <w:iCs/>
        </w:rPr>
        <w:t>b)</w:t>
      </w:r>
      <w:r>
        <w:rPr>
          <w:iCs/>
        </w:rPr>
        <w:t xml:space="preserve"> és </w:t>
      </w:r>
      <w:r w:rsidRPr="00BB6F0D">
        <w:rPr>
          <w:i/>
          <w:iCs/>
        </w:rPr>
        <w:t>d)</w:t>
      </w:r>
      <w:r>
        <w:rPr>
          <w:iCs/>
        </w:rPr>
        <w:t xml:space="preserve"> pontjában foglalt esetben csak szükség szerint kísérli meg a felek személyes meghallgatását.</w:t>
      </w:r>
    </w:p>
    <w:p w:rsidR="007028C7" w:rsidRDefault="007028C7" w:rsidP="007028C7">
      <w:pPr>
        <w:autoSpaceDE w:val="0"/>
        <w:autoSpaceDN w:val="0"/>
        <w:adjustRightInd w:val="0"/>
        <w:ind w:firstLine="709"/>
        <w:jc w:val="both"/>
        <w:rPr>
          <w:iCs/>
        </w:rPr>
      </w:pPr>
    </w:p>
    <w:p w:rsidR="007028C7" w:rsidRDefault="007028C7" w:rsidP="007028C7">
      <w:pPr>
        <w:autoSpaceDE w:val="0"/>
        <w:autoSpaceDN w:val="0"/>
        <w:adjustRightInd w:val="0"/>
        <w:jc w:val="both"/>
        <w:rPr>
          <w:iCs/>
        </w:rPr>
      </w:pPr>
      <w:r>
        <w:rPr>
          <w:iCs/>
        </w:rPr>
        <w:t>(5) A bíróság a megelőző távoltartást a megkeresés alapjául szolgáló védelmi intézkedésben meghatározott időre, de legfeljebb 12 hónapra rendeli el.</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jc w:val="both"/>
        <w:rPr>
          <w:iCs/>
        </w:rPr>
      </w:pPr>
      <w:r>
        <w:rPr>
          <w:iCs/>
        </w:rPr>
        <w:t xml:space="preserve">(6) A bíróság (2) bekezdés </w:t>
      </w:r>
      <w:r w:rsidRPr="00C55BB7">
        <w:rPr>
          <w:i/>
          <w:iCs/>
        </w:rPr>
        <w:t>d)</w:t>
      </w:r>
      <w:r>
        <w:rPr>
          <w:iCs/>
        </w:rPr>
        <w:t xml:space="preserve"> pontja és (3) bekezdése szerinti döntésével, valamint a (2) bekezdés </w:t>
      </w:r>
      <w:r w:rsidRPr="00E540AF">
        <w:rPr>
          <w:i/>
          <w:iCs/>
        </w:rPr>
        <w:t>b)</w:t>
      </w:r>
      <w:r>
        <w:rPr>
          <w:iCs/>
        </w:rPr>
        <w:t xml:space="preserve"> pontja szerinti határozatának a megkeresés alapjául szolgáló védelmi intézkedést megváltoztató részével szemben van helye</w:t>
      </w:r>
      <w:r w:rsidRPr="00B213E9">
        <w:rPr>
          <w:iCs/>
        </w:rPr>
        <w:t xml:space="preserve"> </w:t>
      </w:r>
      <w:r>
        <w:rPr>
          <w:iCs/>
        </w:rPr>
        <w:t>fellebbezésnek.</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jc w:val="both"/>
        <w:rPr>
          <w:bCs/>
        </w:rPr>
      </w:pPr>
      <w:r>
        <w:rPr>
          <w:iCs/>
        </w:rPr>
        <w:t xml:space="preserve">17/B. § (1) </w:t>
      </w:r>
      <w:proofErr w:type="gramStart"/>
      <w:r>
        <w:rPr>
          <w:iCs/>
        </w:rPr>
        <w:t>A</w:t>
      </w:r>
      <w:proofErr w:type="gramEnd"/>
      <w:r>
        <w:rPr>
          <w:iCs/>
        </w:rPr>
        <w:t xml:space="preserve"> </w:t>
      </w:r>
      <w:r>
        <w:t>606/2013/EU európai parlamenti és tanácsi rendelet</w:t>
      </w:r>
      <w:r>
        <w:rPr>
          <w:bCs/>
        </w:rPr>
        <w:t xml:space="preserve"> 14. cikkének (2) bekezdése szerinti tanúsítványt a tanúsítvány (a továbbiakban e §</w:t>
      </w:r>
      <w:proofErr w:type="spellStart"/>
      <w:r>
        <w:rPr>
          <w:bCs/>
        </w:rPr>
        <w:t>-ban</w:t>
      </w:r>
      <w:proofErr w:type="spellEnd"/>
      <w:r>
        <w:rPr>
          <w:bCs/>
        </w:rPr>
        <w:t xml:space="preserve">: tanúsítvány) alapjául szolgáló védelmi intézkedés alapján a 17/A. § (2) bekezdés </w:t>
      </w:r>
      <w:r w:rsidRPr="0001102C">
        <w:rPr>
          <w:bCs/>
          <w:i/>
        </w:rPr>
        <w:t>b)</w:t>
      </w:r>
      <w:r>
        <w:rPr>
          <w:bCs/>
        </w:rPr>
        <w:t xml:space="preserve"> vagy </w:t>
      </w:r>
      <w:r w:rsidRPr="0001102C">
        <w:rPr>
          <w:bCs/>
          <w:i/>
        </w:rPr>
        <w:t>c)</w:t>
      </w:r>
      <w:r>
        <w:rPr>
          <w:bCs/>
        </w:rPr>
        <w:t xml:space="preserve"> pontja szerinti megelőző távoltartást elrendelő bírósághoz kell benyújtani. </w:t>
      </w:r>
    </w:p>
    <w:p w:rsidR="007028C7" w:rsidRDefault="007028C7" w:rsidP="007028C7">
      <w:pPr>
        <w:autoSpaceDE w:val="0"/>
        <w:autoSpaceDN w:val="0"/>
        <w:adjustRightInd w:val="0"/>
        <w:ind w:firstLine="709"/>
        <w:jc w:val="both"/>
        <w:rPr>
          <w:bCs/>
        </w:rPr>
      </w:pPr>
    </w:p>
    <w:p w:rsidR="007028C7" w:rsidRDefault="007028C7" w:rsidP="007028C7">
      <w:pPr>
        <w:autoSpaceDE w:val="0"/>
        <w:autoSpaceDN w:val="0"/>
        <w:adjustRightInd w:val="0"/>
        <w:jc w:val="both"/>
        <w:rPr>
          <w:bCs/>
        </w:rPr>
      </w:pPr>
      <w:r>
        <w:rPr>
          <w:bCs/>
        </w:rPr>
        <w:t>(2) A bíróság a tanúsítvány benyújtását követő 3 munkanapon belül a megelőző távoltartást elrendelő határozatát</w:t>
      </w:r>
    </w:p>
    <w:p w:rsidR="007028C7" w:rsidRDefault="007028C7" w:rsidP="007028C7">
      <w:pPr>
        <w:autoSpaceDE w:val="0"/>
        <w:autoSpaceDN w:val="0"/>
        <w:adjustRightInd w:val="0"/>
        <w:ind w:firstLine="709"/>
        <w:jc w:val="both"/>
        <w:rPr>
          <w:bCs/>
        </w:rPr>
      </w:pPr>
    </w:p>
    <w:p w:rsidR="007028C7" w:rsidRDefault="007028C7" w:rsidP="007028C7">
      <w:pPr>
        <w:autoSpaceDE w:val="0"/>
        <w:autoSpaceDN w:val="0"/>
        <w:adjustRightInd w:val="0"/>
        <w:jc w:val="both"/>
        <w:rPr>
          <w:bCs/>
        </w:rPr>
      </w:pPr>
      <w:proofErr w:type="gramStart"/>
      <w:r w:rsidRPr="001221AE">
        <w:rPr>
          <w:bCs/>
          <w:i/>
        </w:rPr>
        <w:t>a</w:t>
      </w:r>
      <w:proofErr w:type="gramEnd"/>
      <w:r w:rsidRPr="001221AE">
        <w:rPr>
          <w:bCs/>
          <w:i/>
        </w:rPr>
        <w:t>)</w:t>
      </w:r>
      <w:r>
        <w:rPr>
          <w:bCs/>
        </w:rPr>
        <w:t xml:space="preserve"> megváltoztatja, ha a tanúsítvány értelmében a megelőző távoltartás alapjául szolgáló védelmi intézkedést vagy annak végrehajtását az eredeti eljárás helye szerinti tagállamban módosították,</w:t>
      </w:r>
    </w:p>
    <w:p w:rsidR="007028C7" w:rsidRDefault="007028C7" w:rsidP="007028C7">
      <w:pPr>
        <w:autoSpaceDE w:val="0"/>
        <w:autoSpaceDN w:val="0"/>
        <w:adjustRightInd w:val="0"/>
        <w:jc w:val="both"/>
        <w:rPr>
          <w:bCs/>
        </w:rPr>
      </w:pPr>
      <w:r w:rsidRPr="001221AE">
        <w:rPr>
          <w:bCs/>
          <w:i/>
        </w:rPr>
        <w:t>b)</w:t>
      </w:r>
      <w:r>
        <w:rPr>
          <w:bCs/>
        </w:rPr>
        <w:t xml:space="preserve"> felfüggeszti, ha a tanúsítvány értelmében a megelőző távoltartás alapjául szolgáló védelmi intézkedést vagy annak végrehajtását az eredeti eljárás helye szerinti tagállamban felfüggesztették, vagy</w:t>
      </w:r>
    </w:p>
    <w:p w:rsidR="007028C7" w:rsidRDefault="007028C7" w:rsidP="007028C7">
      <w:pPr>
        <w:autoSpaceDE w:val="0"/>
        <w:autoSpaceDN w:val="0"/>
        <w:adjustRightInd w:val="0"/>
        <w:jc w:val="both"/>
        <w:rPr>
          <w:bCs/>
        </w:rPr>
      </w:pPr>
      <w:r w:rsidRPr="001221AE">
        <w:rPr>
          <w:bCs/>
          <w:i/>
        </w:rPr>
        <w:t>c)</w:t>
      </w:r>
      <w:r>
        <w:rPr>
          <w:bCs/>
        </w:rPr>
        <w:t xml:space="preserve"> hatályon kívül helyezi, ha a tanúsítvány értelmében a megelőző távoltartás alapjául szolgáló védelmi intézkedést vagy az annak alapján a </w:t>
      </w:r>
      <w:r>
        <w:t>606/2013/EU európai parlamenti és tanácsi rendelet 5. cikke szerint</w:t>
      </w:r>
      <w:r>
        <w:rPr>
          <w:bCs/>
        </w:rPr>
        <w:t xml:space="preserve"> kiállított tanúsítványt az eredeti eljárás helye szerinti tagállamban visszavonták.</w:t>
      </w:r>
    </w:p>
    <w:p w:rsidR="007028C7" w:rsidRDefault="007028C7" w:rsidP="007028C7">
      <w:pPr>
        <w:autoSpaceDE w:val="0"/>
        <w:autoSpaceDN w:val="0"/>
        <w:adjustRightInd w:val="0"/>
        <w:ind w:firstLine="709"/>
        <w:jc w:val="both"/>
        <w:rPr>
          <w:bCs/>
        </w:rPr>
      </w:pPr>
    </w:p>
    <w:p w:rsidR="007028C7" w:rsidRDefault="007028C7" w:rsidP="007028C7">
      <w:pPr>
        <w:autoSpaceDE w:val="0"/>
        <w:autoSpaceDN w:val="0"/>
        <w:adjustRightInd w:val="0"/>
        <w:jc w:val="both"/>
        <w:rPr>
          <w:iCs/>
        </w:rPr>
      </w:pPr>
      <w:r>
        <w:rPr>
          <w:bCs/>
        </w:rPr>
        <w:t>(3) Az (2) bekezdésben foglalt döntéssel szemben fellebbezésnek nincs helye.”</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jc w:val="center"/>
        <w:rPr>
          <w:b/>
          <w:iCs/>
        </w:rPr>
      </w:pPr>
      <w:r>
        <w:rPr>
          <w:b/>
          <w:iCs/>
        </w:rPr>
        <w:t>26. §</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ind w:firstLine="708"/>
        <w:jc w:val="both"/>
        <w:rPr>
          <w:iCs/>
        </w:rPr>
      </w:pPr>
      <w:r>
        <w:rPr>
          <w:iCs/>
        </w:rPr>
        <w:t xml:space="preserve">A </w:t>
      </w:r>
      <w:proofErr w:type="spellStart"/>
      <w:r>
        <w:rPr>
          <w:iCs/>
        </w:rPr>
        <w:t>Hettv</w:t>
      </w:r>
      <w:proofErr w:type="spellEnd"/>
      <w:r>
        <w:rPr>
          <w:iCs/>
        </w:rPr>
        <w:t>.</w:t>
      </w:r>
    </w:p>
    <w:p w:rsidR="007028C7" w:rsidRDefault="007028C7" w:rsidP="007028C7">
      <w:pPr>
        <w:autoSpaceDE w:val="0"/>
        <w:autoSpaceDN w:val="0"/>
        <w:adjustRightInd w:val="0"/>
        <w:ind w:firstLine="1418"/>
        <w:jc w:val="both"/>
        <w:rPr>
          <w:iCs/>
        </w:rPr>
      </w:pPr>
    </w:p>
    <w:p w:rsidR="007028C7" w:rsidRDefault="007028C7" w:rsidP="007028C7">
      <w:pPr>
        <w:autoSpaceDE w:val="0"/>
        <w:autoSpaceDN w:val="0"/>
        <w:adjustRightInd w:val="0"/>
        <w:ind w:firstLine="708"/>
        <w:jc w:val="both"/>
      </w:pPr>
      <w:proofErr w:type="gramStart"/>
      <w:r w:rsidRPr="005B6082">
        <w:rPr>
          <w:i/>
          <w:iCs/>
        </w:rPr>
        <w:t>a</w:t>
      </w:r>
      <w:proofErr w:type="gramEnd"/>
      <w:r w:rsidRPr="005B6082">
        <w:rPr>
          <w:i/>
          <w:iCs/>
        </w:rPr>
        <w:t>)</w:t>
      </w:r>
      <w:r>
        <w:rPr>
          <w:iCs/>
        </w:rPr>
        <w:t xml:space="preserve"> 5. § (6) bekezdésében a „feltételeiről” szövegrész helyébe a „feltételeiről, valamint a bántalmazottat a </w:t>
      </w:r>
      <w:r>
        <w:t>606/2013/EU európai parlamenti és tanácsi rendelet szerinti tanúsítvány kiállításának lehetőségéről és feltételeiről” szöveg,</w:t>
      </w:r>
    </w:p>
    <w:p w:rsidR="007028C7" w:rsidRPr="00B62D4B" w:rsidRDefault="007028C7" w:rsidP="007028C7">
      <w:pPr>
        <w:autoSpaceDE w:val="0"/>
        <w:autoSpaceDN w:val="0"/>
        <w:adjustRightInd w:val="0"/>
        <w:ind w:firstLine="708"/>
        <w:jc w:val="both"/>
        <w:rPr>
          <w:iCs/>
        </w:rPr>
      </w:pPr>
      <w:r w:rsidRPr="005B6082">
        <w:rPr>
          <w:i/>
          <w:iCs/>
        </w:rPr>
        <w:t>b)</w:t>
      </w:r>
      <w:r>
        <w:rPr>
          <w:iCs/>
        </w:rPr>
        <w:t xml:space="preserve"> 7. § (2) bekezdésében a „távoltartó határozat” szövegrész helyébe a „távoltartó határozat és a védelmi tanúsítvány” szöveg,</w:t>
      </w:r>
    </w:p>
    <w:p w:rsidR="007028C7" w:rsidRPr="007702CE" w:rsidRDefault="007028C7" w:rsidP="007028C7">
      <w:pPr>
        <w:autoSpaceDE w:val="0"/>
        <w:autoSpaceDN w:val="0"/>
        <w:adjustRightInd w:val="0"/>
        <w:ind w:firstLine="708"/>
        <w:jc w:val="both"/>
        <w:rPr>
          <w:iCs/>
        </w:rPr>
      </w:pPr>
      <w:r w:rsidRPr="005B6082">
        <w:rPr>
          <w:i/>
          <w:iCs/>
        </w:rPr>
        <w:t>c)</w:t>
      </w:r>
      <w:r>
        <w:rPr>
          <w:iCs/>
        </w:rPr>
        <w:t xml:space="preserve"> 9. §</w:t>
      </w:r>
      <w:proofErr w:type="spellStart"/>
      <w:r>
        <w:rPr>
          <w:iCs/>
        </w:rPr>
        <w:t>-t</w:t>
      </w:r>
      <w:proofErr w:type="spellEnd"/>
      <w:r>
        <w:rPr>
          <w:iCs/>
        </w:rPr>
        <w:t xml:space="preserve"> megelőző alcímében a „határozat” szövegrész helyébe a „határozat és a védelmi tanúsítvány” szöveg,</w:t>
      </w:r>
    </w:p>
    <w:p w:rsidR="007028C7" w:rsidRDefault="007028C7" w:rsidP="007028C7">
      <w:pPr>
        <w:autoSpaceDE w:val="0"/>
        <w:autoSpaceDN w:val="0"/>
        <w:adjustRightInd w:val="0"/>
        <w:ind w:firstLine="708"/>
        <w:jc w:val="both"/>
        <w:rPr>
          <w:iCs/>
        </w:rPr>
      </w:pPr>
      <w:r w:rsidRPr="003A3257">
        <w:rPr>
          <w:i/>
          <w:iCs/>
        </w:rPr>
        <w:t>d)</w:t>
      </w:r>
      <w:r>
        <w:rPr>
          <w:iCs/>
        </w:rPr>
        <w:t xml:space="preserve"> 11. §</w:t>
      </w:r>
      <w:proofErr w:type="spellStart"/>
      <w:r>
        <w:rPr>
          <w:iCs/>
        </w:rPr>
        <w:t>-ában</w:t>
      </w:r>
      <w:proofErr w:type="spellEnd"/>
      <w:r>
        <w:rPr>
          <w:iCs/>
        </w:rPr>
        <w:t xml:space="preserve"> a „</w:t>
      </w:r>
      <w:r w:rsidRPr="00281A69">
        <w:rPr>
          <w:rFonts w:eastAsia="Calibri"/>
          <w:lang w:eastAsia="en-US"/>
        </w:rPr>
        <w:t xml:space="preserve">valamint a civil segítő szervezetekről, továbbá a rendelkezésre álló pénzbeli segítségnyújtási lehetőségekről” szövegrész helyébe az „a civil segítő szervezetekről, </w:t>
      </w:r>
      <w:r w:rsidRPr="00281A69">
        <w:rPr>
          <w:rFonts w:eastAsia="Calibri"/>
          <w:lang w:eastAsia="en-US"/>
        </w:rPr>
        <w:lastRenderedPageBreak/>
        <w:t>valamint a rendelkezésre álló pénzbeli segítségnyújtási lehetőségekről, továbbá kérelmére segítséget nyújtani a védelmi tanúsítvány más tagállamban történő felhasználásával összefüggésben” szöveg</w:t>
      </w:r>
    </w:p>
    <w:p w:rsidR="007028C7" w:rsidRPr="00AD04A7" w:rsidRDefault="007028C7" w:rsidP="007028C7">
      <w:pPr>
        <w:autoSpaceDE w:val="0"/>
        <w:autoSpaceDN w:val="0"/>
        <w:adjustRightInd w:val="0"/>
        <w:jc w:val="both"/>
        <w:rPr>
          <w:iCs/>
        </w:rPr>
      </w:pPr>
    </w:p>
    <w:p w:rsidR="007028C7" w:rsidRDefault="007028C7" w:rsidP="007028C7">
      <w:pPr>
        <w:autoSpaceDE w:val="0"/>
        <w:autoSpaceDN w:val="0"/>
        <w:adjustRightInd w:val="0"/>
        <w:jc w:val="both"/>
        <w:rPr>
          <w:iCs/>
        </w:rPr>
      </w:pPr>
      <w:proofErr w:type="gramStart"/>
      <w:r>
        <w:rPr>
          <w:iCs/>
        </w:rPr>
        <w:t>lép</w:t>
      </w:r>
      <w:proofErr w:type="gramEnd"/>
      <w:r>
        <w:rPr>
          <w:iCs/>
        </w:rPr>
        <w:t>.</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jc w:val="center"/>
        <w:rPr>
          <w:b/>
          <w:iCs/>
        </w:rPr>
      </w:pPr>
      <w:r>
        <w:rPr>
          <w:b/>
          <w:iCs/>
        </w:rPr>
        <w:t>27. §</w:t>
      </w:r>
    </w:p>
    <w:p w:rsidR="007028C7" w:rsidRDefault="007028C7" w:rsidP="007028C7">
      <w:pPr>
        <w:autoSpaceDE w:val="0"/>
        <w:autoSpaceDN w:val="0"/>
        <w:adjustRightInd w:val="0"/>
        <w:jc w:val="both"/>
        <w:rPr>
          <w:iCs/>
        </w:rPr>
      </w:pPr>
    </w:p>
    <w:p w:rsidR="007028C7" w:rsidRDefault="007028C7" w:rsidP="007028C7">
      <w:pPr>
        <w:autoSpaceDE w:val="0"/>
        <w:autoSpaceDN w:val="0"/>
        <w:adjustRightInd w:val="0"/>
        <w:jc w:val="both"/>
        <w:rPr>
          <w:iCs/>
        </w:rPr>
      </w:pPr>
      <w:r>
        <w:rPr>
          <w:iCs/>
        </w:rPr>
        <w:t xml:space="preserve">Hatályát veszti a </w:t>
      </w:r>
      <w:proofErr w:type="spellStart"/>
      <w:r>
        <w:rPr>
          <w:iCs/>
        </w:rPr>
        <w:t>Hettv</w:t>
      </w:r>
      <w:proofErr w:type="spellEnd"/>
      <w:r>
        <w:rPr>
          <w:iCs/>
        </w:rPr>
        <w:t xml:space="preserve">. 14. § (3) bekezdés </w:t>
      </w:r>
      <w:r w:rsidRPr="00FE0BD5">
        <w:rPr>
          <w:i/>
          <w:iCs/>
        </w:rPr>
        <w:t>d)</w:t>
      </w:r>
      <w:r>
        <w:rPr>
          <w:iCs/>
        </w:rPr>
        <w:t xml:space="preserve"> pontjában a „valamint” szövegrész.</w:t>
      </w:r>
    </w:p>
    <w:p w:rsidR="007028C7" w:rsidRDefault="007028C7" w:rsidP="007028C7">
      <w:pPr>
        <w:autoSpaceDE w:val="0"/>
        <w:autoSpaceDN w:val="0"/>
        <w:adjustRightInd w:val="0"/>
        <w:ind w:firstLine="1418"/>
        <w:jc w:val="both"/>
        <w:rPr>
          <w:iCs/>
        </w:rPr>
      </w:pPr>
    </w:p>
    <w:p w:rsidR="007028C7" w:rsidRDefault="007028C7" w:rsidP="007028C7">
      <w:pPr>
        <w:autoSpaceDE w:val="0"/>
        <w:autoSpaceDN w:val="0"/>
        <w:adjustRightInd w:val="0"/>
        <w:jc w:val="center"/>
        <w:rPr>
          <w:b/>
          <w:iCs/>
        </w:rPr>
      </w:pPr>
      <w:r>
        <w:rPr>
          <w:b/>
          <w:iCs/>
        </w:rPr>
        <w:t>28. §</w:t>
      </w:r>
    </w:p>
    <w:p w:rsidR="007028C7" w:rsidRDefault="007028C7" w:rsidP="007028C7">
      <w:pPr>
        <w:autoSpaceDE w:val="0"/>
        <w:autoSpaceDN w:val="0"/>
        <w:adjustRightInd w:val="0"/>
        <w:ind w:firstLine="1418"/>
        <w:jc w:val="both"/>
        <w:rPr>
          <w:iCs/>
        </w:rPr>
      </w:pPr>
    </w:p>
    <w:p w:rsidR="007028C7" w:rsidRDefault="007028C7" w:rsidP="007028C7">
      <w:pPr>
        <w:ind w:firstLine="708"/>
        <w:jc w:val="both"/>
      </w:pPr>
      <w:r>
        <w:t xml:space="preserve">A </w:t>
      </w:r>
      <w:proofErr w:type="spellStart"/>
      <w:r>
        <w:t>Hettv</w:t>
      </w:r>
      <w:proofErr w:type="spellEnd"/>
      <w:r>
        <w:t>. „Felhatalmazás” alcíme a következő 19. §</w:t>
      </w:r>
      <w:proofErr w:type="spellStart"/>
      <w:r>
        <w:t>-sal</w:t>
      </w:r>
      <w:proofErr w:type="spellEnd"/>
      <w:r>
        <w:t xml:space="preserve"> egészül ki:</w:t>
      </w:r>
    </w:p>
    <w:p w:rsidR="007028C7" w:rsidRDefault="007028C7" w:rsidP="007028C7">
      <w:pPr>
        <w:ind w:firstLine="1440"/>
        <w:jc w:val="both"/>
      </w:pPr>
    </w:p>
    <w:p w:rsidR="007028C7" w:rsidRPr="00FE6CB2" w:rsidRDefault="007028C7" w:rsidP="007028C7">
      <w:pPr>
        <w:jc w:val="both"/>
        <w:rPr>
          <w:bCs/>
        </w:rPr>
      </w:pPr>
      <w:r>
        <w:t xml:space="preserve">„19. § E törvény </w:t>
      </w:r>
      <w:r>
        <w:rPr>
          <w:bCs/>
        </w:rPr>
        <w:t>1. § (3a) bekezdése, 6. § (5) bekezdése, 7. § (1a) bekezdése, 9. § (2a) bekezdése, 12. § (7) és (8) bekezdése, 14. § (3a) bekezdése, 16. § (2b), (3a) és (10) bekezdése, valamint 17/</w:t>
      </w:r>
      <w:proofErr w:type="gramStart"/>
      <w:r>
        <w:rPr>
          <w:bCs/>
        </w:rPr>
        <w:t>A</w:t>
      </w:r>
      <w:proofErr w:type="gramEnd"/>
      <w:r>
        <w:rPr>
          <w:bCs/>
        </w:rPr>
        <w:t>. és 17/B. §</w:t>
      </w:r>
      <w:proofErr w:type="spellStart"/>
      <w:r>
        <w:rPr>
          <w:bCs/>
        </w:rPr>
        <w:t>-</w:t>
      </w:r>
      <w:proofErr w:type="gramStart"/>
      <w:r>
        <w:rPr>
          <w:bCs/>
        </w:rPr>
        <w:t>a</w:t>
      </w:r>
      <w:proofErr w:type="spellEnd"/>
      <w:proofErr w:type="gramEnd"/>
      <w:r>
        <w:rPr>
          <w:bCs/>
        </w:rPr>
        <w:t xml:space="preserve"> </w:t>
      </w:r>
      <w:r>
        <w:t>a polgári ügyekben hozott védelmi intézkedések kölcsönös elismeréséről szóló, 2013. június 12-i 606/2013/EU európai parlamenti és tanácsi rendelet</w:t>
      </w:r>
      <w:r>
        <w:rPr>
          <w:bCs/>
        </w:rPr>
        <w:t xml:space="preserve"> </w:t>
      </w:r>
      <w:r w:rsidRPr="00FE6CB2">
        <w:rPr>
          <w:bCs/>
        </w:rPr>
        <w:t>végrehajtásához szüksé</w:t>
      </w:r>
      <w:r>
        <w:rPr>
          <w:bCs/>
        </w:rPr>
        <w:t>ges rendelkezéseket állapít meg.”</w:t>
      </w:r>
    </w:p>
    <w:p w:rsidR="007028C7" w:rsidRPr="00FE6CB2" w:rsidRDefault="007028C7" w:rsidP="007028C7">
      <w:pPr>
        <w:jc w:val="both"/>
        <w:rPr>
          <w:bCs/>
        </w:rPr>
      </w:pPr>
    </w:p>
    <w:p w:rsidR="007028C7" w:rsidRPr="00281A69" w:rsidRDefault="007028C7" w:rsidP="007028C7">
      <w:pPr>
        <w:autoSpaceDE w:val="0"/>
        <w:autoSpaceDN w:val="0"/>
        <w:adjustRightInd w:val="0"/>
        <w:rPr>
          <w:iCs/>
        </w:rPr>
      </w:pPr>
    </w:p>
    <w:p w:rsidR="007028C7" w:rsidRDefault="007028C7" w:rsidP="007028C7">
      <w:pPr>
        <w:jc w:val="center"/>
        <w:rPr>
          <w:bCs/>
        </w:rPr>
      </w:pPr>
      <w:r>
        <w:rPr>
          <w:bCs/>
          <w:i/>
        </w:rPr>
        <w:t>5</w:t>
      </w:r>
      <w:r w:rsidRPr="00254009">
        <w:rPr>
          <w:bCs/>
          <w:i/>
        </w:rPr>
        <w:t>. A hagyatéki eljárásról szóló</w:t>
      </w:r>
      <w:r w:rsidRPr="008E296C">
        <w:rPr>
          <w:bCs/>
          <w:i/>
        </w:rPr>
        <w:t xml:space="preserve"> 2010. évi XXXVIII. törvény módosítása</w:t>
      </w:r>
    </w:p>
    <w:p w:rsidR="007028C7" w:rsidRPr="00D72A1C" w:rsidRDefault="007028C7" w:rsidP="007028C7">
      <w:pPr>
        <w:jc w:val="both"/>
        <w:rPr>
          <w:bCs/>
        </w:rPr>
      </w:pPr>
    </w:p>
    <w:p w:rsidR="007028C7" w:rsidRDefault="007028C7" w:rsidP="007028C7">
      <w:pPr>
        <w:jc w:val="center"/>
        <w:rPr>
          <w:b/>
          <w:bCs/>
        </w:rPr>
      </w:pPr>
      <w:r>
        <w:rPr>
          <w:b/>
          <w:bCs/>
        </w:rPr>
        <w:t>29. §</w:t>
      </w:r>
    </w:p>
    <w:p w:rsidR="007028C7" w:rsidRDefault="007028C7" w:rsidP="007028C7">
      <w:pPr>
        <w:ind w:firstLine="709"/>
        <w:jc w:val="center"/>
      </w:pPr>
    </w:p>
    <w:p w:rsidR="007028C7" w:rsidRDefault="007028C7" w:rsidP="007028C7">
      <w:pPr>
        <w:ind w:firstLine="709"/>
        <w:jc w:val="both"/>
      </w:pPr>
      <w:r>
        <w:t xml:space="preserve">A hagyatéki eljárásról szóló 2010. évi XXXVIII. törvény (a továbbiakban: </w:t>
      </w:r>
      <w:proofErr w:type="spellStart"/>
      <w:r>
        <w:t>Hetv</w:t>
      </w:r>
      <w:proofErr w:type="spellEnd"/>
      <w:r>
        <w:t xml:space="preserve">.) </w:t>
      </w:r>
    </w:p>
    <w:p w:rsidR="007028C7" w:rsidRDefault="007028C7" w:rsidP="007028C7">
      <w:pPr>
        <w:ind w:firstLine="709"/>
        <w:jc w:val="both"/>
      </w:pPr>
    </w:p>
    <w:p w:rsidR="007028C7" w:rsidRDefault="007028C7" w:rsidP="007028C7">
      <w:pPr>
        <w:ind w:firstLine="709"/>
        <w:jc w:val="both"/>
      </w:pPr>
      <w:proofErr w:type="gramStart"/>
      <w:r>
        <w:rPr>
          <w:i/>
          <w:iCs/>
        </w:rPr>
        <w:t>a</w:t>
      </w:r>
      <w:proofErr w:type="gramEnd"/>
      <w:r>
        <w:rPr>
          <w:i/>
          <w:iCs/>
        </w:rPr>
        <w:t xml:space="preserve">) </w:t>
      </w:r>
      <w:r>
        <w:t xml:space="preserve">29. § (1) bekezdés </w:t>
      </w:r>
      <w:r>
        <w:rPr>
          <w:i/>
          <w:iCs/>
        </w:rPr>
        <w:t xml:space="preserve">a) </w:t>
      </w:r>
      <w:r>
        <w:t xml:space="preserve">pontjában, 90. § (2) bekezdés </w:t>
      </w:r>
      <w:r>
        <w:rPr>
          <w:i/>
          <w:iCs/>
        </w:rPr>
        <w:t xml:space="preserve">a) </w:t>
      </w:r>
      <w:r>
        <w:t xml:space="preserve">pont </w:t>
      </w:r>
      <w:r>
        <w:rPr>
          <w:i/>
          <w:iCs/>
        </w:rPr>
        <w:t xml:space="preserve">ab) </w:t>
      </w:r>
      <w:r>
        <w:t xml:space="preserve">alpontjában és 116. § (2) bekezdés </w:t>
      </w:r>
      <w:r>
        <w:rPr>
          <w:i/>
          <w:iCs/>
        </w:rPr>
        <w:t xml:space="preserve">e) </w:t>
      </w:r>
      <w:r>
        <w:t>pontjában a „méhmagzat, cselekvőképességet” szövegrész helyébe a „méhmagzat, kiskorú, cselekvőképességet” szöveg,</w:t>
      </w:r>
    </w:p>
    <w:p w:rsidR="007028C7" w:rsidRDefault="007028C7" w:rsidP="007028C7">
      <w:pPr>
        <w:ind w:firstLine="709"/>
        <w:jc w:val="both"/>
      </w:pPr>
      <w:r>
        <w:rPr>
          <w:i/>
          <w:iCs/>
        </w:rPr>
        <w:t xml:space="preserve">b) </w:t>
      </w:r>
      <w:r>
        <w:t>30. § (3) bekezdésében a „méhmagzat vagy cselekvőképességet” szövegrész helyébe a „méhmagzat, kiskorú vagy cselekvőképességet” szöveg,</w:t>
      </w:r>
    </w:p>
    <w:p w:rsidR="007028C7" w:rsidRDefault="007028C7" w:rsidP="007028C7">
      <w:pPr>
        <w:ind w:firstLine="709"/>
        <w:jc w:val="both"/>
      </w:pPr>
      <w:r>
        <w:rPr>
          <w:i/>
          <w:iCs/>
        </w:rPr>
        <w:t xml:space="preserve">c) </w:t>
      </w:r>
      <w:r>
        <w:t xml:space="preserve">33. § </w:t>
      </w:r>
      <w:r>
        <w:rPr>
          <w:i/>
          <w:iCs/>
        </w:rPr>
        <w:t xml:space="preserve">a) </w:t>
      </w:r>
      <w:r>
        <w:t xml:space="preserve">pontjában, 49. § (1) bekezdés </w:t>
      </w:r>
      <w:r>
        <w:rPr>
          <w:i/>
          <w:iCs/>
        </w:rPr>
        <w:t xml:space="preserve">a) </w:t>
      </w:r>
      <w:r>
        <w:t xml:space="preserve">pontjában, 106. § </w:t>
      </w:r>
      <w:r>
        <w:rPr>
          <w:i/>
          <w:iCs/>
        </w:rPr>
        <w:t xml:space="preserve">a) </w:t>
      </w:r>
      <w:r>
        <w:t xml:space="preserve">pontjában és 111. § (2) bekezdés </w:t>
      </w:r>
      <w:r>
        <w:rPr>
          <w:i/>
          <w:iCs/>
        </w:rPr>
        <w:t xml:space="preserve">a) </w:t>
      </w:r>
      <w:r>
        <w:t>pontjában a „méhmagzat, cselekvőképességet” szövegrész helyébe a „méhmagzat, kiskorú vagy cselekvőképességet” szöveg és</w:t>
      </w:r>
    </w:p>
    <w:p w:rsidR="007028C7" w:rsidRDefault="007028C7" w:rsidP="007028C7">
      <w:pPr>
        <w:ind w:firstLine="709"/>
        <w:jc w:val="both"/>
      </w:pPr>
      <w:r>
        <w:rPr>
          <w:i/>
          <w:iCs/>
        </w:rPr>
        <w:t xml:space="preserve">d) </w:t>
      </w:r>
      <w:r>
        <w:t>49. § (2) bekezdésében a „cselekvőképességét korlátozó vagy kizáró gondnokság” szövegrész helyébe a „cselekvőképességét érintő gondnokság” szöveg</w:t>
      </w:r>
    </w:p>
    <w:p w:rsidR="007028C7" w:rsidRDefault="007028C7" w:rsidP="007028C7">
      <w:pPr>
        <w:ind w:firstLine="709"/>
        <w:jc w:val="both"/>
      </w:pPr>
    </w:p>
    <w:p w:rsidR="007028C7" w:rsidRDefault="007028C7" w:rsidP="007028C7">
      <w:pPr>
        <w:jc w:val="both"/>
      </w:pPr>
      <w:proofErr w:type="gramStart"/>
      <w:r>
        <w:t>lép</w:t>
      </w:r>
      <w:proofErr w:type="gramEnd"/>
      <w:r>
        <w:t>.</w:t>
      </w:r>
    </w:p>
    <w:p w:rsidR="007028C7" w:rsidRDefault="007028C7" w:rsidP="007028C7">
      <w:pPr>
        <w:jc w:val="both"/>
      </w:pPr>
    </w:p>
    <w:p w:rsidR="007028C7" w:rsidRDefault="007028C7" w:rsidP="007028C7">
      <w:pPr>
        <w:jc w:val="center"/>
        <w:rPr>
          <w:b/>
          <w:bCs/>
        </w:rPr>
      </w:pPr>
      <w:r>
        <w:rPr>
          <w:b/>
          <w:bCs/>
        </w:rPr>
        <w:t>30. §</w:t>
      </w:r>
    </w:p>
    <w:p w:rsidR="007028C7" w:rsidRDefault="007028C7" w:rsidP="007028C7">
      <w:pPr>
        <w:jc w:val="both"/>
      </w:pPr>
    </w:p>
    <w:p w:rsidR="007028C7" w:rsidRPr="00722167" w:rsidRDefault="007028C7" w:rsidP="007028C7">
      <w:pPr>
        <w:jc w:val="both"/>
      </w:pPr>
      <w:r w:rsidRPr="00722167">
        <w:t xml:space="preserve">Hatályát veszti a </w:t>
      </w:r>
      <w:proofErr w:type="spellStart"/>
      <w:r w:rsidRPr="00722167">
        <w:t>Hetv</w:t>
      </w:r>
      <w:proofErr w:type="spellEnd"/>
      <w:r w:rsidRPr="00722167">
        <w:t xml:space="preserve">. 20. § (3) bekezdés </w:t>
      </w:r>
      <w:r w:rsidRPr="00722167">
        <w:rPr>
          <w:i/>
          <w:iCs/>
        </w:rPr>
        <w:t xml:space="preserve">a) </w:t>
      </w:r>
      <w:r w:rsidRPr="00722167">
        <w:t xml:space="preserve">pont </w:t>
      </w:r>
      <w:r w:rsidRPr="00722167">
        <w:rPr>
          <w:i/>
          <w:iCs/>
        </w:rPr>
        <w:t xml:space="preserve">ab) </w:t>
      </w:r>
      <w:r w:rsidRPr="00722167">
        <w:t xml:space="preserve">alpontjában és 24. § (1) bekezdés </w:t>
      </w:r>
      <w:r w:rsidRPr="00722167">
        <w:rPr>
          <w:i/>
          <w:iCs/>
        </w:rPr>
        <w:t xml:space="preserve">b) </w:t>
      </w:r>
      <w:r w:rsidRPr="00722167">
        <w:t>pontjában a „cselekvőképességet érintő gondnokság alatt álló” szövegrész.</w:t>
      </w:r>
    </w:p>
    <w:p w:rsidR="007028C7" w:rsidRDefault="007028C7" w:rsidP="007028C7">
      <w:pPr>
        <w:autoSpaceDE w:val="0"/>
        <w:autoSpaceDN w:val="0"/>
        <w:adjustRightInd w:val="0"/>
      </w:pPr>
    </w:p>
    <w:p w:rsidR="00F90605" w:rsidRDefault="00F90605" w:rsidP="007028C7">
      <w:pPr>
        <w:autoSpaceDE w:val="0"/>
        <w:autoSpaceDN w:val="0"/>
        <w:adjustRightInd w:val="0"/>
      </w:pPr>
    </w:p>
    <w:p w:rsidR="00F90605" w:rsidRDefault="00F90605" w:rsidP="007028C7">
      <w:pPr>
        <w:autoSpaceDE w:val="0"/>
        <w:autoSpaceDN w:val="0"/>
        <w:adjustRightInd w:val="0"/>
      </w:pPr>
    </w:p>
    <w:p w:rsidR="00F90605" w:rsidRDefault="00F90605" w:rsidP="007028C7">
      <w:pPr>
        <w:autoSpaceDE w:val="0"/>
        <w:autoSpaceDN w:val="0"/>
        <w:adjustRightInd w:val="0"/>
      </w:pPr>
    </w:p>
    <w:p w:rsidR="00F90605" w:rsidRDefault="00F90605" w:rsidP="007028C7">
      <w:pPr>
        <w:autoSpaceDE w:val="0"/>
        <w:autoSpaceDN w:val="0"/>
        <w:adjustRightInd w:val="0"/>
      </w:pPr>
    </w:p>
    <w:p w:rsidR="007028C7" w:rsidRPr="00072E1D" w:rsidRDefault="007028C7" w:rsidP="007028C7">
      <w:pPr>
        <w:autoSpaceDE w:val="0"/>
        <w:autoSpaceDN w:val="0"/>
        <w:adjustRightInd w:val="0"/>
      </w:pPr>
    </w:p>
    <w:p w:rsidR="007028C7" w:rsidRPr="00166434" w:rsidRDefault="007028C7" w:rsidP="007028C7">
      <w:pPr>
        <w:autoSpaceDE w:val="0"/>
        <w:autoSpaceDN w:val="0"/>
        <w:adjustRightInd w:val="0"/>
        <w:jc w:val="center"/>
        <w:rPr>
          <w:i/>
        </w:rPr>
      </w:pPr>
      <w:r>
        <w:rPr>
          <w:i/>
        </w:rPr>
        <w:lastRenderedPageBreak/>
        <w:t>5</w:t>
      </w:r>
      <w:r w:rsidRPr="00166434">
        <w:rPr>
          <w:i/>
        </w:rPr>
        <w:t>. Záró rendelkezések</w:t>
      </w:r>
    </w:p>
    <w:p w:rsidR="007028C7" w:rsidRPr="00166434" w:rsidRDefault="007028C7" w:rsidP="007028C7">
      <w:pPr>
        <w:autoSpaceDE w:val="0"/>
        <w:autoSpaceDN w:val="0"/>
        <w:adjustRightInd w:val="0"/>
        <w:jc w:val="both"/>
      </w:pPr>
    </w:p>
    <w:p w:rsidR="007028C7" w:rsidRPr="00166434" w:rsidRDefault="007028C7" w:rsidP="007028C7">
      <w:pPr>
        <w:jc w:val="center"/>
        <w:rPr>
          <w:b/>
        </w:rPr>
      </w:pPr>
      <w:r>
        <w:rPr>
          <w:b/>
        </w:rPr>
        <w:t>31</w:t>
      </w:r>
      <w:r w:rsidRPr="00166434">
        <w:rPr>
          <w:b/>
        </w:rPr>
        <w:t>. §</w:t>
      </w:r>
    </w:p>
    <w:p w:rsidR="007028C7" w:rsidRPr="00166434" w:rsidRDefault="007028C7" w:rsidP="007028C7">
      <w:pPr>
        <w:jc w:val="both"/>
      </w:pPr>
    </w:p>
    <w:p w:rsidR="007028C7" w:rsidRPr="005F6065" w:rsidRDefault="007028C7" w:rsidP="007028C7">
      <w:pPr>
        <w:autoSpaceDE w:val="0"/>
        <w:autoSpaceDN w:val="0"/>
        <w:adjustRightInd w:val="0"/>
        <w:ind w:firstLine="708"/>
        <w:jc w:val="both"/>
      </w:pPr>
      <w:r>
        <w:t>(1) Ez a</w:t>
      </w:r>
      <w:r w:rsidRPr="00166434">
        <w:t xml:space="preserve"> </w:t>
      </w:r>
      <w:r w:rsidRPr="005F6065">
        <w:t>törvény – a (2) bekezdésben foglalt kivétellel – 2015. január 10. napján lép hatályba.</w:t>
      </w:r>
    </w:p>
    <w:p w:rsidR="007028C7" w:rsidRPr="005F6065" w:rsidRDefault="007028C7" w:rsidP="007028C7">
      <w:pPr>
        <w:autoSpaceDE w:val="0"/>
        <w:autoSpaceDN w:val="0"/>
        <w:adjustRightInd w:val="0"/>
        <w:jc w:val="both"/>
      </w:pPr>
    </w:p>
    <w:p w:rsidR="007028C7" w:rsidRDefault="00DA564D" w:rsidP="007028C7">
      <w:pPr>
        <w:autoSpaceDE w:val="0"/>
        <w:autoSpaceDN w:val="0"/>
        <w:adjustRightInd w:val="0"/>
        <w:ind w:firstLine="708"/>
        <w:jc w:val="both"/>
      </w:pPr>
      <w:r>
        <w:t>(2) A 16</w:t>
      </w:r>
      <w:r w:rsidR="003A263C">
        <w:t>–28</w:t>
      </w:r>
      <w:r w:rsidR="007028C7" w:rsidRPr="005F6065">
        <w:t xml:space="preserve">. § </w:t>
      </w:r>
      <w:r w:rsidR="003A263C">
        <w:t xml:space="preserve">2015. </w:t>
      </w:r>
      <w:r w:rsidR="007028C7" w:rsidRPr="005F6065">
        <w:t>január 11. napján lép hatály</w:t>
      </w:r>
      <w:r w:rsidR="003A263C">
        <w:t>b</w:t>
      </w:r>
      <w:r w:rsidR="007028C7" w:rsidRPr="005F6065">
        <w:t>a.</w:t>
      </w:r>
    </w:p>
    <w:p w:rsidR="007028C7" w:rsidRPr="00166434" w:rsidRDefault="007028C7" w:rsidP="007028C7">
      <w:pPr>
        <w:autoSpaceDE w:val="0"/>
        <w:autoSpaceDN w:val="0"/>
        <w:adjustRightInd w:val="0"/>
        <w:jc w:val="both"/>
      </w:pPr>
    </w:p>
    <w:p w:rsidR="007028C7" w:rsidRPr="00166434" w:rsidRDefault="007028C7" w:rsidP="007028C7">
      <w:pPr>
        <w:autoSpaceDE w:val="0"/>
        <w:autoSpaceDN w:val="0"/>
        <w:adjustRightInd w:val="0"/>
        <w:jc w:val="center"/>
        <w:rPr>
          <w:b/>
        </w:rPr>
      </w:pPr>
      <w:r>
        <w:rPr>
          <w:b/>
        </w:rPr>
        <w:t>32</w:t>
      </w:r>
      <w:r w:rsidRPr="00166434">
        <w:rPr>
          <w:b/>
        </w:rPr>
        <w:t>. §</w:t>
      </w:r>
    </w:p>
    <w:p w:rsidR="007028C7" w:rsidRPr="00166434" w:rsidRDefault="007028C7" w:rsidP="007028C7">
      <w:pPr>
        <w:autoSpaceDE w:val="0"/>
        <w:autoSpaceDN w:val="0"/>
        <w:adjustRightInd w:val="0"/>
        <w:jc w:val="both"/>
      </w:pPr>
    </w:p>
    <w:p w:rsidR="007028C7" w:rsidRPr="008B20D2" w:rsidRDefault="007028C7" w:rsidP="007028C7">
      <w:pPr>
        <w:ind w:firstLine="708"/>
        <w:jc w:val="both"/>
        <w:rPr>
          <w:bCs/>
        </w:rPr>
      </w:pPr>
      <w:r w:rsidRPr="00166434">
        <w:rPr>
          <w:bCs/>
        </w:rPr>
        <w:t>E törvény</w:t>
      </w:r>
      <w:r>
        <w:rPr>
          <w:bCs/>
        </w:rPr>
        <w:t xml:space="preserve"> 1-12. §</w:t>
      </w:r>
      <w:proofErr w:type="spellStart"/>
      <w:r>
        <w:rPr>
          <w:bCs/>
        </w:rPr>
        <w:t>-</w:t>
      </w:r>
      <w:proofErr w:type="gramStart"/>
      <w:r>
        <w:rPr>
          <w:bCs/>
        </w:rPr>
        <w:t>a</w:t>
      </w:r>
      <w:proofErr w:type="spellEnd"/>
      <w:proofErr w:type="gramEnd"/>
      <w:r w:rsidRPr="00166434">
        <w:rPr>
          <w:bCs/>
        </w:rPr>
        <w:t xml:space="preserve"> </w:t>
      </w:r>
      <w:r w:rsidRPr="00166434">
        <w:t xml:space="preserve">a polgári és kereskedelmi ügyekben a joghatóságról, valamint a határozatok elismeréséről és végrehajtásáról szóló 1215/2012/EU európai parlamenti és tanácsi rendelet, </w:t>
      </w:r>
      <w:r w:rsidR="00DA564D">
        <w:t>16-28</w:t>
      </w:r>
      <w:r>
        <w:t>. §</w:t>
      </w:r>
      <w:proofErr w:type="spellStart"/>
      <w:r>
        <w:t>-a</w:t>
      </w:r>
      <w:proofErr w:type="spellEnd"/>
      <w:r>
        <w:t xml:space="preserve"> </w:t>
      </w:r>
      <w:r w:rsidRPr="00166434">
        <w:t>a polgári ügyekben hozott védelmi intézkedések kölcsönös elismeréséről szóló 606/2013/EU európai parlamenti és tanácsi rendelet</w:t>
      </w:r>
      <w:r w:rsidRPr="00166434">
        <w:rPr>
          <w:b/>
        </w:rPr>
        <w:t xml:space="preserve"> </w:t>
      </w:r>
      <w:r w:rsidRPr="00166434">
        <w:rPr>
          <w:bCs/>
        </w:rPr>
        <w:t>végrehajtásához szükséges rendelkezéseket állapít meg.</w:t>
      </w:r>
    </w:p>
    <w:p w:rsidR="00B51B66" w:rsidRDefault="00B51B66" w:rsidP="00722087">
      <w:pPr>
        <w:autoSpaceDE w:val="0"/>
        <w:autoSpaceDN w:val="0"/>
        <w:adjustRightInd w:val="0"/>
        <w:ind w:firstLine="1418"/>
        <w:jc w:val="both"/>
        <w:rPr>
          <w:rFonts w:eastAsia="Calibri"/>
          <w:color w:val="000000"/>
          <w:lang w:eastAsia="en-US"/>
        </w:rPr>
      </w:pPr>
    </w:p>
    <w:p w:rsidR="00B51B66" w:rsidRPr="00B51B66" w:rsidRDefault="00D33C10" w:rsidP="00B51B66">
      <w:pPr>
        <w:jc w:val="center"/>
        <w:rPr>
          <w:b/>
        </w:rPr>
      </w:pPr>
      <w:r>
        <w:rPr>
          <w:b/>
        </w:rPr>
        <w:br w:type="page"/>
      </w:r>
      <w:r>
        <w:rPr>
          <w:b/>
        </w:rPr>
        <w:lastRenderedPageBreak/>
        <w:t>ÁLTALÁNOS INDOKOLÁS</w:t>
      </w:r>
    </w:p>
    <w:p w:rsidR="00B51B66" w:rsidRDefault="00B51B66" w:rsidP="00B51B66">
      <w:pPr>
        <w:jc w:val="both"/>
      </w:pPr>
    </w:p>
    <w:p w:rsidR="00D33C10" w:rsidRDefault="00D33C10" w:rsidP="00B51B66">
      <w:pPr>
        <w:jc w:val="both"/>
      </w:pPr>
    </w:p>
    <w:p w:rsidR="007028C7" w:rsidRPr="00D72A1C" w:rsidRDefault="007028C7" w:rsidP="007028C7">
      <w:pPr>
        <w:jc w:val="both"/>
      </w:pPr>
      <w:proofErr w:type="gramStart"/>
      <w:r w:rsidRPr="00D72A1C">
        <w:t xml:space="preserve">Az egyes igazságügyi és magánjogi tárgyú törvények módosításáról szóló törvénytervezet (a továbbiakban: Javaslat) a polgári és kereskedelmi ügyekben a joghatóságról, valamint a határozatok elismeréséről és végrehajtásáról szóló 1215/2012/EU európai parlamenti és tanácsi rendelet </w:t>
      </w:r>
      <w:r w:rsidRPr="008A0162">
        <w:t xml:space="preserve">(a továbbiakban: </w:t>
      </w:r>
      <w:r>
        <w:t xml:space="preserve">új Brüsszel I. </w:t>
      </w:r>
      <w:r w:rsidRPr="00033A26">
        <w:t xml:space="preserve">rendelet) valamint a polgári ügyekben hozott védelmi intézkedések kölcsönös elismeréséről szóló 606/2013/EU európai parlamenti és tanácsi rendelet </w:t>
      </w:r>
      <w:r w:rsidRPr="002D2AA2">
        <w:t>(a továbbiakban: 606/2013/EU rendelet)</w:t>
      </w:r>
      <w:r>
        <w:t xml:space="preserve"> </w:t>
      </w:r>
      <w:r w:rsidRPr="00D72A1C">
        <w:t>alkalmazásának biztosításához szükséges törvénymódosításokat, valamint egyes egyéb igazságügyi és magánjogi</w:t>
      </w:r>
      <w:proofErr w:type="gramEnd"/>
      <w:r w:rsidRPr="00D72A1C">
        <w:t xml:space="preserve"> </w:t>
      </w:r>
      <w:proofErr w:type="gramStart"/>
      <w:r w:rsidRPr="00D72A1C">
        <w:t>tárgyú</w:t>
      </w:r>
      <w:proofErr w:type="gramEnd"/>
      <w:r w:rsidRPr="00D72A1C">
        <w:t xml:space="preserve"> törvények szükséges módosítását tartalmazza. </w:t>
      </w:r>
    </w:p>
    <w:p w:rsidR="007028C7" w:rsidRPr="00D72A1C" w:rsidRDefault="007028C7" w:rsidP="007028C7">
      <w:pPr>
        <w:jc w:val="both"/>
      </w:pPr>
    </w:p>
    <w:p w:rsidR="007028C7" w:rsidRDefault="007028C7" w:rsidP="007028C7">
      <w:pPr>
        <w:jc w:val="both"/>
      </w:pPr>
      <w:r w:rsidRPr="00D72A1C">
        <w:t>Az új Brüsszel I. rendelet célja a határon átnyúló polgári, kereskedelmi igények érvényesítésének könnyítése, egyszerűsítése a korábbi szabályozáshoz képest,</w:t>
      </w:r>
      <w:r w:rsidRPr="00D72A1C">
        <w:rPr>
          <w:noProof/>
        </w:rPr>
        <w:t xml:space="preserve"> valamint a határon átnyúló polgári védelmi intézkedések kölcsönös elismerése</w:t>
      </w:r>
      <w:r w:rsidRPr="00D72A1C">
        <w:t xml:space="preserve">, ennek érdekében pedig legfontosabb vívmányaként megszünteti a végrehajthatóvá nyilvánítási (ún. </w:t>
      </w:r>
      <w:proofErr w:type="spellStart"/>
      <w:r w:rsidRPr="00D72A1C">
        <w:t>exequatur</w:t>
      </w:r>
      <w:proofErr w:type="spellEnd"/>
      <w:r w:rsidRPr="00D72A1C">
        <w:t xml:space="preserve">) eljárást. Az új Brüsszel I. rendelet következtében a jövőben a polgári és kereskedelmi ügyek többségében hozott olyan határozatok, amelyek a meghozataluk helye szerinti EU-tagállamban végrehajthatók, a többi tagállamban is gyakorlatilag automatikusan, a korábbi közbenső eljárás szükségessége nélkül végrehajthatók lesznek.  Az új Brüsszel I. rendelet alkalmazásához elsősorban a bírósági végrehajtásról szóló 1994. évi LIII. törvény (a továbbiakban: </w:t>
      </w:r>
      <w:proofErr w:type="spellStart"/>
      <w:r w:rsidRPr="00D72A1C">
        <w:t>Vht</w:t>
      </w:r>
      <w:proofErr w:type="spellEnd"/>
      <w:r w:rsidRPr="00D72A1C">
        <w:t xml:space="preserve">.), valamint az illetékekről szóló 1990. évi XCIII. törvény (a továbbiakban: </w:t>
      </w:r>
      <w:proofErr w:type="spellStart"/>
      <w:r w:rsidRPr="00D72A1C">
        <w:t>Itv</w:t>
      </w:r>
      <w:proofErr w:type="spellEnd"/>
      <w:r w:rsidRPr="00D72A1C">
        <w:t>.) egyes rendelk</w:t>
      </w:r>
      <w:r>
        <w:t>ezéseinek módosítása szükséges.</w:t>
      </w:r>
    </w:p>
    <w:p w:rsidR="007028C7" w:rsidRDefault="007028C7" w:rsidP="007028C7">
      <w:pPr>
        <w:jc w:val="both"/>
      </w:pPr>
    </w:p>
    <w:p w:rsidR="007028C7" w:rsidRDefault="007028C7" w:rsidP="007028C7">
      <w:pPr>
        <w:autoSpaceDE w:val="0"/>
        <w:autoSpaceDN w:val="0"/>
        <w:jc w:val="both"/>
      </w:pPr>
      <w:r w:rsidRPr="00033A26">
        <w:rPr>
          <w:bCs/>
        </w:rPr>
        <w:t xml:space="preserve">A </w:t>
      </w:r>
      <w:r w:rsidRPr="00033A26">
        <w:t xml:space="preserve">606/2013/EU </w:t>
      </w:r>
      <w:r w:rsidRPr="00033A26">
        <w:rPr>
          <w:bCs/>
        </w:rPr>
        <w:t xml:space="preserve">rendelet az uniós polgári és igazságügyi együttműködés területén egy új jogforrás, amely a Stockholmi Program keretében fogant abból a felismerésből, hogy többet kell tenni az erőszak áldozatainak védelme érdekében. </w:t>
      </w:r>
      <w:r w:rsidRPr="00033A26">
        <w:t xml:space="preserve">A rendelet célja az </w:t>
      </w:r>
      <w:r w:rsidRPr="00033A26">
        <w:rPr>
          <w:bCs/>
        </w:rPr>
        <w:t xml:space="preserve">erőszak áldozatainak védelme, akikre </w:t>
      </w:r>
      <w:r w:rsidRPr="00033A26">
        <w:rPr>
          <w:noProof/>
        </w:rPr>
        <w:t>–</w:t>
      </w:r>
      <w:r w:rsidRPr="00033A26">
        <w:rPr>
          <w:bCs/>
        </w:rPr>
        <w:t xml:space="preserve"> amennyiben az Európai Unió más tagállamába utaznak vagy költöznek </w:t>
      </w:r>
      <w:r w:rsidRPr="00033A26">
        <w:rPr>
          <w:noProof/>
        </w:rPr>
        <w:t>–</w:t>
      </w:r>
      <w:r w:rsidRPr="00033A26">
        <w:rPr>
          <w:bCs/>
        </w:rPr>
        <w:t xml:space="preserve">, továbbra is ki kell terjednie azoknak a védelmi intézkedéseknek a hatálya, amelyeket az elkövetővel szemben hoztak. A 606/2013/EU rendelet a polgári ügyekben hozott védelmi intézkedések kölcsönös elismerését teszi lehetővé, azaz, az eredeti eljárás szerinti tagállam kiállító hatósága által elrendelt védelmi intézkedés automatikusan azonos elismerést nyer a megkeresett másik tagállamban is. </w:t>
      </w:r>
      <w:r w:rsidRPr="00033A26">
        <w:rPr>
          <w:noProof/>
        </w:rPr>
        <w:t xml:space="preserve">A 606/2013/EU rendelet rendelkezéseinek hazai jogszabályi környezetben történő alkalmazása érdekében </w:t>
      </w:r>
      <w:r w:rsidRPr="00033A26">
        <w:t>a</w:t>
      </w:r>
      <w:r w:rsidRPr="00033A26">
        <w:rPr>
          <w:bCs/>
        </w:rPr>
        <w:t xml:space="preserve"> hozzátartozók közti erőszak miatt alkalmazandó távoltartásról szóló 2009. évi LXXII. törvény (a továbbiakban: </w:t>
      </w:r>
      <w:proofErr w:type="spellStart"/>
      <w:r w:rsidRPr="00033A26">
        <w:rPr>
          <w:bCs/>
        </w:rPr>
        <w:t>Hettv</w:t>
      </w:r>
      <w:proofErr w:type="spellEnd"/>
      <w:r w:rsidRPr="00033A26">
        <w:rPr>
          <w:bCs/>
        </w:rPr>
        <w:t xml:space="preserve">.) </w:t>
      </w:r>
      <w:r w:rsidRPr="00033A26">
        <w:t>módosítása szükséges. Miután a 606/2013/EU rendelet mind az eredeti eljárás helye szerinti tagállamra, mind pedig a megkeresett tagállamra telepít jogokat és kötelezettségeket, a szabályoknak át kell fogniuk egyrészről azokat az esetköröket, amelyekben Magyarország a védelmi intézkedés – megelőző távoltartás – elrendelője és az erről szóló tanúsítvány kiállítója, másrészről azokat is, amelyekben a más tagállamban elrendelt intézkedés elismerését és végrehajtását indítványozzák Magyarországon.</w:t>
      </w:r>
    </w:p>
    <w:p w:rsidR="007028C7" w:rsidRPr="00D72A1C" w:rsidRDefault="007028C7" w:rsidP="007028C7">
      <w:pPr>
        <w:jc w:val="both"/>
      </w:pPr>
    </w:p>
    <w:p w:rsidR="007028C7" w:rsidRDefault="007028C7" w:rsidP="007028C7">
      <w:pPr>
        <w:autoSpaceDE w:val="0"/>
        <w:autoSpaceDN w:val="0"/>
        <w:jc w:val="both"/>
      </w:pPr>
      <w:r w:rsidRPr="00D72A1C">
        <w:t xml:space="preserve">A </w:t>
      </w:r>
      <w:proofErr w:type="gramStart"/>
      <w:r w:rsidRPr="00D72A1C">
        <w:t>Javaslat módosító</w:t>
      </w:r>
      <w:proofErr w:type="gramEnd"/>
      <w:r w:rsidRPr="00D72A1C">
        <w:t xml:space="preserve"> rendelkezéseket tartalmaz a bírósági végrehajtásban igénybe vehető elektronikus kézbesítés</w:t>
      </w:r>
      <w:r>
        <w:t>i rendszerhez történő csatlakozás</w:t>
      </w:r>
      <w:r w:rsidRPr="00D72A1C">
        <w:t xml:space="preserve"> iránti kérelemmel kapcsolatos adatkezelés vonatkozásában</w:t>
      </w:r>
      <w:r>
        <w:t xml:space="preserve"> is.</w:t>
      </w:r>
    </w:p>
    <w:p w:rsidR="007028C7" w:rsidRPr="00D72A1C" w:rsidRDefault="007028C7" w:rsidP="007028C7">
      <w:pPr>
        <w:autoSpaceDE w:val="0"/>
        <w:autoSpaceDN w:val="0"/>
        <w:jc w:val="both"/>
      </w:pPr>
    </w:p>
    <w:p w:rsidR="007028C7" w:rsidRPr="00D72A1C" w:rsidRDefault="007028C7" w:rsidP="007028C7">
      <w:pPr>
        <w:autoSpaceDE w:val="0"/>
        <w:autoSpaceDN w:val="0"/>
        <w:jc w:val="both"/>
      </w:pPr>
      <w:r w:rsidRPr="00D72A1C">
        <w:t xml:space="preserve">A Javaslat </w:t>
      </w:r>
      <w:r>
        <w:t xml:space="preserve">kiegészíti </w:t>
      </w:r>
      <w:r w:rsidRPr="00D72A1C">
        <w:t xml:space="preserve">az </w:t>
      </w:r>
      <w:r w:rsidRPr="00D72A1C">
        <w:rPr>
          <w:bCs/>
        </w:rPr>
        <w:t>államháztartásról szóló 1992. évi XXXVIII. törvény és egyes kapcsolódó törvények módosításáról rendelkező 2006. évi LXV. törvény</w:t>
      </w:r>
      <w:r w:rsidRPr="00D72A1C">
        <w:t xml:space="preserve"> (a továbbiakban</w:t>
      </w:r>
      <w:r>
        <w:t xml:space="preserve">: </w:t>
      </w:r>
      <w:proofErr w:type="spellStart"/>
      <w:r w:rsidRPr="00D72A1C">
        <w:t>Áhtmódtv</w:t>
      </w:r>
      <w:proofErr w:type="spellEnd"/>
      <w:r w:rsidRPr="00D72A1C">
        <w:t>.</w:t>
      </w:r>
      <w:r>
        <w:t>) szabályait.</w:t>
      </w:r>
      <w:r w:rsidRPr="00D72A1C">
        <w:t xml:space="preserve"> A hatályos jogszabályok alapján 2014. június 1. napjától a közalapítványok nem kezdeményezhetik a közhasznúsági nyilvántartásba vételt, és nem </w:t>
      </w:r>
      <w:r w:rsidRPr="00D72A1C">
        <w:lastRenderedPageBreak/>
        <w:t xml:space="preserve">jogosultak a közhasznú jogálláshoz kapcsolódó kedvezmények igénybevételére. A jogalkotó az erre a jogi személyre vonatkozó speciális szabályokat tartalmazó </w:t>
      </w:r>
      <w:proofErr w:type="spellStart"/>
      <w:r w:rsidRPr="00D72A1C">
        <w:t>Áhtmódtv</w:t>
      </w:r>
      <w:proofErr w:type="spellEnd"/>
      <w:r w:rsidRPr="00D72A1C">
        <w:t xml:space="preserve">. módosításával a továbbiakban is biztosítani kívánja a közalapítványok részére, hogy megszerezhessék a közhasznú jogállást, és azt is, hogy a 2014. június 1. napjától a törvénymódosításig terjedő átmeneti időszakban is közhasznú jogállásúnak minősülhessenek.   </w:t>
      </w:r>
    </w:p>
    <w:p w:rsidR="007028C7" w:rsidRPr="00D72A1C" w:rsidRDefault="007028C7" w:rsidP="007028C7">
      <w:pPr>
        <w:jc w:val="both"/>
      </w:pPr>
    </w:p>
    <w:p w:rsidR="007028C7" w:rsidRPr="00D72A1C" w:rsidRDefault="007028C7" w:rsidP="007028C7">
      <w:pPr>
        <w:autoSpaceDE w:val="0"/>
        <w:autoSpaceDN w:val="0"/>
        <w:jc w:val="both"/>
      </w:pPr>
      <w:r w:rsidRPr="00D72A1C">
        <w:t xml:space="preserve">A </w:t>
      </w:r>
      <w:r>
        <w:t xml:space="preserve">hagyatéki eljárásról szóló 2010. évi XXXVIII. törvény (a továbbiakban: </w:t>
      </w:r>
      <w:proofErr w:type="spellStart"/>
      <w:r>
        <w:t>Hetv</w:t>
      </w:r>
      <w:proofErr w:type="spellEnd"/>
      <w:r>
        <w:t>.)</w:t>
      </w:r>
      <w:r w:rsidRPr="00D72A1C">
        <w:t xml:space="preserve"> módosítását egyrészről</w:t>
      </w:r>
      <w:r w:rsidRPr="00D72A1C">
        <w:rPr>
          <w:color w:val="1F497D"/>
        </w:rPr>
        <w:t xml:space="preserve"> </w:t>
      </w:r>
      <w:r w:rsidRPr="00D72A1C">
        <w:t xml:space="preserve">egy kiskorúakra vonatkozó – jelenleg a hagyatéki eljárás egyes cselekményeiről szóló 29/2010. (XII. 31.) évi KIM rendeletben szabályozott – értelmező rendelkezés törvényi szintre emelése indokolja. Törvényi szinten indokolt rendelkezni ugyanis – a </w:t>
      </w:r>
      <w:proofErr w:type="spellStart"/>
      <w:r w:rsidRPr="00D72A1C">
        <w:t>Hetv</w:t>
      </w:r>
      <w:proofErr w:type="spellEnd"/>
      <w:r w:rsidRPr="00D72A1C">
        <w:t>. 2014. március 15. előtt hatályos szabályaihoz hasonlóan – azokról az esetekről, amikor a hagyatéki eljárás során kiskorú személy is érintett. A módosítások másrészről – a Polgári Törvénykönyvről  szóló 2013. évi V. törvény által – a gondnokság alá helyezés típusai kapcsán bevezetett új terminológiával való összhang megteremtését célozzák.</w:t>
      </w:r>
    </w:p>
    <w:p w:rsidR="00722087" w:rsidRDefault="00722087" w:rsidP="00BE299A">
      <w:pPr>
        <w:autoSpaceDE w:val="0"/>
        <w:autoSpaceDN w:val="0"/>
        <w:adjustRightInd w:val="0"/>
        <w:jc w:val="both"/>
        <w:rPr>
          <w:bCs/>
        </w:rPr>
      </w:pPr>
    </w:p>
    <w:p w:rsidR="00D33C10" w:rsidRDefault="00D33C10" w:rsidP="00BE299A">
      <w:pPr>
        <w:autoSpaceDE w:val="0"/>
        <w:autoSpaceDN w:val="0"/>
        <w:adjustRightInd w:val="0"/>
        <w:jc w:val="both"/>
        <w:rPr>
          <w:bCs/>
        </w:rPr>
      </w:pPr>
    </w:p>
    <w:p w:rsidR="00D33C10" w:rsidRDefault="00D33C10" w:rsidP="00BE299A">
      <w:pPr>
        <w:autoSpaceDE w:val="0"/>
        <w:autoSpaceDN w:val="0"/>
        <w:adjustRightInd w:val="0"/>
        <w:jc w:val="both"/>
        <w:rPr>
          <w:bCs/>
        </w:rPr>
      </w:pPr>
    </w:p>
    <w:p w:rsidR="00D33C10" w:rsidRPr="00BE299A" w:rsidRDefault="00D33C10" w:rsidP="00BE299A">
      <w:pPr>
        <w:autoSpaceDE w:val="0"/>
        <w:autoSpaceDN w:val="0"/>
        <w:adjustRightInd w:val="0"/>
        <w:jc w:val="both"/>
        <w:rPr>
          <w:bCs/>
        </w:rPr>
      </w:pPr>
    </w:p>
    <w:p w:rsidR="00D33C10" w:rsidRPr="00D72A1C" w:rsidRDefault="00D33C10" w:rsidP="00D33C10">
      <w:pPr>
        <w:jc w:val="center"/>
        <w:rPr>
          <w:b/>
        </w:rPr>
      </w:pPr>
      <w:r w:rsidRPr="00D72A1C">
        <w:rPr>
          <w:b/>
        </w:rPr>
        <w:t>RÉSZLETES INDOKOLÁS</w:t>
      </w:r>
    </w:p>
    <w:p w:rsidR="00D33C10" w:rsidRPr="00D72A1C" w:rsidRDefault="00D33C10" w:rsidP="00D33C10">
      <w:pPr>
        <w:jc w:val="center"/>
        <w:rPr>
          <w:b/>
        </w:rPr>
      </w:pPr>
    </w:p>
    <w:p w:rsidR="00D33C10" w:rsidRPr="00D72A1C" w:rsidRDefault="00D33C10" w:rsidP="00D33C10">
      <w:pPr>
        <w:jc w:val="center"/>
        <w:rPr>
          <w:i/>
        </w:rPr>
      </w:pPr>
      <w:r w:rsidRPr="00D72A1C">
        <w:rPr>
          <w:i/>
        </w:rPr>
        <w:t>Az 1.</w:t>
      </w:r>
      <w:r>
        <w:rPr>
          <w:i/>
        </w:rPr>
        <w:t xml:space="preserve"> </w:t>
      </w:r>
      <w:r w:rsidRPr="00D72A1C">
        <w:rPr>
          <w:i/>
        </w:rPr>
        <w:t>§</w:t>
      </w:r>
      <w:proofErr w:type="spellStart"/>
      <w:r w:rsidRPr="00D72A1C">
        <w:rPr>
          <w:i/>
        </w:rPr>
        <w:t>-hoz</w:t>
      </w:r>
      <w:proofErr w:type="spellEnd"/>
    </w:p>
    <w:p w:rsidR="00D33C10" w:rsidRPr="00D72A1C" w:rsidRDefault="00D33C10" w:rsidP="00D33C10">
      <w:pPr>
        <w:jc w:val="center"/>
        <w:rPr>
          <w:i/>
        </w:rPr>
      </w:pPr>
    </w:p>
    <w:p w:rsidR="00D33C10" w:rsidRPr="00D72A1C" w:rsidRDefault="00D33C10" w:rsidP="00D33C10">
      <w:pPr>
        <w:jc w:val="both"/>
      </w:pPr>
      <w:r w:rsidRPr="00D72A1C">
        <w:t>A Javaslat az új Brüsszel I. rendelet hazai alkalmazásával kapcsolatos jogszabály-módosítások átvezetésére tekintettel egészíti ki az új Brüsszel I. rendeletre utalással az illetékekről szóló 1990. évi XCIII. törvény jogharmonizációs záradékát.</w:t>
      </w:r>
    </w:p>
    <w:p w:rsidR="00D33C10" w:rsidRPr="00D72A1C" w:rsidRDefault="00D33C10" w:rsidP="00D33C10"/>
    <w:p w:rsidR="00D33C10" w:rsidRPr="00D72A1C" w:rsidRDefault="00D33C10" w:rsidP="00D33C10">
      <w:pPr>
        <w:jc w:val="center"/>
        <w:rPr>
          <w:i/>
        </w:rPr>
      </w:pPr>
      <w:r w:rsidRPr="00D72A1C">
        <w:rPr>
          <w:i/>
        </w:rPr>
        <w:t>A 2.</w:t>
      </w:r>
      <w:r>
        <w:rPr>
          <w:i/>
        </w:rPr>
        <w:t xml:space="preserve"> </w:t>
      </w:r>
      <w:r w:rsidRPr="00D72A1C">
        <w:rPr>
          <w:i/>
        </w:rPr>
        <w:t>§</w:t>
      </w:r>
      <w:proofErr w:type="spellStart"/>
      <w:r w:rsidRPr="00D72A1C">
        <w:rPr>
          <w:i/>
        </w:rPr>
        <w:t>-hoz</w:t>
      </w:r>
      <w:proofErr w:type="spellEnd"/>
    </w:p>
    <w:p w:rsidR="00D33C10" w:rsidRPr="00D72A1C" w:rsidRDefault="00D33C10" w:rsidP="00D33C10">
      <w:pPr>
        <w:rPr>
          <w:i/>
        </w:rPr>
      </w:pPr>
    </w:p>
    <w:p w:rsidR="00D33C10" w:rsidRPr="00D72A1C" w:rsidRDefault="00D33C10" w:rsidP="00D33C10">
      <w:pPr>
        <w:autoSpaceDE w:val="0"/>
        <w:autoSpaceDN w:val="0"/>
        <w:adjustRightInd w:val="0"/>
        <w:jc w:val="both"/>
        <w:outlineLvl w:val="0"/>
        <w:rPr>
          <w:bCs/>
        </w:rPr>
      </w:pPr>
      <w:r w:rsidRPr="00D72A1C">
        <w:rPr>
          <w:bCs/>
        </w:rPr>
        <w:t>Az új Brüsszel I. rendelet 54. cikk</w:t>
      </w:r>
      <w:r>
        <w:rPr>
          <w:bCs/>
        </w:rPr>
        <w:t>e</w:t>
      </w:r>
      <w:r w:rsidRPr="00D72A1C">
        <w:rPr>
          <w:bCs/>
        </w:rPr>
        <w:t xml:space="preserve"> szerint, ha a határozat olyan intézkedést vagy rendelkezést tartalmaz, amely nem ismert a címzett tagállam jogában, az említett intézkedést vagy rendelkezést hozzá kell igazítani az adott tagállam jogában létező, azonos joghatást kiváltó, valamint hasonló célokat és érdekeket követő intézkedéshez vagy rendelkezéshez. Ez a kiigazítás nem járhat az eredeti eljárás helye szerinti tagállam jogában előírtakon túlmutató joghatásokkal, továbbá a hozzáigazítás tekintetében hozott döntéssel szemben biztosítani kell a felek jogorvoslati jogát. E rendelkezésre figyelemmel szükséges kiegészíteni a </w:t>
      </w:r>
      <w:proofErr w:type="spellStart"/>
      <w:r w:rsidRPr="00D72A1C">
        <w:rPr>
          <w:bCs/>
        </w:rPr>
        <w:t>Vht</w:t>
      </w:r>
      <w:proofErr w:type="spellEnd"/>
      <w:r w:rsidRPr="00D72A1C">
        <w:rPr>
          <w:bCs/>
        </w:rPr>
        <w:t>. rendelkezéseit. A Javaslat erre figyelemmel egy új 14/</w:t>
      </w:r>
      <w:proofErr w:type="gramStart"/>
      <w:r w:rsidRPr="00D72A1C">
        <w:rPr>
          <w:bCs/>
        </w:rPr>
        <w:t>A</w:t>
      </w:r>
      <w:proofErr w:type="gramEnd"/>
      <w:r w:rsidRPr="00D72A1C">
        <w:rPr>
          <w:bCs/>
        </w:rPr>
        <w:t>. §</w:t>
      </w:r>
      <w:proofErr w:type="spellStart"/>
      <w:r w:rsidRPr="00D72A1C">
        <w:rPr>
          <w:bCs/>
        </w:rPr>
        <w:t>-sal</w:t>
      </w:r>
      <w:proofErr w:type="spellEnd"/>
      <w:r w:rsidRPr="00D72A1C">
        <w:rPr>
          <w:bCs/>
        </w:rPr>
        <w:t xml:space="preserve"> egészíti ki a </w:t>
      </w:r>
      <w:proofErr w:type="spellStart"/>
      <w:r w:rsidRPr="00D72A1C">
        <w:rPr>
          <w:bCs/>
        </w:rPr>
        <w:t>Vht.-t</w:t>
      </w:r>
      <w:proofErr w:type="spellEnd"/>
      <w:r w:rsidRPr="00D72A1C">
        <w:rPr>
          <w:bCs/>
        </w:rPr>
        <w:t>, amelyben rögzítésre kerül, hogy a végrehajtás elrendelésére jogosult bíróság dönt a hozzáigazítás kérdésében. Az új § rendelkezik a fellebbezési jog biztosításáról, valamint előírja, hogy a tárgykörben hozott végzés jogerőre emelkedését követően lehet kiállítani a végrehajtási lapot.</w:t>
      </w:r>
    </w:p>
    <w:p w:rsidR="00D33C10" w:rsidRPr="00D72A1C" w:rsidRDefault="00D33C10" w:rsidP="00D33C10">
      <w:pPr>
        <w:rPr>
          <w:i/>
        </w:rPr>
      </w:pPr>
    </w:p>
    <w:p w:rsidR="00D33C10" w:rsidRPr="00D72A1C" w:rsidRDefault="00D33C10" w:rsidP="00D33C10">
      <w:pPr>
        <w:jc w:val="center"/>
        <w:rPr>
          <w:i/>
        </w:rPr>
      </w:pPr>
      <w:r w:rsidRPr="00D72A1C">
        <w:rPr>
          <w:i/>
        </w:rPr>
        <w:t>A 3</w:t>
      </w:r>
      <w:r>
        <w:rPr>
          <w:i/>
        </w:rPr>
        <w:t xml:space="preserve">. és </w:t>
      </w:r>
      <w:r w:rsidRPr="00D72A1C">
        <w:rPr>
          <w:i/>
        </w:rPr>
        <w:t>4.</w:t>
      </w:r>
      <w:r>
        <w:rPr>
          <w:i/>
        </w:rPr>
        <w:t xml:space="preserve"> </w:t>
      </w:r>
      <w:r w:rsidRPr="00D72A1C">
        <w:rPr>
          <w:i/>
        </w:rPr>
        <w:t>§</w:t>
      </w:r>
      <w:proofErr w:type="spellStart"/>
      <w:r w:rsidRPr="00D72A1C">
        <w:rPr>
          <w:i/>
        </w:rPr>
        <w:t>-hoz</w:t>
      </w:r>
      <w:proofErr w:type="spellEnd"/>
    </w:p>
    <w:p w:rsidR="00D33C10" w:rsidRPr="00D72A1C" w:rsidRDefault="00D33C10" w:rsidP="00D33C10">
      <w:pPr>
        <w:jc w:val="center"/>
        <w:rPr>
          <w:i/>
        </w:rPr>
      </w:pPr>
    </w:p>
    <w:p w:rsidR="00D33C10" w:rsidRPr="00D72A1C" w:rsidRDefault="00D33C10" w:rsidP="00D33C10">
      <w:pPr>
        <w:jc w:val="both"/>
      </w:pPr>
      <w:r w:rsidRPr="00D72A1C">
        <w:t xml:space="preserve">Az új Brüsszel I. rendelet szükségtelenné teszi az elismerést és végrehajtást megelőző köztes eljárásokat a végrehajtás szerinti tagállamban. Az egyik tagállamban polgári és kereskedelmi ügyben kibocsátott, végrehajtható határozatot a végrehajtás szempontjából úgy kell tekinteni, mintha abban a tagállamban bocsátották volna ki vagy hozták volna meg, amelyben annak végrehajtását kérik. Ennek a bírósági végrehajtás elrendelése szempontjából az a következménye, hogy az ilyen határozatokat nem lehet a külföldi bírósági határozatok körében kezelni, hanem külön pontban kell szerepeltetni abban a felsorolásban, amely a végrehajtási lap kiállításának alapjául szolgáló okiratokat tartalmazza. Az előterjesztő ennek </w:t>
      </w:r>
      <w:r w:rsidRPr="00D72A1C">
        <w:lastRenderedPageBreak/>
        <w:t xml:space="preserve">megfelelően javasolja </w:t>
      </w:r>
      <w:r w:rsidRPr="00F35009">
        <w:rPr>
          <w:i/>
        </w:rPr>
        <w:t>n)</w:t>
      </w:r>
      <w:r w:rsidRPr="00D72A1C">
        <w:t xml:space="preserve"> ponttal kiegészíteni a </w:t>
      </w:r>
      <w:proofErr w:type="spellStart"/>
      <w:r w:rsidRPr="00D72A1C">
        <w:t>Vht</w:t>
      </w:r>
      <w:proofErr w:type="spellEnd"/>
      <w:r w:rsidRPr="00D72A1C">
        <w:t>. 16. §</w:t>
      </w:r>
      <w:proofErr w:type="spellStart"/>
      <w:r w:rsidRPr="00D72A1C">
        <w:t>-ában</w:t>
      </w:r>
      <w:proofErr w:type="spellEnd"/>
      <w:r w:rsidRPr="00D72A1C">
        <w:t xml:space="preserve"> szereplő felsorolást, és a végrehajtást elrendelő bíróság illetékességét az egyéb külföldi határozatok végrehajtása során érvényesülő illetékességi szabályokkal megegyezően meghatározni (a székhelyi bíróság állítja ki a végrehajtási lapot). Ezzel együtt kell a közokiratok és perbeli egyezségek alapján történő végrehajtás elrendelés szabályait (58–60. cikk) is beiktatni a </w:t>
      </w:r>
      <w:proofErr w:type="spellStart"/>
      <w:r w:rsidRPr="00D72A1C">
        <w:t>Vht</w:t>
      </w:r>
      <w:proofErr w:type="spellEnd"/>
      <w:r w:rsidRPr="00D72A1C">
        <w:t xml:space="preserve">. szerinti eljárásrendbe: ez a </w:t>
      </w:r>
      <w:proofErr w:type="spellStart"/>
      <w:r w:rsidRPr="00D72A1C">
        <w:t>Vht</w:t>
      </w:r>
      <w:proofErr w:type="spellEnd"/>
      <w:r w:rsidRPr="00D72A1C">
        <w:t>. 23/B. § (1) bekezdésének megfelelő kiegészítésével történik.</w:t>
      </w:r>
    </w:p>
    <w:p w:rsidR="00D33C10" w:rsidRPr="00D72A1C" w:rsidRDefault="00D33C10" w:rsidP="00D33C10">
      <w:pPr>
        <w:jc w:val="both"/>
      </w:pPr>
    </w:p>
    <w:p w:rsidR="00D33C10" w:rsidRPr="00D72A1C" w:rsidRDefault="00D33C10" w:rsidP="00D33C10">
      <w:pPr>
        <w:jc w:val="center"/>
        <w:rPr>
          <w:i/>
        </w:rPr>
      </w:pPr>
      <w:r w:rsidRPr="00D72A1C">
        <w:rPr>
          <w:i/>
        </w:rPr>
        <w:t>A</w:t>
      </w:r>
      <w:r>
        <w:rPr>
          <w:i/>
        </w:rPr>
        <w:t>z</w:t>
      </w:r>
      <w:r w:rsidRPr="00D72A1C">
        <w:rPr>
          <w:i/>
        </w:rPr>
        <w:t xml:space="preserve"> 5.</w:t>
      </w:r>
      <w:r>
        <w:rPr>
          <w:i/>
        </w:rPr>
        <w:t xml:space="preserve"> §</w:t>
      </w:r>
      <w:proofErr w:type="spellStart"/>
      <w:r>
        <w:rPr>
          <w:i/>
        </w:rPr>
        <w:t>-</w:t>
      </w:r>
      <w:r w:rsidRPr="00D72A1C">
        <w:rPr>
          <w:i/>
        </w:rPr>
        <w:t>hoz</w:t>
      </w:r>
      <w:proofErr w:type="spellEnd"/>
    </w:p>
    <w:p w:rsidR="00D33C10" w:rsidRPr="00D72A1C" w:rsidRDefault="00D33C10" w:rsidP="00D33C10">
      <w:pPr>
        <w:rPr>
          <w:i/>
        </w:rPr>
      </w:pPr>
    </w:p>
    <w:p w:rsidR="00D33C10" w:rsidRPr="00D72A1C" w:rsidRDefault="00D33C10" w:rsidP="00D33C10">
      <w:pPr>
        <w:jc w:val="both"/>
      </w:pPr>
      <w:r w:rsidRPr="00D72A1C">
        <w:t>A</w:t>
      </w:r>
      <w:r>
        <w:t xml:space="preserve"> Javaslat kiegészíti a </w:t>
      </w:r>
      <w:proofErr w:type="spellStart"/>
      <w:r>
        <w:t>Vht</w:t>
      </w:r>
      <w:proofErr w:type="spellEnd"/>
      <w:r>
        <w:t>. 31/C. §</w:t>
      </w:r>
      <w:proofErr w:type="spellStart"/>
      <w:r>
        <w:t>-át</w:t>
      </w:r>
      <w:proofErr w:type="spellEnd"/>
      <w:r>
        <w:t xml:space="preserve">, a </w:t>
      </w:r>
      <w:proofErr w:type="spellStart"/>
      <w:r>
        <w:t>Vht</w:t>
      </w:r>
      <w:proofErr w:type="spellEnd"/>
      <w:r>
        <w:t>. 31/C. §</w:t>
      </w:r>
      <w:proofErr w:type="spellStart"/>
      <w:r>
        <w:t>-ban</w:t>
      </w:r>
      <w:proofErr w:type="spellEnd"/>
      <w:r>
        <w:t xml:space="preserve"> kerül rögzítésre, hogy </w:t>
      </w:r>
      <w:r w:rsidRPr="00D72A1C">
        <w:t>bíróság feladata a másik tagállamban történő végrehajtáshoz a szükséges kivonat kiállítása</w:t>
      </w:r>
      <w:r>
        <w:t>.</w:t>
      </w:r>
    </w:p>
    <w:p w:rsidR="00D33C10" w:rsidRPr="00D72A1C" w:rsidRDefault="00D33C10" w:rsidP="00D33C10">
      <w:pPr>
        <w:rPr>
          <w:i/>
        </w:rPr>
      </w:pPr>
    </w:p>
    <w:p w:rsidR="00D33C10" w:rsidRPr="00D72A1C" w:rsidRDefault="00D33C10" w:rsidP="00D33C10">
      <w:pPr>
        <w:jc w:val="center"/>
        <w:rPr>
          <w:i/>
        </w:rPr>
      </w:pPr>
      <w:r>
        <w:rPr>
          <w:i/>
        </w:rPr>
        <w:t>A 6. §</w:t>
      </w:r>
      <w:proofErr w:type="spellStart"/>
      <w:r w:rsidRPr="00D72A1C">
        <w:rPr>
          <w:i/>
        </w:rPr>
        <w:t>-hoz</w:t>
      </w:r>
      <w:proofErr w:type="spellEnd"/>
    </w:p>
    <w:p w:rsidR="00D33C10" w:rsidRPr="00D72A1C" w:rsidRDefault="00D33C10" w:rsidP="00D33C10">
      <w:pPr>
        <w:jc w:val="center"/>
        <w:rPr>
          <w:i/>
        </w:rPr>
      </w:pPr>
    </w:p>
    <w:p w:rsidR="00D33C10" w:rsidRPr="008931BC" w:rsidRDefault="00D33C10" w:rsidP="00D33C10">
      <w:pPr>
        <w:jc w:val="both"/>
        <w:rPr>
          <w:rFonts w:eastAsia="Calibri"/>
          <w:lang w:eastAsia="en-US"/>
        </w:rPr>
      </w:pPr>
      <w:r w:rsidRPr="00D72A1C">
        <w:rPr>
          <w:rFonts w:eastAsia="Calibri"/>
          <w:lang w:eastAsia="en-US"/>
        </w:rPr>
        <w:t xml:space="preserve">A </w:t>
      </w:r>
      <w:proofErr w:type="spellStart"/>
      <w:r w:rsidRPr="00D72A1C">
        <w:rPr>
          <w:rFonts w:eastAsia="Calibri"/>
          <w:lang w:eastAsia="en-US"/>
        </w:rPr>
        <w:t>Vht</w:t>
      </w:r>
      <w:proofErr w:type="spellEnd"/>
      <w:r w:rsidRPr="00D72A1C">
        <w:rPr>
          <w:rFonts w:eastAsia="Calibri"/>
          <w:lang w:eastAsia="en-US"/>
        </w:rPr>
        <w:t xml:space="preserve">. 35/D. § (3) bekezdése szerint az elektronikus kézbesítési rendszer használatának alapvető feltétele, hogy a felhasználó rendelkezzen legalább az elektronikus aláírásról szóló 2001. évi XXXV. törvény (a továbbiakban: </w:t>
      </w:r>
      <w:proofErr w:type="spellStart"/>
      <w:r w:rsidRPr="00D72A1C">
        <w:rPr>
          <w:rFonts w:eastAsia="Calibri"/>
          <w:lang w:eastAsia="en-US"/>
        </w:rPr>
        <w:t>Eat</w:t>
      </w:r>
      <w:proofErr w:type="spellEnd"/>
      <w:r w:rsidRPr="00D72A1C">
        <w:rPr>
          <w:rFonts w:eastAsia="Calibri"/>
          <w:lang w:eastAsia="en-US"/>
        </w:rPr>
        <w:t xml:space="preserve">.) szerinti fokozott biztonságú aláírás létrehozásra képes aláírást létrehozó eszközzel, időbélyegzővel, továbbá titkosító és hitelesítési tanúsítvánnyal. A </w:t>
      </w:r>
      <w:proofErr w:type="spellStart"/>
      <w:r w:rsidRPr="00D72A1C">
        <w:rPr>
          <w:rFonts w:eastAsia="Calibri"/>
          <w:lang w:eastAsia="en-US"/>
        </w:rPr>
        <w:t>Vht</w:t>
      </w:r>
      <w:proofErr w:type="spellEnd"/>
      <w:r w:rsidRPr="00D72A1C">
        <w:rPr>
          <w:rFonts w:eastAsia="Calibri"/>
          <w:lang w:eastAsia="en-US"/>
        </w:rPr>
        <w:t>. 35/D. § (1) bekezdése a kérelem benyújtásához szintén feltételként szabja meg legalább fokozott biztonságú elektronikus aláírás</w:t>
      </w:r>
      <w:r>
        <w:rPr>
          <w:rFonts w:eastAsia="Calibri"/>
          <w:lang w:eastAsia="en-US"/>
        </w:rPr>
        <w:t xml:space="preserve"> alkalmazását</w:t>
      </w:r>
      <w:r w:rsidRPr="00D72A1C">
        <w:rPr>
          <w:rFonts w:eastAsia="Calibri"/>
          <w:lang w:eastAsia="en-US"/>
        </w:rPr>
        <w:t xml:space="preserve">. A fokozott biztonságú elektronikus aláírás igénylése során a hitelesítés-szolgáltató minden esetben azonosítja az elektronikus aláírást igénylő személyét az </w:t>
      </w:r>
      <w:proofErr w:type="spellStart"/>
      <w:r w:rsidRPr="00D72A1C">
        <w:rPr>
          <w:rFonts w:eastAsia="Calibri"/>
          <w:lang w:eastAsia="en-US"/>
        </w:rPr>
        <w:t>Eat</w:t>
      </w:r>
      <w:proofErr w:type="spellEnd"/>
      <w:r w:rsidRPr="00D72A1C">
        <w:rPr>
          <w:rFonts w:eastAsia="Calibri"/>
          <w:lang w:eastAsia="en-US"/>
        </w:rPr>
        <w:t xml:space="preserve">. rendelkezéseinek megfelelően. Az önálló bírósági végrehajtó eljárásában alkalmazandó elektronikus kézbesítési rendszer működtetésének részletes szabályairól szóló 40/2012. (VIII. 30.) KIM rendelet szerint minden esetben meg kell adni a személyazonosításhoz szükséges okmányok számát. Tekintettel arra, hogy a </w:t>
      </w:r>
      <w:proofErr w:type="spellStart"/>
      <w:r w:rsidRPr="00D72A1C">
        <w:rPr>
          <w:rFonts w:eastAsia="Calibri"/>
          <w:lang w:eastAsia="en-US"/>
        </w:rPr>
        <w:t>Vht</w:t>
      </w:r>
      <w:proofErr w:type="spellEnd"/>
      <w:r w:rsidRPr="00D72A1C">
        <w:rPr>
          <w:rFonts w:eastAsia="Calibri"/>
          <w:lang w:eastAsia="en-US"/>
        </w:rPr>
        <w:t>. 47/A. §</w:t>
      </w:r>
      <w:proofErr w:type="spellStart"/>
      <w:r w:rsidRPr="00D72A1C">
        <w:rPr>
          <w:rFonts w:eastAsia="Calibri"/>
          <w:lang w:eastAsia="en-US"/>
        </w:rPr>
        <w:t>-a</w:t>
      </w:r>
      <w:proofErr w:type="spellEnd"/>
      <w:r w:rsidRPr="00D72A1C">
        <w:rPr>
          <w:rFonts w:eastAsia="Calibri"/>
          <w:lang w:eastAsia="en-US"/>
        </w:rPr>
        <w:t xml:space="preserve"> szerinti ellenőrzéshez elegendő a személyazonosításra alkalmas okmányok számának megadása, </w:t>
      </w:r>
      <w:r>
        <w:rPr>
          <w:rFonts w:eastAsia="Calibri"/>
          <w:lang w:eastAsia="en-US"/>
        </w:rPr>
        <w:t>ezért</w:t>
      </w:r>
      <w:r w:rsidRPr="00D72A1C">
        <w:rPr>
          <w:rFonts w:eastAsia="Calibri"/>
          <w:lang w:eastAsia="en-US"/>
        </w:rPr>
        <w:t xml:space="preserve"> a módosítás arra irányul, hogy </w:t>
      </w:r>
      <w:r>
        <w:rPr>
          <w:rFonts w:eastAsia="Calibri"/>
          <w:lang w:eastAsia="en-US"/>
        </w:rPr>
        <w:t>a</w:t>
      </w:r>
      <w:r w:rsidRPr="00D72A1C">
        <w:rPr>
          <w:rFonts w:eastAsia="Calibri"/>
          <w:lang w:eastAsia="en-US"/>
        </w:rPr>
        <w:t xml:space="preserve"> másolatok csatolása helyett a </w:t>
      </w:r>
      <w:proofErr w:type="spellStart"/>
      <w:r w:rsidRPr="00D72A1C">
        <w:rPr>
          <w:rFonts w:eastAsia="Calibri"/>
          <w:lang w:eastAsia="en-US"/>
        </w:rPr>
        <w:t>Vht</w:t>
      </w:r>
      <w:proofErr w:type="spellEnd"/>
      <w:r w:rsidRPr="00D72A1C">
        <w:rPr>
          <w:rFonts w:eastAsia="Calibri"/>
          <w:lang w:eastAsia="en-US"/>
        </w:rPr>
        <w:t>. a 35/D. §</w:t>
      </w:r>
      <w:proofErr w:type="spellStart"/>
      <w:r w:rsidRPr="00D72A1C">
        <w:rPr>
          <w:rFonts w:eastAsia="Calibri"/>
          <w:lang w:eastAsia="en-US"/>
        </w:rPr>
        <w:t>-ában</w:t>
      </w:r>
      <w:proofErr w:type="spellEnd"/>
      <w:r w:rsidRPr="00D72A1C">
        <w:rPr>
          <w:rFonts w:eastAsia="Calibri"/>
          <w:lang w:eastAsia="en-US"/>
        </w:rPr>
        <w:t xml:space="preserve"> kizárólag a személyazonosító okmány típusának és számának </w:t>
      </w:r>
      <w:r w:rsidRPr="008931BC">
        <w:rPr>
          <w:rFonts w:eastAsia="Calibri"/>
          <w:lang w:eastAsia="en-US"/>
        </w:rPr>
        <w:t>megadás</w:t>
      </w:r>
      <w:r>
        <w:rPr>
          <w:rFonts w:eastAsia="Calibri"/>
          <w:lang w:eastAsia="en-US"/>
        </w:rPr>
        <w:t>a legyen előírva</w:t>
      </w:r>
      <w:r w:rsidRPr="008931BC">
        <w:rPr>
          <w:rFonts w:eastAsia="Calibri"/>
          <w:lang w:eastAsia="en-US"/>
        </w:rPr>
        <w:t>.</w:t>
      </w:r>
    </w:p>
    <w:p w:rsidR="00D33C10" w:rsidRPr="008931BC" w:rsidRDefault="00D33C10" w:rsidP="00D33C10">
      <w:pPr>
        <w:jc w:val="center"/>
        <w:rPr>
          <w:b/>
        </w:rPr>
      </w:pPr>
    </w:p>
    <w:p w:rsidR="00D33C10" w:rsidRPr="008931BC" w:rsidRDefault="00D33C10" w:rsidP="00D33C10">
      <w:pPr>
        <w:jc w:val="center"/>
        <w:rPr>
          <w:i/>
        </w:rPr>
      </w:pPr>
      <w:r w:rsidRPr="008931BC">
        <w:rPr>
          <w:i/>
        </w:rPr>
        <w:t>A 7. §</w:t>
      </w:r>
      <w:proofErr w:type="spellStart"/>
      <w:r w:rsidRPr="008931BC">
        <w:rPr>
          <w:i/>
        </w:rPr>
        <w:t>-hoz</w:t>
      </w:r>
      <w:proofErr w:type="spellEnd"/>
    </w:p>
    <w:p w:rsidR="00D33C10" w:rsidRPr="008931BC" w:rsidRDefault="00D33C10" w:rsidP="00D33C10">
      <w:pPr>
        <w:jc w:val="center"/>
        <w:rPr>
          <w:b/>
          <w:i/>
        </w:rPr>
      </w:pPr>
    </w:p>
    <w:p w:rsidR="00D33C10" w:rsidRPr="008931BC" w:rsidRDefault="00D33C10" w:rsidP="00D33C10">
      <w:pPr>
        <w:jc w:val="both"/>
      </w:pPr>
      <w:r w:rsidRPr="008931BC">
        <w:t>A Javaslat a</w:t>
      </w:r>
      <w:r>
        <w:t xml:space="preserve"> </w:t>
      </w:r>
      <w:proofErr w:type="spellStart"/>
      <w:r>
        <w:t>Vht</w:t>
      </w:r>
      <w:proofErr w:type="spellEnd"/>
      <w:r>
        <w:t>.</w:t>
      </w:r>
      <w:r w:rsidRPr="008931BC">
        <w:t xml:space="preserve"> 37/B. § (4) bekezdését egészíti ki, rögzítve, hogy a </w:t>
      </w:r>
      <w:proofErr w:type="spellStart"/>
      <w:r w:rsidRPr="008931BC">
        <w:t>Vht</w:t>
      </w:r>
      <w:proofErr w:type="spellEnd"/>
      <w:r w:rsidRPr="008931BC">
        <w:t>. 37/B. §</w:t>
      </w:r>
      <w:proofErr w:type="spellStart"/>
      <w:r w:rsidRPr="008931BC">
        <w:t>-ban</w:t>
      </w:r>
      <w:proofErr w:type="spellEnd"/>
      <w:r w:rsidRPr="008931BC">
        <w:t xml:space="preserve"> foglalt általános </w:t>
      </w:r>
      <w:r>
        <w:t xml:space="preserve">szabályhoz képest </w:t>
      </w:r>
      <w:r w:rsidRPr="008931BC">
        <w:t xml:space="preserve">a külföldi végrehajtást kérőnek </w:t>
      </w:r>
      <w:r>
        <w:t xml:space="preserve">nem kell </w:t>
      </w:r>
      <w:r w:rsidRPr="008931BC">
        <w:t xml:space="preserve">kézbesítési </w:t>
      </w:r>
      <w:r>
        <w:t>megbízottat megjelölnie.</w:t>
      </w:r>
    </w:p>
    <w:p w:rsidR="00D33C10" w:rsidRPr="008931BC" w:rsidRDefault="00D33C10" w:rsidP="00D33C10">
      <w:pPr>
        <w:jc w:val="both"/>
        <w:rPr>
          <w:b/>
        </w:rPr>
      </w:pPr>
    </w:p>
    <w:p w:rsidR="00D33C10" w:rsidRPr="00D72A1C" w:rsidRDefault="00D33C10" w:rsidP="00D33C10">
      <w:pPr>
        <w:jc w:val="center"/>
        <w:rPr>
          <w:i/>
        </w:rPr>
      </w:pPr>
      <w:r>
        <w:rPr>
          <w:i/>
        </w:rPr>
        <w:t>A 8. §</w:t>
      </w:r>
      <w:proofErr w:type="spellStart"/>
      <w:r w:rsidRPr="00D72A1C">
        <w:rPr>
          <w:i/>
        </w:rPr>
        <w:t>-hoz</w:t>
      </w:r>
      <w:proofErr w:type="spellEnd"/>
    </w:p>
    <w:p w:rsidR="00D33C10" w:rsidRPr="00D72A1C" w:rsidRDefault="00D33C10" w:rsidP="00D33C10">
      <w:pPr>
        <w:jc w:val="center"/>
        <w:rPr>
          <w:b/>
        </w:rPr>
      </w:pPr>
    </w:p>
    <w:p w:rsidR="00D33C10" w:rsidRPr="00D72A1C" w:rsidRDefault="00D33C10" w:rsidP="00D33C10">
      <w:pPr>
        <w:jc w:val="both"/>
      </w:pPr>
      <w:r w:rsidRPr="00D72A1C">
        <w:t xml:space="preserve">A származási tagállamban előterjesztett egyes jogorvoslati kérelmekre tekintettel teszi lehetővé az új Brüsszel I. rendelet 44. cikk (1) bekezdésének </w:t>
      </w:r>
      <w:r w:rsidRPr="008931BC">
        <w:rPr>
          <w:i/>
        </w:rPr>
        <w:t>c)</w:t>
      </w:r>
      <w:r w:rsidRPr="00D72A1C">
        <w:t xml:space="preserve"> pontja azt, hogy a végrehajtás államában részben vagy egészben felfüggesszék a végrehajtási eljárást: a Javaslat a végrehajtást foganatosító bíróság hasonló feladatait tartalmazó 48. § (8) bekezdés első mondatát egészíti ki az erre utaló szövegrésszel.</w:t>
      </w:r>
    </w:p>
    <w:p w:rsidR="00D33C10" w:rsidRPr="00D72A1C" w:rsidRDefault="00D33C10" w:rsidP="00D33C10">
      <w:pPr>
        <w:jc w:val="center"/>
        <w:rPr>
          <w:b/>
        </w:rPr>
      </w:pPr>
    </w:p>
    <w:p w:rsidR="00D33C10" w:rsidRPr="00D72A1C" w:rsidRDefault="00D33C10" w:rsidP="00D33C10">
      <w:pPr>
        <w:jc w:val="center"/>
        <w:rPr>
          <w:i/>
        </w:rPr>
      </w:pPr>
      <w:r w:rsidRPr="00D72A1C">
        <w:rPr>
          <w:i/>
        </w:rPr>
        <w:t>A 9</w:t>
      </w:r>
      <w:r>
        <w:rPr>
          <w:i/>
        </w:rPr>
        <w:t xml:space="preserve">. és </w:t>
      </w:r>
      <w:r w:rsidRPr="00D72A1C">
        <w:rPr>
          <w:i/>
        </w:rPr>
        <w:t>10.</w:t>
      </w:r>
      <w:r>
        <w:rPr>
          <w:i/>
        </w:rPr>
        <w:t xml:space="preserve"> </w:t>
      </w:r>
      <w:r w:rsidRPr="00D72A1C">
        <w:rPr>
          <w:i/>
        </w:rPr>
        <w:t>§</w:t>
      </w:r>
      <w:proofErr w:type="spellStart"/>
      <w:r w:rsidRPr="00D72A1C">
        <w:rPr>
          <w:i/>
        </w:rPr>
        <w:t>-hoz</w:t>
      </w:r>
      <w:proofErr w:type="spellEnd"/>
    </w:p>
    <w:p w:rsidR="00D33C10" w:rsidRPr="00D72A1C" w:rsidRDefault="00D33C10" w:rsidP="00D33C10">
      <w:pPr>
        <w:jc w:val="center"/>
        <w:rPr>
          <w:i/>
        </w:rPr>
      </w:pPr>
    </w:p>
    <w:p w:rsidR="00D33C10" w:rsidRPr="00D72A1C" w:rsidRDefault="00D33C10" w:rsidP="00D33C10">
      <w:pPr>
        <w:jc w:val="both"/>
      </w:pPr>
      <w:r w:rsidRPr="00D72A1C">
        <w:t xml:space="preserve">Az új Brüsszel I. rendelet 44. cikk (1) bekezdésének </w:t>
      </w:r>
      <w:r w:rsidRPr="008931BC">
        <w:rPr>
          <w:i/>
        </w:rPr>
        <w:t>a)</w:t>
      </w:r>
      <w:r w:rsidRPr="00D72A1C">
        <w:t xml:space="preserve"> pontja alapján a határozat megtagadása iránti kérelem esetén az a személy, akivel szemben a végrehajtást kérték, kérheti, hogy a címzett tagállam bírósága a végrehajtási eljárást biztosítási intézkedésekre </w:t>
      </w:r>
      <w:r w:rsidRPr="00D72A1C">
        <w:lastRenderedPageBreak/>
        <w:t xml:space="preserve">korlátozza. Ez alapján kibővül a </w:t>
      </w:r>
      <w:proofErr w:type="spellStart"/>
      <w:r w:rsidRPr="00D72A1C">
        <w:t>Vht</w:t>
      </w:r>
      <w:proofErr w:type="spellEnd"/>
      <w:r w:rsidRPr="00D72A1C">
        <w:t>. erről szóló 186. § (3) és 187. § (3) bekezdése az új Brüsszel I. rendeletre történő utalással.</w:t>
      </w:r>
    </w:p>
    <w:p w:rsidR="00D33C10" w:rsidRPr="00D72A1C" w:rsidRDefault="00D33C10" w:rsidP="00D33C10">
      <w:pPr>
        <w:jc w:val="both"/>
      </w:pPr>
    </w:p>
    <w:p w:rsidR="00D33C10" w:rsidRPr="00D72A1C" w:rsidRDefault="00D33C10" w:rsidP="00D33C10">
      <w:pPr>
        <w:jc w:val="center"/>
        <w:rPr>
          <w:i/>
        </w:rPr>
      </w:pPr>
      <w:r>
        <w:rPr>
          <w:i/>
        </w:rPr>
        <w:t>A 11. §</w:t>
      </w:r>
      <w:proofErr w:type="spellStart"/>
      <w:r w:rsidRPr="00D72A1C">
        <w:rPr>
          <w:i/>
        </w:rPr>
        <w:t>-hoz</w:t>
      </w:r>
      <w:proofErr w:type="spellEnd"/>
    </w:p>
    <w:p w:rsidR="00D33C10" w:rsidRPr="00D72A1C" w:rsidRDefault="00D33C10" w:rsidP="00D33C10">
      <w:pPr>
        <w:jc w:val="center"/>
        <w:rPr>
          <w:b/>
        </w:rPr>
      </w:pPr>
    </w:p>
    <w:p w:rsidR="00D33C10" w:rsidRPr="00D72A1C" w:rsidRDefault="00D33C10" w:rsidP="00D33C10">
      <w:pPr>
        <w:jc w:val="both"/>
      </w:pPr>
      <w:r w:rsidRPr="00D72A1C">
        <w:t xml:space="preserve">A végrehajtás kötelezett kérelmére történő megtagadásáról az új Brüsszel I. rendelet 45–51. cikkei rendelkeznek. E szabályok végrehajtásához a </w:t>
      </w:r>
      <w:proofErr w:type="spellStart"/>
      <w:r w:rsidRPr="00D72A1C">
        <w:t>Vht</w:t>
      </w:r>
      <w:proofErr w:type="spellEnd"/>
      <w:r w:rsidRPr="00D72A1C">
        <w:t xml:space="preserve">. 211. § (3) bekezdését egészíti ki a </w:t>
      </w:r>
      <w:r>
        <w:t>J</w:t>
      </w:r>
      <w:r w:rsidRPr="00D72A1C">
        <w:t>avaslat, ilyen esetben a végrehajtási lap visszavonására, illetve a záradék törlésére kerül sor.</w:t>
      </w:r>
    </w:p>
    <w:p w:rsidR="00D33C10" w:rsidRPr="00D72A1C" w:rsidRDefault="00D33C10" w:rsidP="00D33C10">
      <w:pPr>
        <w:jc w:val="center"/>
        <w:rPr>
          <w:b/>
        </w:rPr>
      </w:pPr>
    </w:p>
    <w:p w:rsidR="00D33C10" w:rsidRPr="00D72A1C" w:rsidRDefault="00D33C10" w:rsidP="00D33C10">
      <w:pPr>
        <w:jc w:val="center"/>
        <w:rPr>
          <w:i/>
        </w:rPr>
      </w:pPr>
      <w:r w:rsidRPr="00D72A1C">
        <w:rPr>
          <w:i/>
        </w:rPr>
        <w:t>A 12.</w:t>
      </w:r>
      <w:r>
        <w:rPr>
          <w:i/>
        </w:rPr>
        <w:t xml:space="preserve"> §</w:t>
      </w:r>
      <w:proofErr w:type="spellStart"/>
      <w:r w:rsidRPr="00D72A1C">
        <w:rPr>
          <w:i/>
        </w:rPr>
        <w:t>-hoz</w:t>
      </w:r>
      <w:proofErr w:type="spellEnd"/>
    </w:p>
    <w:p w:rsidR="00D33C10" w:rsidRPr="00D72A1C" w:rsidRDefault="00D33C10" w:rsidP="00D33C10">
      <w:pPr>
        <w:jc w:val="center"/>
        <w:rPr>
          <w:b/>
        </w:rPr>
      </w:pPr>
    </w:p>
    <w:p w:rsidR="00D33C10" w:rsidRPr="00D72A1C" w:rsidRDefault="00D33C10" w:rsidP="00D33C10">
      <w:pPr>
        <w:jc w:val="both"/>
      </w:pPr>
      <w:r w:rsidRPr="00D72A1C">
        <w:t xml:space="preserve">A Javaslat az új Brüsszel I. rendelet hazai alkalmazásával kapcsolatos jogszabály-módosítások átvezetésére tekintettel egészíti ki az új Brüsszel I. rendeletre utalással a </w:t>
      </w:r>
      <w:proofErr w:type="spellStart"/>
      <w:r w:rsidRPr="00D72A1C">
        <w:t>Vht</w:t>
      </w:r>
      <w:proofErr w:type="spellEnd"/>
      <w:r w:rsidRPr="00D72A1C">
        <w:t>. jogharmonizációs záradékát.</w:t>
      </w:r>
    </w:p>
    <w:p w:rsidR="00D33C10" w:rsidRPr="0097276C" w:rsidRDefault="00D33C10" w:rsidP="00D33C10"/>
    <w:p w:rsidR="00D33C10" w:rsidRPr="00D72A1C" w:rsidRDefault="00D33C10" w:rsidP="00D33C10">
      <w:pPr>
        <w:jc w:val="center"/>
        <w:rPr>
          <w:i/>
        </w:rPr>
      </w:pPr>
      <w:r w:rsidRPr="00D72A1C">
        <w:rPr>
          <w:i/>
        </w:rPr>
        <w:t>A 1</w:t>
      </w:r>
      <w:r>
        <w:rPr>
          <w:i/>
        </w:rPr>
        <w:t>3–</w:t>
      </w:r>
      <w:r w:rsidRPr="00D72A1C">
        <w:rPr>
          <w:i/>
        </w:rPr>
        <w:t>1</w:t>
      </w:r>
      <w:r>
        <w:rPr>
          <w:i/>
        </w:rPr>
        <w:t>5</w:t>
      </w:r>
      <w:r w:rsidRPr="00D72A1C">
        <w:rPr>
          <w:i/>
        </w:rPr>
        <w:t>.</w:t>
      </w:r>
      <w:r>
        <w:rPr>
          <w:i/>
        </w:rPr>
        <w:t xml:space="preserve"> </w:t>
      </w:r>
      <w:r w:rsidRPr="00D72A1C">
        <w:rPr>
          <w:i/>
        </w:rPr>
        <w:t>§</w:t>
      </w:r>
      <w:proofErr w:type="spellStart"/>
      <w:r w:rsidRPr="00D72A1C">
        <w:rPr>
          <w:i/>
        </w:rPr>
        <w:t>-hoz</w:t>
      </w:r>
      <w:proofErr w:type="spellEnd"/>
    </w:p>
    <w:p w:rsidR="00D33C10" w:rsidRPr="00D72A1C" w:rsidRDefault="00D33C10" w:rsidP="00D33C10">
      <w:pPr>
        <w:jc w:val="center"/>
        <w:rPr>
          <w:b/>
        </w:rPr>
      </w:pPr>
      <w:bookmarkStart w:id="0" w:name="_GoBack"/>
      <w:bookmarkEnd w:id="0"/>
    </w:p>
    <w:p w:rsidR="00D33C10" w:rsidRDefault="00D33C10" w:rsidP="00D33C10">
      <w:pPr>
        <w:autoSpaceDE w:val="0"/>
        <w:autoSpaceDN w:val="0"/>
        <w:adjustRightInd w:val="0"/>
        <w:jc w:val="both"/>
      </w:pPr>
      <w:r w:rsidRPr="00D72A1C">
        <w:rPr>
          <w:bCs/>
        </w:rPr>
        <w:t>Az Országgyűlés 1997-ben megalkotta a közhasznú szervezetekről</w:t>
      </w:r>
      <w:r w:rsidRPr="00D72A1C">
        <w:t xml:space="preserve"> szóló </w:t>
      </w:r>
      <w:r w:rsidRPr="00D72A1C">
        <w:rPr>
          <w:bCs/>
        </w:rPr>
        <w:t>1997. évi CLVI. törvényt, amelynek</w:t>
      </w:r>
      <w:r w:rsidRPr="00D72A1C">
        <w:t xml:space="preserve"> </w:t>
      </w:r>
      <w:r w:rsidRPr="00D72A1C">
        <w:rPr>
          <w:bCs/>
        </w:rPr>
        <w:t xml:space="preserve">2. § </w:t>
      </w:r>
      <w:r w:rsidRPr="00D72A1C">
        <w:t xml:space="preserve">(1) bekezdés </w:t>
      </w:r>
      <w:r w:rsidRPr="008931BC">
        <w:rPr>
          <w:i/>
        </w:rPr>
        <w:t>c)</w:t>
      </w:r>
      <w:r w:rsidRPr="00D72A1C">
        <w:t xml:space="preserve"> pontja alapján közhasznú szervezetté volt minősíthető a Magyarországon nyilvántartásba vett</w:t>
      </w:r>
      <w:r w:rsidRPr="00D72A1C">
        <w:rPr>
          <w:iCs/>
        </w:rPr>
        <w:t xml:space="preserve"> </w:t>
      </w:r>
      <w:r w:rsidRPr="00D72A1C">
        <w:t xml:space="preserve">közalapítvány. A közhasznú szervezetekről szóló </w:t>
      </w:r>
      <w:r w:rsidRPr="00D72A1C">
        <w:rPr>
          <w:bCs/>
        </w:rPr>
        <w:t xml:space="preserve">1997. évi CLVI. </w:t>
      </w:r>
      <w:r w:rsidRPr="00D72A1C">
        <w:t>törvényt 2012. január 1. napjától hatályon kívül helyezte az</w:t>
      </w:r>
      <w:r w:rsidRPr="00D72A1C">
        <w:rPr>
          <w:bCs/>
        </w:rPr>
        <w:t xml:space="preserve"> egyesülési jogról, a közhasznú jogállásról, valamint a civil szervezetek működéséről és támogatásáról szóló 2011. évi CLXXV. törvény (a továbbiakban: Civil</w:t>
      </w:r>
      <w:r>
        <w:rPr>
          <w:bCs/>
        </w:rPr>
        <w:t xml:space="preserve"> </w:t>
      </w:r>
      <w:r w:rsidRPr="00D72A1C">
        <w:rPr>
          <w:bCs/>
        </w:rPr>
        <w:t>t</w:t>
      </w:r>
      <w:r>
        <w:rPr>
          <w:bCs/>
        </w:rPr>
        <w:t>örvény</w:t>
      </w:r>
      <w:r w:rsidRPr="00D72A1C">
        <w:rPr>
          <w:bCs/>
        </w:rPr>
        <w:t xml:space="preserve">) 209. § </w:t>
      </w:r>
      <w:r w:rsidRPr="008931BC">
        <w:rPr>
          <w:bCs/>
          <w:i/>
        </w:rPr>
        <w:t>b)</w:t>
      </w:r>
      <w:r w:rsidRPr="00D72A1C">
        <w:rPr>
          <w:bCs/>
        </w:rPr>
        <w:t xml:space="preserve"> pontja.</w:t>
      </w:r>
      <w:r w:rsidRPr="00D72A1C">
        <w:t xml:space="preserve"> A </w:t>
      </w:r>
      <w:r>
        <w:t>Civil törvény</w:t>
      </w:r>
      <w:r w:rsidRPr="00D72A1C">
        <w:t xml:space="preserve"> </w:t>
      </w:r>
      <w:r w:rsidRPr="00D72A1C">
        <w:rPr>
          <w:bCs/>
        </w:rPr>
        <w:t xml:space="preserve">75. § </w:t>
      </w:r>
      <w:r w:rsidRPr="00D72A1C">
        <w:t xml:space="preserve">(5) bekezdésében található átmeneti rendelkezés biztosította azt, hogy azok a közalapítványok, amelyek közhasznú jogállását a törvény hatálybalépése előtt nyilvántartásba vették, 2014. május 31. napjáig közhasznú jogállásúak maradhassanak. 2014. június 1. napjától azonban csak a </w:t>
      </w:r>
      <w:r>
        <w:t>Civil törvény</w:t>
      </w:r>
      <w:r w:rsidRPr="00D72A1C">
        <w:t xml:space="preserve">nek megfelelő közhasznúsági nyilvántartásba vett szervezetek jogosultak a közhasznú megjelölés használatára és a közhasznú jogálláshoz kapcsolódó kedvezmények igénybevételére, a közalapítványok pedig 2014. május 31. napjáig akkor kezdeményezhették a közhasznúsági nyilvántartásba vételt, ha a </w:t>
      </w:r>
      <w:r>
        <w:t>Civil törvény</w:t>
      </w:r>
      <w:r w:rsidRPr="00D72A1C">
        <w:t>ben meghatározott feltételeknek megfelelt</w:t>
      </w:r>
      <w:r>
        <w:t>ek.</w:t>
      </w:r>
    </w:p>
    <w:p w:rsidR="00D33C10" w:rsidRPr="00D72A1C" w:rsidRDefault="00D33C10" w:rsidP="00D33C10">
      <w:pPr>
        <w:autoSpaceDE w:val="0"/>
        <w:autoSpaceDN w:val="0"/>
        <w:adjustRightInd w:val="0"/>
        <w:jc w:val="both"/>
      </w:pPr>
    </w:p>
    <w:p w:rsidR="00D33C10" w:rsidRDefault="00D33C10" w:rsidP="00D33C10">
      <w:pPr>
        <w:autoSpaceDE w:val="0"/>
        <w:autoSpaceDN w:val="0"/>
        <w:adjustRightInd w:val="0"/>
        <w:jc w:val="both"/>
        <w:rPr>
          <w:bCs/>
        </w:rPr>
      </w:pPr>
      <w:r w:rsidRPr="00D72A1C">
        <w:rPr>
          <w:bCs/>
        </w:rPr>
        <w:t xml:space="preserve">A </w:t>
      </w:r>
      <w:r>
        <w:rPr>
          <w:bCs/>
        </w:rPr>
        <w:t>Civil törvény</w:t>
      </w:r>
      <w:r w:rsidRPr="00D72A1C">
        <w:rPr>
          <w:bCs/>
        </w:rPr>
        <w:t xml:space="preserve"> 32. § </w:t>
      </w:r>
      <w:r w:rsidRPr="00D72A1C">
        <w:t>(1) bekezdése szerint közhasznú szervezetté minősíthető a Magyarországon nyilvántartásba vett közhasznú tevékenységet végző civil szervezet (ide nem értve a civil társaságot), vagy olyan egyéb szervezet, amelyre vonatkozóan a közhasznú jogállás megszerzését törvény lehetővé teszi, amely a társadalom és az egyén közös szükségleteinek kielégítéséhez megfelelő erőforrásokkal rendelkezik, továbbá amelynek megfelelő társadalmi támogatottsága kimutatható. A</w:t>
      </w:r>
      <w:r w:rsidRPr="00D72A1C">
        <w:rPr>
          <w:bCs/>
        </w:rPr>
        <w:t xml:space="preserve"> közalapítvány a hatályos </w:t>
      </w:r>
      <w:r>
        <w:rPr>
          <w:bCs/>
        </w:rPr>
        <w:t>Civil törvény</w:t>
      </w:r>
      <w:r w:rsidRPr="00D72A1C">
        <w:rPr>
          <w:bCs/>
        </w:rPr>
        <w:t xml:space="preserve"> 2. § 6. pontja alapján nem minősül civil szervezetnek és más törvény sem teszi lehetővé a közalapítványok számára a közhasznú jogállás megszerzését, ezért a jelenleg hatályos szabályozás alapján a közalapítványok nem kezdeményezhetik a közhasznúsági nyilvántartásba vételt, és emiatt a most hatályos jogszabályok alapján 2014. június 1. napjától nem jogosultak a közhasznú megjelölés használatára és a közhasznú jogálláshoz kapcsolódó</w:t>
      </w:r>
      <w:r>
        <w:rPr>
          <w:bCs/>
        </w:rPr>
        <w:t xml:space="preserve"> kedvezmények igénybevételére.</w:t>
      </w:r>
    </w:p>
    <w:p w:rsidR="00D33C10" w:rsidRPr="00D72A1C" w:rsidRDefault="00D33C10" w:rsidP="00D33C10">
      <w:pPr>
        <w:autoSpaceDE w:val="0"/>
        <w:autoSpaceDN w:val="0"/>
        <w:adjustRightInd w:val="0"/>
        <w:jc w:val="both"/>
      </w:pPr>
    </w:p>
    <w:p w:rsidR="00D33C10" w:rsidRDefault="00D33C10" w:rsidP="00D33C10">
      <w:pPr>
        <w:jc w:val="both"/>
        <w:rPr>
          <w:bCs/>
        </w:rPr>
      </w:pPr>
      <w:r w:rsidRPr="00D72A1C">
        <w:rPr>
          <w:bCs/>
        </w:rPr>
        <w:t xml:space="preserve">A módosítás azt célozza, hogy a közalapítványok a továbbiakban is megszerezhessék a közhasznú jogállást, amit az </w:t>
      </w:r>
      <w:proofErr w:type="spellStart"/>
      <w:r w:rsidRPr="00D72A1C">
        <w:rPr>
          <w:bCs/>
        </w:rPr>
        <w:t>Áhtmódtv.-ben</w:t>
      </w:r>
      <w:proofErr w:type="spellEnd"/>
      <w:r w:rsidRPr="00D72A1C">
        <w:rPr>
          <w:bCs/>
        </w:rPr>
        <w:t xml:space="preserve"> célszerű kimondani, mivel a közalapítványokra vonatkozó speciális szabályokat is ez a törvény tartalmazza. A visszamenőleges hatályú, az érintettek részére csak jogokat biztosító módosítással azt is biztosítani lehet, hogy a </w:t>
      </w:r>
      <w:r w:rsidRPr="00D72A1C">
        <w:rPr>
          <w:bCs/>
        </w:rPr>
        <w:lastRenderedPageBreak/>
        <w:t>közalapítványok a 2014. június 1. napjától a törvénymódosításig terjedő átmeneti időszakban is közhasznú jogállásúnak minősülhessenek.</w:t>
      </w:r>
    </w:p>
    <w:p w:rsidR="00D33C10" w:rsidRDefault="00D33C10" w:rsidP="00D33C10">
      <w:pPr>
        <w:jc w:val="both"/>
        <w:rPr>
          <w:bCs/>
        </w:rPr>
      </w:pPr>
    </w:p>
    <w:p w:rsidR="00D33C10" w:rsidRDefault="00D33C10" w:rsidP="00D33C10">
      <w:pPr>
        <w:jc w:val="both"/>
        <w:rPr>
          <w:bCs/>
        </w:rPr>
      </w:pPr>
      <w:r>
        <w:t>A módosítás nem érinti az állami alapító által alapított alapítványokat, mivel azok a Civil törvény hatálya alá tartoznak, és emiatt a hatályos jogszabályok alapján kezdeményezhetik a közhasznúsági nyilvántartásba vételt, és jogosultak a közhasznú megjelölés használatára, valamint a közhasznú jogálláshoz kapcsolódó kedvezmények igénybevételére.</w:t>
      </w:r>
    </w:p>
    <w:p w:rsidR="00D33C10" w:rsidRDefault="00D33C10" w:rsidP="00D33C10">
      <w:pPr>
        <w:jc w:val="both"/>
        <w:rPr>
          <w:b/>
        </w:rPr>
      </w:pPr>
    </w:p>
    <w:p w:rsidR="00D33C10" w:rsidRPr="0079553C" w:rsidRDefault="00D33C10" w:rsidP="00D33C10">
      <w:pPr>
        <w:jc w:val="center"/>
        <w:rPr>
          <w:i/>
        </w:rPr>
      </w:pPr>
      <w:r>
        <w:rPr>
          <w:i/>
        </w:rPr>
        <w:t>A 16–28</w:t>
      </w:r>
      <w:r w:rsidRPr="0079553C">
        <w:rPr>
          <w:i/>
        </w:rPr>
        <w:t>. §</w:t>
      </w:r>
      <w:proofErr w:type="spellStart"/>
      <w:r w:rsidRPr="0079553C">
        <w:rPr>
          <w:i/>
        </w:rPr>
        <w:t>-hoz</w:t>
      </w:r>
      <w:proofErr w:type="spellEnd"/>
    </w:p>
    <w:p w:rsidR="00D33C10" w:rsidRDefault="00D33C10" w:rsidP="00D33C10">
      <w:pPr>
        <w:jc w:val="both"/>
        <w:rPr>
          <w:b/>
        </w:rPr>
      </w:pPr>
    </w:p>
    <w:p w:rsidR="00D33C10" w:rsidRDefault="00D33C10" w:rsidP="00D33C10">
      <w:pPr>
        <w:jc w:val="both"/>
      </w:pPr>
      <w:r>
        <w:t xml:space="preserve">A Javaslat a 606/2013/EU rendelet </w:t>
      </w:r>
      <w:r>
        <w:rPr>
          <w:color w:val="000000"/>
        </w:rPr>
        <w:t xml:space="preserve">hazai érvényesülése érdekében </w:t>
      </w:r>
      <w:r>
        <w:t xml:space="preserve">módosítja, kiegészíti a hozzátartozók közti erőszak miatt alkalmazandó távoltartásról szóló 2009. évi LXXII. törvény (a továbbiakban: </w:t>
      </w:r>
      <w:proofErr w:type="spellStart"/>
      <w:r>
        <w:t>Hettv</w:t>
      </w:r>
      <w:proofErr w:type="spellEnd"/>
      <w:r>
        <w:t xml:space="preserve">.) rendelkezéseit a következők szerint. A Javaslat a 606/2013/EU rendelet (a továbbiakban: rendelet) személyi hatályához igazodva szélesebb jogalanyi körre terjeszti ki a </w:t>
      </w:r>
      <w:proofErr w:type="spellStart"/>
      <w:r>
        <w:t>Hettv</w:t>
      </w:r>
      <w:proofErr w:type="spellEnd"/>
      <w:r>
        <w:t xml:space="preserve">. személyi hatályát azokban az </w:t>
      </w:r>
      <w:proofErr w:type="gramStart"/>
      <w:r>
        <w:t>ügyekben</w:t>
      </w:r>
      <w:proofErr w:type="gramEnd"/>
      <w:r>
        <w:t xml:space="preserve"> amikor más tagállamban elrendelt védelmi intézkedés elismerése és végrehajtása érdekében kell eljárnia a magyar hatóságnak, bíróságnak tekintettel arra, hogy egyes tagállamokban nem kizárólag hozzátartozók esetében alkalmazható a magyar megelőző távoltartásnak (ideiglenes megelőző távoltartásnak) megfeleltethető intézkedés.</w:t>
      </w:r>
    </w:p>
    <w:p w:rsidR="00D33C10" w:rsidRDefault="00D33C10" w:rsidP="00D33C10">
      <w:pPr>
        <w:jc w:val="both"/>
      </w:pPr>
    </w:p>
    <w:p w:rsidR="00D33C10" w:rsidRDefault="00D33C10" w:rsidP="00D33C10">
      <w:pPr>
        <w:jc w:val="both"/>
      </w:pPr>
      <w:r>
        <w:t xml:space="preserve">A Javaslat annak érdekében, hogy a bántalmazottak határon átnyúló jogérvényesítését is elősegítse a </w:t>
      </w:r>
      <w:proofErr w:type="spellStart"/>
      <w:r>
        <w:t>Hettv</w:t>
      </w:r>
      <w:proofErr w:type="spellEnd"/>
      <w:r>
        <w:t>. általános rendelkezései körében kimondja, hogy az eljáró szerveknek a tanúsítvány kiállításának lehetőségéről és feltételeiről is tájékoztatniuk kell az érintetteket.</w:t>
      </w:r>
    </w:p>
    <w:p w:rsidR="00D33C10" w:rsidRDefault="00D33C10" w:rsidP="00D33C10">
      <w:pPr>
        <w:jc w:val="both"/>
      </w:pPr>
    </w:p>
    <w:p w:rsidR="00D33C10" w:rsidRDefault="00D33C10" w:rsidP="00D33C10">
      <w:pPr>
        <w:jc w:val="both"/>
      </w:pPr>
      <w:r>
        <w:t xml:space="preserve">A Javaslat az ideiglenes megelőző távoltartás esetében az annak elrendelésére hatáskörrel bíró rendőrhatóság részére előírja, hogy erre irányuló </w:t>
      </w:r>
      <w:proofErr w:type="spellStart"/>
      <w:r>
        <w:t>bántalmazotti</w:t>
      </w:r>
      <w:proofErr w:type="spellEnd"/>
      <w:r>
        <w:t xml:space="preserve"> kérelemre – az ideiglenes megelőző távoltartásról szóló határozata meghozatalával lehetőség szerint egyidejűleg – a rendelet 5. cikke szerinti tanúsítványt állítson ki (a továbbiakban: védelmi tanúsítvány). Az ideiglenes megelőző távoltartás, valamint a rendelet céljának szem előtt tartásával, nevezetesen, hogy sürgős ügyben is mielőbb és minden </w:t>
      </w:r>
      <w:proofErr w:type="gramStart"/>
      <w:r>
        <w:t>tagállamban védelemben</w:t>
      </w:r>
      <w:proofErr w:type="gramEnd"/>
      <w:r>
        <w:t xml:space="preserve"> részesülhessen az érintett bántalmazott, a Javaslat akként rendelkezik, hogy ha a helyszíni eljárás alkalmával nem lehetséges, úgy azt követően legkésőbb 12 órán belül kerüljön sor a tanúsítvány kiállítására. </w:t>
      </w:r>
    </w:p>
    <w:p w:rsidR="00D33C10" w:rsidRDefault="00D33C10" w:rsidP="00D33C10">
      <w:pPr>
        <w:jc w:val="both"/>
      </w:pPr>
    </w:p>
    <w:p w:rsidR="00D33C10" w:rsidRDefault="00D33C10" w:rsidP="00D33C10">
      <w:pPr>
        <w:jc w:val="both"/>
      </w:pPr>
      <w:r>
        <w:t>A rendelet 14. cikke mind a bántalmazó mind a bántalmazott részére biztosítja, hogy tanúsítvány kiállítását kérje abban az esetben is, ha az eredeti védelmi tanúsítványt az azt kiállító hatóság felfüggesztette, visszavonta, vagy magát a védelmi intézkedést illetve annak végrehajtását függesztette fel, korlátozta vagy vonta vissza. Erre, valamint arra figyelemmel, hogy a rendelet a tanúsítvány helyesbítését is lehetővé teszi az azt kiállító hatóság számára, a Javaslat egyértelművé teszi, hogy a rendőrséghez, mely esetekben fordulhatnak a felek a 14. cikk szerinti tanúsítvány kiállítása iránt és a kérelemnek mennyi időn belül kell eleget tenni.</w:t>
      </w:r>
    </w:p>
    <w:p w:rsidR="00D33C10" w:rsidRDefault="00D33C10" w:rsidP="00D33C10">
      <w:pPr>
        <w:jc w:val="both"/>
      </w:pPr>
    </w:p>
    <w:p w:rsidR="00D33C10" w:rsidRDefault="00D33C10" w:rsidP="00D33C10">
      <w:pPr>
        <w:jc w:val="both"/>
      </w:pPr>
      <w:r>
        <w:t>A tanúsítványok közlése kapcsán a Javaslat jogalkalmazást segítő rendelkezéseket tartalmaz.</w:t>
      </w:r>
    </w:p>
    <w:p w:rsidR="00D33C10" w:rsidRDefault="00D33C10" w:rsidP="00D33C10">
      <w:pPr>
        <w:jc w:val="both"/>
      </w:pPr>
    </w:p>
    <w:p w:rsidR="00D33C10" w:rsidRDefault="00D33C10" w:rsidP="00D33C10">
      <w:pPr>
        <w:jc w:val="both"/>
      </w:pPr>
      <w:r>
        <w:t>Az ideiglenes megelőző távoltartási elrendelésével kapcsolatban bevezetett módosításokhoz hasonlóan kezeli a Javaslat a bíróság hatáskörébe tartozó megelőző távoltartás elrendelésével összefüggésben a rendelet szerinti tanúsítványok kiállítását.</w:t>
      </w:r>
    </w:p>
    <w:p w:rsidR="00D33C10" w:rsidRDefault="00D33C10" w:rsidP="00D33C10">
      <w:pPr>
        <w:jc w:val="both"/>
      </w:pPr>
    </w:p>
    <w:p w:rsidR="00D33C10" w:rsidRDefault="00D33C10" w:rsidP="00D33C10">
      <w:pPr>
        <w:jc w:val="both"/>
      </w:pPr>
      <w:r>
        <w:t xml:space="preserve">A Javaslat a fenti, a rendeletnek a magyar jogrendszerben történő alkalmazását segítő módosításokon túl új, speciális eljárási szabályokat iktat a </w:t>
      </w:r>
      <w:proofErr w:type="spellStart"/>
      <w:r>
        <w:t>Hettv.-be</w:t>
      </w:r>
      <w:proofErr w:type="spellEnd"/>
      <w:r>
        <w:t xml:space="preserve">; e rendelkezések a más </w:t>
      </w:r>
      <w:r>
        <w:lastRenderedPageBreak/>
        <w:t xml:space="preserve">tagállamban elrendelt védelmi intézkedést Magyarországon érvényesíteni kívánó személyek által kezdeményezett ügyek elintézésének azon szabályait foglalják magukban, amelyek eltérnek a megelőző távoltartásra irányadó univerzális szabályoktól. </w:t>
      </w:r>
    </w:p>
    <w:p w:rsidR="00D33C10" w:rsidRDefault="00D33C10" w:rsidP="00D33C10">
      <w:pPr>
        <w:jc w:val="both"/>
      </w:pPr>
    </w:p>
    <w:p w:rsidR="00D33C10" w:rsidRDefault="00D33C10" w:rsidP="00D33C10">
      <w:pPr>
        <w:jc w:val="both"/>
      </w:pPr>
      <w:r>
        <w:t>A Javaslat a fentieken túl az új szabályok átvezetéséhez szükséges szövegcserés módosításokat, valamint jogharmonizációs záradékot tartalmaz.</w:t>
      </w:r>
    </w:p>
    <w:p w:rsidR="00D33C10" w:rsidRPr="0079553C" w:rsidRDefault="00D33C10" w:rsidP="00D33C10">
      <w:pPr>
        <w:jc w:val="both"/>
      </w:pPr>
    </w:p>
    <w:p w:rsidR="00D33C10" w:rsidRPr="00D72A1C" w:rsidRDefault="00D33C10" w:rsidP="00D33C10">
      <w:pPr>
        <w:jc w:val="center"/>
        <w:rPr>
          <w:i/>
        </w:rPr>
      </w:pPr>
      <w:r w:rsidRPr="00D72A1C">
        <w:rPr>
          <w:i/>
        </w:rPr>
        <w:t xml:space="preserve">A </w:t>
      </w:r>
      <w:r>
        <w:rPr>
          <w:i/>
        </w:rPr>
        <w:t>29</w:t>
      </w:r>
      <w:r w:rsidRPr="00D72A1C">
        <w:rPr>
          <w:i/>
        </w:rPr>
        <w:t>.</w:t>
      </w:r>
      <w:r>
        <w:rPr>
          <w:i/>
        </w:rPr>
        <w:t xml:space="preserve"> és 30. </w:t>
      </w:r>
      <w:r w:rsidRPr="00D72A1C">
        <w:rPr>
          <w:i/>
        </w:rPr>
        <w:t>§</w:t>
      </w:r>
      <w:proofErr w:type="spellStart"/>
      <w:r w:rsidRPr="00D72A1C">
        <w:rPr>
          <w:i/>
        </w:rPr>
        <w:t>-hoz</w:t>
      </w:r>
      <w:proofErr w:type="spellEnd"/>
    </w:p>
    <w:p w:rsidR="00D33C10" w:rsidRPr="00D72A1C" w:rsidRDefault="00D33C10" w:rsidP="00D33C10">
      <w:pPr>
        <w:jc w:val="both"/>
        <w:rPr>
          <w:b/>
        </w:rPr>
      </w:pPr>
    </w:p>
    <w:p w:rsidR="00D33C10" w:rsidRDefault="00D33C10" w:rsidP="00D33C10">
      <w:pPr>
        <w:autoSpaceDE w:val="0"/>
        <w:autoSpaceDN w:val="0"/>
        <w:jc w:val="both"/>
      </w:pPr>
      <w:r w:rsidRPr="00D72A1C">
        <w:t xml:space="preserve">A </w:t>
      </w:r>
      <w:proofErr w:type="spellStart"/>
      <w:r w:rsidRPr="00D72A1C">
        <w:t>Hetv</w:t>
      </w:r>
      <w:proofErr w:type="spellEnd"/>
      <w:r w:rsidRPr="00D72A1C">
        <w:t>. módosítását egyrészről</w:t>
      </w:r>
      <w:r w:rsidRPr="00D72A1C">
        <w:rPr>
          <w:color w:val="1F497D"/>
        </w:rPr>
        <w:t xml:space="preserve"> </w:t>
      </w:r>
      <w:r w:rsidRPr="00D72A1C">
        <w:t xml:space="preserve">egy kiskorúakra vonatkozó – jelenleg a hagyatéki eljárás egyes cselekményeiről szóló 29/2010. (XII. 31.) évi KIM rendeletben szabályozott – értelmező rendelkezés törvényi szintre emelése indokolja. Törvényi szinten indokolt rendelkezni ugyanis – a </w:t>
      </w:r>
      <w:proofErr w:type="spellStart"/>
      <w:r w:rsidRPr="00D72A1C">
        <w:t>Hetv</w:t>
      </w:r>
      <w:proofErr w:type="spellEnd"/>
      <w:r w:rsidRPr="00D72A1C">
        <w:t>. 2014. március 15. előtt hatályos szabályaihoz hasonlóan – azokról az esetekről, amikor a hagyatéki eljárás során kiskorú személy is érintett. A módosítások másrészről – a Polgári Törvénykönyvről  szóló 2013. évi V. törvény által – a gondnokság alá helyezés típusai kapcsán bevezetett új terminológiával való összhang megteremtését célozzák.</w:t>
      </w:r>
    </w:p>
    <w:p w:rsidR="00D33C10" w:rsidRPr="00D72A1C" w:rsidRDefault="00D33C10" w:rsidP="00D33C10">
      <w:pPr>
        <w:autoSpaceDE w:val="0"/>
        <w:autoSpaceDN w:val="0"/>
        <w:jc w:val="both"/>
      </w:pPr>
    </w:p>
    <w:p w:rsidR="00D33C10" w:rsidRPr="00D72A1C" w:rsidRDefault="00D33C10" w:rsidP="00D33C10">
      <w:pPr>
        <w:jc w:val="both"/>
      </w:pPr>
      <w:r w:rsidRPr="00D72A1C">
        <w:t xml:space="preserve">A </w:t>
      </w:r>
      <w:r>
        <w:t>Javaslat</w:t>
      </w:r>
      <w:r w:rsidRPr="00D72A1C">
        <w:t xml:space="preserve"> </w:t>
      </w:r>
      <w:r>
        <w:t xml:space="preserve">hatályon kívül helyezi </w:t>
      </w:r>
      <w:r w:rsidRPr="00D72A1C">
        <w:t xml:space="preserve">a </w:t>
      </w:r>
      <w:proofErr w:type="spellStart"/>
      <w:r w:rsidRPr="00D72A1C">
        <w:t>Hetv</w:t>
      </w:r>
      <w:proofErr w:type="spellEnd"/>
      <w:r w:rsidRPr="00D72A1C">
        <w:t xml:space="preserve">. 20. § (3) bekezdés </w:t>
      </w:r>
      <w:r w:rsidRPr="00D72A1C">
        <w:rPr>
          <w:i/>
          <w:iCs/>
        </w:rPr>
        <w:t xml:space="preserve">a) </w:t>
      </w:r>
      <w:r w:rsidRPr="00D72A1C">
        <w:t xml:space="preserve">pont </w:t>
      </w:r>
      <w:r w:rsidRPr="00D72A1C">
        <w:rPr>
          <w:i/>
          <w:iCs/>
        </w:rPr>
        <w:t xml:space="preserve">ab) </w:t>
      </w:r>
      <w:r w:rsidRPr="00D72A1C">
        <w:t xml:space="preserve">alpontjában és 24. § (1) bekezdés </w:t>
      </w:r>
      <w:r w:rsidRPr="00D72A1C">
        <w:rPr>
          <w:i/>
          <w:iCs/>
        </w:rPr>
        <w:t xml:space="preserve">b) </w:t>
      </w:r>
      <w:r w:rsidRPr="00D72A1C">
        <w:t>pontjában a „cselekvőképességet érintő gondnokság alatt álló” szövegrészt.</w:t>
      </w:r>
    </w:p>
    <w:p w:rsidR="00D33C10" w:rsidRPr="00D72A1C" w:rsidRDefault="00D33C10" w:rsidP="00D33C10">
      <w:pPr>
        <w:jc w:val="both"/>
        <w:rPr>
          <w:b/>
        </w:rPr>
      </w:pPr>
    </w:p>
    <w:p w:rsidR="00D33C10" w:rsidRPr="00D72A1C" w:rsidRDefault="00D33C10" w:rsidP="00D33C10">
      <w:pPr>
        <w:jc w:val="center"/>
        <w:rPr>
          <w:i/>
        </w:rPr>
      </w:pPr>
      <w:r w:rsidRPr="00D72A1C">
        <w:rPr>
          <w:i/>
        </w:rPr>
        <w:t xml:space="preserve">A </w:t>
      </w:r>
      <w:r>
        <w:rPr>
          <w:i/>
        </w:rPr>
        <w:t>31</w:t>
      </w:r>
      <w:r w:rsidRPr="00D72A1C">
        <w:rPr>
          <w:i/>
        </w:rPr>
        <w:t>.</w:t>
      </w:r>
      <w:r>
        <w:rPr>
          <w:i/>
        </w:rPr>
        <w:t xml:space="preserve"> </w:t>
      </w:r>
      <w:r w:rsidRPr="00D72A1C">
        <w:rPr>
          <w:i/>
        </w:rPr>
        <w:t>§</w:t>
      </w:r>
      <w:proofErr w:type="spellStart"/>
      <w:r w:rsidRPr="00D72A1C">
        <w:rPr>
          <w:i/>
        </w:rPr>
        <w:t>-hoz</w:t>
      </w:r>
      <w:proofErr w:type="spellEnd"/>
    </w:p>
    <w:p w:rsidR="00D33C10" w:rsidRPr="00D72A1C" w:rsidRDefault="00D33C10" w:rsidP="00D33C10">
      <w:pPr>
        <w:jc w:val="both"/>
      </w:pPr>
    </w:p>
    <w:p w:rsidR="00D33C10" w:rsidRDefault="00D33C10" w:rsidP="00D33C10">
      <w:pPr>
        <w:jc w:val="both"/>
      </w:pPr>
      <w:r>
        <w:t>A 31. § hatályba léptető</w:t>
      </w:r>
      <w:r w:rsidRPr="00D72A1C">
        <w:t xml:space="preserve"> </w:t>
      </w:r>
      <w:r>
        <w:t>rendelkezés</w:t>
      </w:r>
      <w:r w:rsidR="00092572">
        <w:t>eke</w:t>
      </w:r>
      <w:r>
        <w:t xml:space="preserve">t tartalmaz. </w:t>
      </w:r>
    </w:p>
    <w:p w:rsidR="00D33C10" w:rsidRPr="00D72A1C" w:rsidRDefault="00D33C10" w:rsidP="00D33C10">
      <w:pPr>
        <w:jc w:val="both"/>
      </w:pPr>
    </w:p>
    <w:p w:rsidR="00D33C10" w:rsidRPr="00D72A1C" w:rsidRDefault="00D33C10" w:rsidP="00D33C10">
      <w:pPr>
        <w:jc w:val="center"/>
        <w:rPr>
          <w:i/>
        </w:rPr>
      </w:pPr>
      <w:r w:rsidRPr="00D72A1C">
        <w:rPr>
          <w:i/>
        </w:rPr>
        <w:t xml:space="preserve">A </w:t>
      </w:r>
      <w:r>
        <w:rPr>
          <w:i/>
        </w:rPr>
        <w:t>32</w:t>
      </w:r>
      <w:r w:rsidRPr="00D72A1C">
        <w:rPr>
          <w:i/>
        </w:rPr>
        <w:t>.</w:t>
      </w:r>
      <w:r>
        <w:rPr>
          <w:i/>
        </w:rPr>
        <w:t xml:space="preserve"> </w:t>
      </w:r>
      <w:r w:rsidRPr="00D72A1C">
        <w:rPr>
          <w:i/>
        </w:rPr>
        <w:t>§</w:t>
      </w:r>
      <w:proofErr w:type="spellStart"/>
      <w:r w:rsidRPr="00D72A1C">
        <w:rPr>
          <w:i/>
        </w:rPr>
        <w:t>-hoz</w:t>
      </w:r>
      <w:proofErr w:type="spellEnd"/>
    </w:p>
    <w:p w:rsidR="00D33C10" w:rsidRPr="00D72A1C" w:rsidRDefault="00D33C10" w:rsidP="00D33C10">
      <w:pPr>
        <w:jc w:val="center"/>
        <w:rPr>
          <w:i/>
        </w:rPr>
      </w:pPr>
    </w:p>
    <w:p w:rsidR="00D33C10" w:rsidRPr="00D72A1C" w:rsidRDefault="00D33C10" w:rsidP="00D33C10">
      <w:pPr>
        <w:jc w:val="both"/>
      </w:pPr>
      <w:r w:rsidRPr="00D72A1C">
        <w:t xml:space="preserve">A Javaslat </w:t>
      </w:r>
      <w:r>
        <w:t>32. §</w:t>
      </w:r>
      <w:proofErr w:type="spellStart"/>
      <w:r>
        <w:t>-</w:t>
      </w:r>
      <w:proofErr w:type="gramStart"/>
      <w:r w:rsidRPr="00D72A1C">
        <w:t>a</w:t>
      </w:r>
      <w:proofErr w:type="spellEnd"/>
      <w:proofErr w:type="gramEnd"/>
      <w:r w:rsidRPr="00D72A1C">
        <w:t xml:space="preserve"> az új Brüsszel I. rendelet</w:t>
      </w:r>
      <w:r>
        <w:t xml:space="preserve"> és a 606/2013/EU rendelet </w:t>
      </w:r>
      <w:r w:rsidRPr="00D72A1C">
        <w:t>hazai alkalmazásával kapcsolatos jogszabály-módosítások átvezetésére tekintettel jogharmonizációs záradékot tartalmaz.</w:t>
      </w:r>
    </w:p>
    <w:p w:rsidR="00D33C10" w:rsidRPr="00D72A1C" w:rsidRDefault="00D33C10" w:rsidP="00D33C10">
      <w:pPr>
        <w:jc w:val="both"/>
      </w:pPr>
    </w:p>
    <w:p w:rsidR="00F72C2F" w:rsidRDefault="00F72C2F" w:rsidP="00F72C2F">
      <w:pPr>
        <w:jc w:val="center"/>
        <w:rPr>
          <w:b/>
        </w:rPr>
      </w:pPr>
    </w:p>
    <w:p w:rsidR="00FE6ABC" w:rsidRPr="00813EB9" w:rsidRDefault="00FE6ABC" w:rsidP="00BE299A"/>
    <w:sectPr w:rsidR="00FE6ABC" w:rsidRPr="00813EB9" w:rsidSect="00505798">
      <w:headerReference w:type="even" r:id="rId8"/>
      <w:headerReference w:type="default" r:id="rId9"/>
      <w:footerReference w:type="even"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1C5" w:rsidRDefault="008851C5">
      <w:r>
        <w:separator/>
      </w:r>
    </w:p>
  </w:endnote>
  <w:endnote w:type="continuationSeparator" w:id="0">
    <w:p w:rsidR="008851C5" w:rsidRDefault="0088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1E" w:rsidRDefault="004A281E" w:rsidP="0035677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4A281E" w:rsidRDefault="004A281E" w:rsidP="00356773">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1E" w:rsidRDefault="004A281E">
    <w:pPr>
      <w:pStyle w:val="llb"/>
      <w:jc w:val="center"/>
    </w:pPr>
    <w:r>
      <w:fldChar w:fldCharType="begin"/>
    </w:r>
    <w:r>
      <w:instrText>PAGE   \* MERGEFORMAT</w:instrText>
    </w:r>
    <w:r>
      <w:fldChar w:fldCharType="separate"/>
    </w:r>
    <w:r w:rsidR="00F90605">
      <w:rPr>
        <w:noProof/>
      </w:rPr>
      <w:t>17</w:t>
    </w:r>
    <w:r>
      <w:fldChar w:fldCharType="end"/>
    </w:r>
  </w:p>
  <w:p w:rsidR="004A281E" w:rsidRDefault="004A281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1C5" w:rsidRDefault="008851C5">
      <w:r>
        <w:separator/>
      </w:r>
    </w:p>
  </w:footnote>
  <w:footnote w:type="continuationSeparator" w:id="0">
    <w:p w:rsidR="008851C5" w:rsidRDefault="00885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1E" w:rsidRDefault="004A281E" w:rsidP="00356773">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4A281E" w:rsidRDefault="004A281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1E" w:rsidRDefault="004A281E" w:rsidP="00F44B8F">
    <w:pPr>
      <w:pStyle w:val="lfej"/>
      <w:jc w:val="center"/>
      <w:rPr>
        <w:sz w:val="20"/>
      </w:rPr>
    </w:pPr>
    <w:r w:rsidRPr="0011517C">
      <w:rPr>
        <w:sz w:val="20"/>
      </w:rPr>
      <w:t xml:space="preserve">Az előterjesztést a Kormány nem tárgyalta meg, ezért </w:t>
    </w:r>
    <w:proofErr w:type="gramStart"/>
    <w:r w:rsidRPr="0011517C">
      <w:rPr>
        <w:sz w:val="20"/>
      </w:rPr>
      <w:t>az</w:t>
    </w:r>
    <w:proofErr w:type="gramEnd"/>
    <w:r w:rsidRPr="0011517C">
      <w:rPr>
        <w:sz w:val="20"/>
      </w:rPr>
      <w:t xml:space="preserve"> nem tekinthető a Kormány álláspontjának.</w:t>
    </w:r>
  </w:p>
  <w:p w:rsidR="004A281E" w:rsidRDefault="004A281E">
    <w:pPr>
      <w:pStyle w:val="lfej"/>
    </w:pPr>
  </w:p>
  <w:p w:rsidR="004A281E" w:rsidRPr="00A906C3" w:rsidRDefault="004A281E" w:rsidP="00356773">
    <w:pPr>
      <w:pStyle w:val="lfej"/>
      <w:jc w:val="center"/>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1E" w:rsidRDefault="004A281E" w:rsidP="00F44B8F">
    <w:pPr>
      <w:pStyle w:val="lfej"/>
      <w:jc w:val="center"/>
      <w:rPr>
        <w:sz w:val="20"/>
      </w:rPr>
    </w:pPr>
    <w:r w:rsidRPr="0011517C">
      <w:rPr>
        <w:sz w:val="20"/>
      </w:rPr>
      <w:t xml:space="preserve">Az előterjesztést a Kormány nem tárgyalta meg, ezért </w:t>
    </w:r>
    <w:proofErr w:type="gramStart"/>
    <w:r w:rsidRPr="0011517C">
      <w:rPr>
        <w:sz w:val="20"/>
      </w:rPr>
      <w:t>az</w:t>
    </w:r>
    <w:proofErr w:type="gramEnd"/>
    <w:r w:rsidRPr="0011517C">
      <w:rPr>
        <w:sz w:val="20"/>
      </w:rPr>
      <w:t xml:space="preserve"> nem tekinthető a Kormány álláspontjának.</w:t>
    </w:r>
  </w:p>
  <w:p w:rsidR="004A281E" w:rsidRDefault="004A281E">
    <w:pPr>
      <w:pStyle w:val="lfej"/>
    </w:pPr>
  </w:p>
  <w:p w:rsidR="004A281E" w:rsidRDefault="004A281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CF1C93"/>
    <w:multiLevelType w:val="hybridMultilevel"/>
    <w:tmpl w:val="DAAEE0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B1DD0B1"/>
    <w:multiLevelType w:val="hybridMultilevel"/>
    <w:tmpl w:val="F79747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861159"/>
    <w:multiLevelType w:val="multilevel"/>
    <w:tmpl w:val="C65650AE"/>
    <w:lvl w:ilvl="0">
      <w:start w:val="1"/>
      <w:numFmt w:val="lowerLetter"/>
      <w:pStyle w:val="Ekozigfelsorolas"/>
      <w:lvlText w:val="%1)"/>
      <w:lvlJc w:val="left"/>
      <w:pPr>
        <w:tabs>
          <w:tab w:val="num" w:pos="561"/>
        </w:tabs>
        <w:ind w:left="924" w:hanging="363"/>
      </w:pPr>
      <w:rPr>
        <w:rFonts w:hint="default"/>
      </w:rPr>
    </w:lvl>
    <w:lvl w:ilvl="1">
      <w:start w:val="1"/>
      <w:numFmt w:val="lowerLetter"/>
      <w:lvlRestart w:val="0"/>
      <w:lvlText w:val="%1%2)"/>
      <w:lvlJc w:val="left"/>
      <w:pPr>
        <w:tabs>
          <w:tab w:val="num" w:pos="1134"/>
        </w:tabs>
        <w:ind w:left="2495" w:hanging="1418"/>
      </w:pPr>
      <w:rPr>
        <w:rFonts w:hint="default"/>
      </w:rPr>
    </w:lvl>
    <w:lvl w:ilvl="2">
      <w:start w:val="1"/>
      <w:numFmt w:val="lowerLetter"/>
      <w:lvlRestart w:val="0"/>
      <w:lvlText w:val="%2%3%1)"/>
      <w:lvlJc w:val="left"/>
      <w:pPr>
        <w:tabs>
          <w:tab w:val="num" w:pos="1641"/>
        </w:tabs>
        <w:ind w:left="3742" w:hanging="2041"/>
      </w:pPr>
      <w:rPr>
        <w:rFonts w:hint="default"/>
      </w:rPr>
    </w:lvl>
    <w:lvl w:ilvl="3">
      <w:start w:val="53"/>
      <w:numFmt w:val="lowerLetter"/>
      <w:lvlRestart w:val="0"/>
      <w:lvlText w:val="%3%4)"/>
      <w:lvlJc w:val="left"/>
      <w:pPr>
        <w:tabs>
          <w:tab w:val="num" w:pos="2001"/>
        </w:tabs>
        <w:ind w:left="2001" w:hanging="16"/>
      </w:pPr>
      <w:rPr>
        <w:rFonts w:hint="default"/>
      </w:rPr>
    </w:lvl>
    <w:lvl w:ilvl="4">
      <w:start w:val="27"/>
      <w:numFmt w:val="lowerLetter"/>
      <w:lvlText w:val="%4%5)"/>
      <w:lvlJc w:val="left"/>
      <w:pPr>
        <w:tabs>
          <w:tab w:val="num" w:pos="2361"/>
        </w:tabs>
        <w:ind w:left="2361" w:hanging="93"/>
      </w:pPr>
      <w:rPr>
        <w:rFonts w:hint="default"/>
      </w:rPr>
    </w:lvl>
    <w:lvl w:ilvl="5">
      <w:start w:val="1"/>
      <w:numFmt w:val="lowerRoman"/>
      <w:lvlText w:val="(%6)"/>
      <w:lvlJc w:val="left"/>
      <w:pPr>
        <w:tabs>
          <w:tab w:val="num" w:pos="2721"/>
        </w:tabs>
        <w:ind w:left="2721" w:hanging="360"/>
      </w:pPr>
      <w:rPr>
        <w:rFonts w:hint="default"/>
      </w:rPr>
    </w:lvl>
    <w:lvl w:ilvl="6">
      <w:start w:val="1"/>
      <w:numFmt w:val="decimal"/>
      <w:lvlText w:val="%7."/>
      <w:lvlJc w:val="left"/>
      <w:pPr>
        <w:tabs>
          <w:tab w:val="num" w:pos="3081"/>
        </w:tabs>
        <w:ind w:left="3081" w:hanging="360"/>
      </w:pPr>
      <w:rPr>
        <w:rFonts w:hint="default"/>
      </w:rPr>
    </w:lvl>
    <w:lvl w:ilvl="7">
      <w:start w:val="1"/>
      <w:numFmt w:val="lowerLetter"/>
      <w:lvlText w:val="%8."/>
      <w:lvlJc w:val="left"/>
      <w:pPr>
        <w:tabs>
          <w:tab w:val="num" w:pos="3441"/>
        </w:tabs>
        <w:ind w:left="3441" w:hanging="360"/>
      </w:pPr>
      <w:rPr>
        <w:rFonts w:hint="default"/>
      </w:rPr>
    </w:lvl>
    <w:lvl w:ilvl="8">
      <w:start w:val="1"/>
      <w:numFmt w:val="lowerRoman"/>
      <w:lvlText w:val="%9."/>
      <w:lvlJc w:val="left"/>
      <w:pPr>
        <w:tabs>
          <w:tab w:val="num" w:pos="3801"/>
        </w:tabs>
        <w:ind w:left="3801" w:hanging="360"/>
      </w:pPr>
      <w:rPr>
        <w:rFonts w:hint="default"/>
      </w:rPr>
    </w:lvl>
  </w:abstractNum>
  <w:abstractNum w:abstractNumId="3">
    <w:nsid w:val="16A82DDB"/>
    <w:multiLevelType w:val="hybridMultilevel"/>
    <w:tmpl w:val="15D552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E5A253D"/>
    <w:multiLevelType w:val="hybridMultilevel"/>
    <w:tmpl w:val="F6AA5838"/>
    <w:lvl w:ilvl="0" w:tplc="EBD4B7A6">
      <w:numFmt w:val="bullet"/>
      <w:lvlText w:val="-"/>
      <w:lvlJc w:val="left"/>
      <w:pPr>
        <w:tabs>
          <w:tab w:val="num" w:pos="1068"/>
        </w:tabs>
        <w:ind w:left="1068" w:hanging="360"/>
      </w:pPr>
      <w:rPr>
        <w:rFonts w:ascii="Garamond" w:eastAsia="Times New Roman" w:hAnsi="Garamond" w:cs="Times New Roman" w:hint="default"/>
        <w:i/>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5">
    <w:nsid w:val="26D73B1B"/>
    <w:multiLevelType w:val="hybridMultilevel"/>
    <w:tmpl w:val="C8C02C86"/>
    <w:lvl w:ilvl="0" w:tplc="CA1ABDE0">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6">
    <w:nsid w:val="2908493F"/>
    <w:multiLevelType w:val="hybridMultilevel"/>
    <w:tmpl w:val="E32EF1B8"/>
    <w:lvl w:ilvl="0" w:tplc="4D9CBECA">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F50D8A3"/>
    <w:multiLevelType w:val="hybridMultilevel"/>
    <w:tmpl w:val="AF3CDC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F3438C3"/>
    <w:multiLevelType w:val="hybridMultilevel"/>
    <w:tmpl w:val="D400A676"/>
    <w:lvl w:ilvl="0" w:tplc="DD92AA96">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9">
    <w:nsid w:val="527AD571"/>
    <w:multiLevelType w:val="hybridMultilevel"/>
    <w:tmpl w:val="D9FEFE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5B222A1B"/>
    <w:multiLevelType w:val="hybridMultilevel"/>
    <w:tmpl w:val="E1CA5B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5B271DC8"/>
    <w:multiLevelType w:val="hybridMultilevel"/>
    <w:tmpl w:val="B82020D6"/>
    <w:lvl w:ilvl="0" w:tplc="5C1059F0">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2">
    <w:nsid w:val="5D076226"/>
    <w:multiLevelType w:val="hybridMultilevel"/>
    <w:tmpl w:val="49A9A5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60F443B5"/>
    <w:multiLevelType w:val="hybridMultilevel"/>
    <w:tmpl w:val="B91AA524"/>
    <w:lvl w:ilvl="0" w:tplc="EF04F3C0">
      <w:start w:val="1"/>
      <w:numFmt w:val="upperRoman"/>
      <w:lvlText w:val="%1."/>
      <w:lvlJc w:val="left"/>
      <w:pPr>
        <w:tabs>
          <w:tab w:val="num" w:pos="2160"/>
        </w:tabs>
        <w:ind w:left="2160" w:hanging="720"/>
      </w:pPr>
      <w:rPr>
        <w:rFonts w:hint="default"/>
      </w:rPr>
    </w:lvl>
    <w:lvl w:ilvl="1" w:tplc="069E13E6">
      <w:start w:val="1"/>
      <w:numFmt w:val="decimal"/>
      <w:lvlText w:val="%2."/>
      <w:lvlJc w:val="left"/>
      <w:pPr>
        <w:tabs>
          <w:tab w:val="num" w:pos="3180"/>
        </w:tabs>
        <w:ind w:left="3180" w:hanging="1020"/>
      </w:pPr>
      <w:rPr>
        <w:rFonts w:hint="default"/>
        <w:b/>
      </w:rPr>
    </w:lvl>
    <w:lvl w:ilvl="2" w:tplc="040E001B" w:tentative="1">
      <w:start w:val="1"/>
      <w:numFmt w:val="lowerRoman"/>
      <w:lvlText w:val="%3."/>
      <w:lvlJc w:val="right"/>
      <w:pPr>
        <w:tabs>
          <w:tab w:val="num" w:pos="3240"/>
        </w:tabs>
        <w:ind w:left="3240" w:hanging="18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14">
    <w:nsid w:val="614F525A"/>
    <w:multiLevelType w:val="hybridMultilevel"/>
    <w:tmpl w:val="35A80010"/>
    <w:lvl w:ilvl="0" w:tplc="EBD4B7A6">
      <w:numFmt w:val="bullet"/>
      <w:lvlText w:val="-"/>
      <w:lvlJc w:val="left"/>
      <w:pPr>
        <w:tabs>
          <w:tab w:val="num" w:pos="1068"/>
        </w:tabs>
        <w:ind w:left="1068" w:hanging="360"/>
      </w:pPr>
      <w:rPr>
        <w:rFonts w:ascii="Garamond" w:eastAsia="Times New Roman" w:hAnsi="Garamond" w:cs="Times New Roman" w:hint="default"/>
        <w:i/>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B266061"/>
    <w:multiLevelType w:val="hybridMultilevel"/>
    <w:tmpl w:val="5204D168"/>
    <w:lvl w:ilvl="0" w:tplc="D12C0BEA">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num w:numId="1">
    <w:abstractNumId w:val="15"/>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53"/>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0"/>
  </w:num>
  <w:num w:numId="6">
    <w:abstractNumId w:val="3"/>
  </w:num>
  <w:num w:numId="7">
    <w:abstractNumId w:val="12"/>
  </w:num>
  <w:num w:numId="8">
    <w:abstractNumId w:val="1"/>
  </w:num>
  <w:num w:numId="9">
    <w:abstractNumId w:val="7"/>
  </w:num>
  <w:num w:numId="10">
    <w:abstractNumId w:val="9"/>
  </w:num>
  <w:num w:numId="11">
    <w:abstractNumId w:val="5"/>
  </w:num>
  <w:num w:numId="12">
    <w:abstractNumId w:val="8"/>
  </w:num>
  <w:num w:numId="13">
    <w:abstractNumId w:val="13"/>
  </w:num>
  <w:num w:numId="14">
    <w:abstractNumId w:val="11"/>
  </w:num>
  <w:num w:numId="15">
    <w:abstractNumId w:val="4"/>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992"/>
    <w:rsid w:val="00001090"/>
    <w:rsid w:val="00004577"/>
    <w:rsid w:val="00005206"/>
    <w:rsid w:val="00011421"/>
    <w:rsid w:val="00021179"/>
    <w:rsid w:val="00021353"/>
    <w:rsid w:val="000218A4"/>
    <w:rsid w:val="00021D8F"/>
    <w:rsid w:val="000238F4"/>
    <w:rsid w:val="000268F6"/>
    <w:rsid w:val="0003160D"/>
    <w:rsid w:val="0003609B"/>
    <w:rsid w:val="0003650A"/>
    <w:rsid w:val="00036EA6"/>
    <w:rsid w:val="00037E4E"/>
    <w:rsid w:val="000425A1"/>
    <w:rsid w:val="00053326"/>
    <w:rsid w:val="000543B2"/>
    <w:rsid w:val="00057403"/>
    <w:rsid w:val="000574DD"/>
    <w:rsid w:val="00065B87"/>
    <w:rsid w:val="0006659F"/>
    <w:rsid w:val="000718EA"/>
    <w:rsid w:val="000719C8"/>
    <w:rsid w:val="000760C5"/>
    <w:rsid w:val="00076EEB"/>
    <w:rsid w:val="0007740A"/>
    <w:rsid w:val="000858E1"/>
    <w:rsid w:val="0008768B"/>
    <w:rsid w:val="00092572"/>
    <w:rsid w:val="00092A8E"/>
    <w:rsid w:val="00092B3E"/>
    <w:rsid w:val="000936DC"/>
    <w:rsid w:val="00095320"/>
    <w:rsid w:val="00095552"/>
    <w:rsid w:val="000A1C54"/>
    <w:rsid w:val="000A3D31"/>
    <w:rsid w:val="000A5256"/>
    <w:rsid w:val="000A616E"/>
    <w:rsid w:val="000A6DCD"/>
    <w:rsid w:val="000A7436"/>
    <w:rsid w:val="000B23C6"/>
    <w:rsid w:val="000B402B"/>
    <w:rsid w:val="000B7981"/>
    <w:rsid w:val="000C0BC2"/>
    <w:rsid w:val="000C6869"/>
    <w:rsid w:val="000D237B"/>
    <w:rsid w:val="000E0A6A"/>
    <w:rsid w:val="000E1C5C"/>
    <w:rsid w:val="000E4D94"/>
    <w:rsid w:val="000E67F8"/>
    <w:rsid w:val="000F05FF"/>
    <w:rsid w:val="000F0F5F"/>
    <w:rsid w:val="000F15AA"/>
    <w:rsid w:val="000F7A99"/>
    <w:rsid w:val="001056CF"/>
    <w:rsid w:val="001074A1"/>
    <w:rsid w:val="00110250"/>
    <w:rsid w:val="001109A3"/>
    <w:rsid w:val="00112C46"/>
    <w:rsid w:val="00113D22"/>
    <w:rsid w:val="00113E96"/>
    <w:rsid w:val="0011407A"/>
    <w:rsid w:val="00114C7D"/>
    <w:rsid w:val="00114EE8"/>
    <w:rsid w:val="00121B5E"/>
    <w:rsid w:val="001238AC"/>
    <w:rsid w:val="00123DD4"/>
    <w:rsid w:val="00126DBB"/>
    <w:rsid w:val="00130E86"/>
    <w:rsid w:val="0013213A"/>
    <w:rsid w:val="001363D9"/>
    <w:rsid w:val="001417D0"/>
    <w:rsid w:val="00143319"/>
    <w:rsid w:val="0014376F"/>
    <w:rsid w:val="001452FE"/>
    <w:rsid w:val="00151C31"/>
    <w:rsid w:val="00152D81"/>
    <w:rsid w:val="0015385E"/>
    <w:rsid w:val="001540BD"/>
    <w:rsid w:val="00156C30"/>
    <w:rsid w:val="001616A3"/>
    <w:rsid w:val="00172C51"/>
    <w:rsid w:val="0017300F"/>
    <w:rsid w:val="0017445E"/>
    <w:rsid w:val="0017562D"/>
    <w:rsid w:val="00176213"/>
    <w:rsid w:val="00180813"/>
    <w:rsid w:val="0018146E"/>
    <w:rsid w:val="00184574"/>
    <w:rsid w:val="001850C9"/>
    <w:rsid w:val="00186E17"/>
    <w:rsid w:val="00194E47"/>
    <w:rsid w:val="001A5F4B"/>
    <w:rsid w:val="001A79E0"/>
    <w:rsid w:val="001C1F61"/>
    <w:rsid w:val="001C2877"/>
    <w:rsid w:val="001C3D9F"/>
    <w:rsid w:val="001D110D"/>
    <w:rsid w:val="001D44DE"/>
    <w:rsid w:val="001D453F"/>
    <w:rsid w:val="001D621B"/>
    <w:rsid w:val="001D62D8"/>
    <w:rsid w:val="001D74B3"/>
    <w:rsid w:val="001D7550"/>
    <w:rsid w:val="001D7920"/>
    <w:rsid w:val="001E150F"/>
    <w:rsid w:val="001E1ACF"/>
    <w:rsid w:val="001E2FD4"/>
    <w:rsid w:val="001E70AD"/>
    <w:rsid w:val="001F4395"/>
    <w:rsid w:val="001F4E38"/>
    <w:rsid w:val="001F68E1"/>
    <w:rsid w:val="00202AC9"/>
    <w:rsid w:val="002051C9"/>
    <w:rsid w:val="00206CD6"/>
    <w:rsid w:val="00207D99"/>
    <w:rsid w:val="00211BFD"/>
    <w:rsid w:val="0021203B"/>
    <w:rsid w:val="00212D62"/>
    <w:rsid w:val="00214857"/>
    <w:rsid w:val="00214FDC"/>
    <w:rsid w:val="002162F6"/>
    <w:rsid w:val="00216859"/>
    <w:rsid w:val="00216CF0"/>
    <w:rsid w:val="00220DBB"/>
    <w:rsid w:val="00222857"/>
    <w:rsid w:val="00226D4F"/>
    <w:rsid w:val="0023288A"/>
    <w:rsid w:val="00232EED"/>
    <w:rsid w:val="002338AB"/>
    <w:rsid w:val="00234E34"/>
    <w:rsid w:val="002351FA"/>
    <w:rsid w:val="00235BA4"/>
    <w:rsid w:val="002414F4"/>
    <w:rsid w:val="00241C07"/>
    <w:rsid w:val="0024576F"/>
    <w:rsid w:val="00245F5A"/>
    <w:rsid w:val="002464A2"/>
    <w:rsid w:val="002464BD"/>
    <w:rsid w:val="0024658D"/>
    <w:rsid w:val="00246A1C"/>
    <w:rsid w:val="00253568"/>
    <w:rsid w:val="002542D8"/>
    <w:rsid w:val="0026031D"/>
    <w:rsid w:val="0026175F"/>
    <w:rsid w:val="002675A5"/>
    <w:rsid w:val="00281289"/>
    <w:rsid w:val="00281AC8"/>
    <w:rsid w:val="0028269E"/>
    <w:rsid w:val="00284A1E"/>
    <w:rsid w:val="00287363"/>
    <w:rsid w:val="00287939"/>
    <w:rsid w:val="002906EA"/>
    <w:rsid w:val="00290998"/>
    <w:rsid w:val="0029343A"/>
    <w:rsid w:val="002A0D4B"/>
    <w:rsid w:val="002A0F44"/>
    <w:rsid w:val="002A34DB"/>
    <w:rsid w:val="002A5E92"/>
    <w:rsid w:val="002C50E9"/>
    <w:rsid w:val="002D2BE8"/>
    <w:rsid w:val="002D62A8"/>
    <w:rsid w:val="002D7044"/>
    <w:rsid w:val="002E2BAE"/>
    <w:rsid w:val="002F01EE"/>
    <w:rsid w:val="002F14CF"/>
    <w:rsid w:val="002F35E2"/>
    <w:rsid w:val="002F3DCE"/>
    <w:rsid w:val="002F6BAE"/>
    <w:rsid w:val="002F7704"/>
    <w:rsid w:val="0030089A"/>
    <w:rsid w:val="0030181E"/>
    <w:rsid w:val="0030489E"/>
    <w:rsid w:val="00307327"/>
    <w:rsid w:val="003074E2"/>
    <w:rsid w:val="00311994"/>
    <w:rsid w:val="00312630"/>
    <w:rsid w:val="00317CE5"/>
    <w:rsid w:val="003209E9"/>
    <w:rsid w:val="003233EE"/>
    <w:rsid w:val="00323974"/>
    <w:rsid w:val="00324BF6"/>
    <w:rsid w:val="00325461"/>
    <w:rsid w:val="00325708"/>
    <w:rsid w:val="00325D38"/>
    <w:rsid w:val="00330BB0"/>
    <w:rsid w:val="00333BAA"/>
    <w:rsid w:val="00333DBA"/>
    <w:rsid w:val="003415FD"/>
    <w:rsid w:val="00345A50"/>
    <w:rsid w:val="003516CE"/>
    <w:rsid w:val="00351F51"/>
    <w:rsid w:val="00354F7A"/>
    <w:rsid w:val="00355BD2"/>
    <w:rsid w:val="00355C35"/>
    <w:rsid w:val="00355F5D"/>
    <w:rsid w:val="003560D8"/>
    <w:rsid w:val="00356773"/>
    <w:rsid w:val="00367AF4"/>
    <w:rsid w:val="00372E4E"/>
    <w:rsid w:val="003732E5"/>
    <w:rsid w:val="00373626"/>
    <w:rsid w:val="0038100E"/>
    <w:rsid w:val="00391F27"/>
    <w:rsid w:val="003941AC"/>
    <w:rsid w:val="00394235"/>
    <w:rsid w:val="003A263C"/>
    <w:rsid w:val="003A6033"/>
    <w:rsid w:val="003B136F"/>
    <w:rsid w:val="003B2BAC"/>
    <w:rsid w:val="003B2C47"/>
    <w:rsid w:val="003B3212"/>
    <w:rsid w:val="003B3948"/>
    <w:rsid w:val="003B54BA"/>
    <w:rsid w:val="003B6260"/>
    <w:rsid w:val="003B690A"/>
    <w:rsid w:val="003C2403"/>
    <w:rsid w:val="003C74A8"/>
    <w:rsid w:val="003C7522"/>
    <w:rsid w:val="003D77E2"/>
    <w:rsid w:val="003F135A"/>
    <w:rsid w:val="003F6483"/>
    <w:rsid w:val="003F7CD3"/>
    <w:rsid w:val="00401C1F"/>
    <w:rsid w:val="00407973"/>
    <w:rsid w:val="00410036"/>
    <w:rsid w:val="00414CC6"/>
    <w:rsid w:val="004171E6"/>
    <w:rsid w:val="00420407"/>
    <w:rsid w:val="0042251E"/>
    <w:rsid w:val="00422680"/>
    <w:rsid w:val="004226C3"/>
    <w:rsid w:val="004349D2"/>
    <w:rsid w:val="00436EDF"/>
    <w:rsid w:val="00440633"/>
    <w:rsid w:val="00442D80"/>
    <w:rsid w:val="004451D0"/>
    <w:rsid w:val="004454FA"/>
    <w:rsid w:val="0044633B"/>
    <w:rsid w:val="00451AF3"/>
    <w:rsid w:val="00454F0D"/>
    <w:rsid w:val="004578D0"/>
    <w:rsid w:val="004615B6"/>
    <w:rsid w:val="004651B0"/>
    <w:rsid w:val="004671AF"/>
    <w:rsid w:val="00470814"/>
    <w:rsid w:val="004713E7"/>
    <w:rsid w:val="0047360B"/>
    <w:rsid w:val="00473767"/>
    <w:rsid w:val="00473AFF"/>
    <w:rsid w:val="00473D1D"/>
    <w:rsid w:val="00473F83"/>
    <w:rsid w:val="0047446B"/>
    <w:rsid w:val="00474DFD"/>
    <w:rsid w:val="00480DB1"/>
    <w:rsid w:val="0048266E"/>
    <w:rsid w:val="00485DFD"/>
    <w:rsid w:val="004870FE"/>
    <w:rsid w:val="00493327"/>
    <w:rsid w:val="00494FF4"/>
    <w:rsid w:val="004955E7"/>
    <w:rsid w:val="00496B5A"/>
    <w:rsid w:val="004A281E"/>
    <w:rsid w:val="004A3798"/>
    <w:rsid w:val="004A4159"/>
    <w:rsid w:val="004A45BE"/>
    <w:rsid w:val="004B07F9"/>
    <w:rsid w:val="004B2992"/>
    <w:rsid w:val="004B55E7"/>
    <w:rsid w:val="004B6E97"/>
    <w:rsid w:val="004B71F2"/>
    <w:rsid w:val="004C17A7"/>
    <w:rsid w:val="004C21A2"/>
    <w:rsid w:val="004D3589"/>
    <w:rsid w:val="004D3FE8"/>
    <w:rsid w:val="004D56E2"/>
    <w:rsid w:val="004E0DF3"/>
    <w:rsid w:val="004F29C6"/>
    <w:rsid w:val="004F530A"/>
    <w:rsid w:val="004F53DA"/>
    <w:rsid w:val="004F60D4"/>
    <w:rsid w:val="00500C82"/>
    <w:rsid w:val="005010AE"/>
    <w:rsid w:val="0050318C"/>
    <w:rsid w:val="005048BE"/>
    <w:rsid w:val="00505798"/>
    <w:rsid w:val="0050630C"/>
    <w:rsid w:val="00512930"/>
    <w:rsid w:val="00513073"/>
    <w:rsid w:val="00514405"/>
    <w:rsid w:val="00515DA7"/>
    <w:rsid w:val="005171BD"/>
    <w:rsid w:val="0052127A"/>
    <w:rsid w:val="00521817"/>
    <w:rsid w:val="00523725"/>
    <w:rsid w:val="00523ACD"/>
    <w:rsid w:val="00525079"/>
    <w:rsid w:val="005257AC"/>
    <w:rsid w:val="00525EB5"/>
    <w:rsid w:val="00526C5B"/>
    <w:rsid w:val="0052776C"/>
    <w:rsid w:val="00532C75"/>
    <w:rsid w:val="00534181"/>
    <w:rsid w:val="00537181"/>
    <w:rsid w:val="00540259"/>
    <w:rsid w:val="005444CD"/>
    <w:rsid w:val="00550DF0"/>
    <w:rsid w:val="005517B2"/>
    <w:rsid w:val="00552CA9"/>
    <w:rsid w:val="00552DA8"/>
    <w:rsid w:val="00553D36"/>
    <w:rsid w:val="0055423B"/>
    <w:rsid w:val="005611AF"/>
    <w:rsid w:val="005616C0"/>
    <w:rsid w:val="0056181C"/>
    <w:rsid w:val="00563C3B"/>
    <w:rsid w:val="00564D38"/>
    <w:rsid w:val="0056523F"/>
    <w:rsid w:val="00565B38"/>
    <w:rsid w:val="005663F8"/>
    <w:rsid w:val="00570D6F"/>
    <w:rsid w:val="00575476"/>
    <w:rsid w:val="005767BD"/>
    <w:rsid w:val="00583319"/>
    <w:rsid w:val="00583BB5"/>
    <w:rsid w:val="00585FC3"/>
    <w:rsid w:val="00590B10"/>
    <w:rsid w:val="005915EE"/>
    <w:rsid w:val="00592A57"/>
    <w:rsid w:val="00593CA5"/>
    <w:rsid w:val="0059414D"/>
    <w:rsid w:val="0059792D"/>
    <w:rsid w:val="005A0BA9"/>
    <w:rsid w:val="005A30DF"/>
    <w:rsid w:val="005A4227"/>
    <w:rsid w:val="005A5127"/>
    <w:rsid w:val="005A67B7"/>
    <w:rsid w:val="005A68F2"/>
    <w:rsid w:val="005B1F4B"/>
    <w:rsid w:val="005B3F0A"/>
    <w:rsid w:val="005B6D4A"/>
    <w:rsid w:val="005B7E69"/>
    <w:rsid w:val="005C453D"/>
    <w:rsid w:val="005C5B9A"/>
    <w:rsid w:val="005E1214"/>
    <w:rsid w:val="005E4379"/>
    <w:rsid w:val="005E5734"/>
    <w:rsid w:val="005F0280"/>
    <w:rsid w:val="005F12BA"/>
    <w:rsid w:val="00602628"/>
    <w:rsid w:val="00603787"/>
    <w:rsid w:val="00611E7F"/>
    <w:rsid w:val="0061302D"/>
    <w:rsid w:val="00613F7B"/>
    <w:rsid w:val="00614427"/>
    <w:rsid w:val="00620F27"/>
    <w:rsid w:val="006219CA"/>
    <w:rsid w:val="006231C0"/>
    <w:rsid w:val="00623E27"/>
    <w:rsid w:val="00630BDC"/>
    <w:rsid w:val="00633228"/>
    <w:rsid w:val="00633CC2"/>
    <w:rsid w:val="006369D7"/>
    <w:rsid w:val="00643072"/>
    <w:rsid w:val="00644936"/>
    <w:rsid w:val="00650EFA"/>
    <w:rsid w:val="00651EB4"/>
    <w:rsid w:val="006609DF"/>
    <w:rsid w:val="00661B43"/>
    <w:rsid w:val="00662E2B"/>
    <w:rsid w:val="006657B1"/>
    <w:rsid w:val="00665C14"/>
    <w:rsid w:val="00667C78"/>
    <w:rsid w:val="00684D85"/>
    <w:rsid w:val="00685ACE"/>
    <w:rsid w:val="006879D7"/>
    <w:rsid w:val="006934D5"/>
    <w:rsid w:val="006940A5"/>
    <w:rsid w:val="0069770E"/>
    <w:rsid w:val="006A3AA6"/>
    <w:rsid w:val="006B1D81"/>
    <w:rsid w:val="006B3002"/>
    <w:rsid w:val="006B4493"/>
    <w:rsid w:val="006C1A38"/>
    <w:rsid w:val="006C60C4"/>
    <w:rsid w:val="006E0EFF"/>
    <w:rsid w:val="006E559E"/>
    <w:rsid w:val="006E6015"/>
    <w:rsid w:val="006F207D"/>
    <w:rsid w:val="006F3B69"/>
    <w:rsid w:val="00700803"/>
    <w:rsid w:val="007028C7"/>
    <w:rsid w:val="007051E7"/>
    <w:rsid w:val="00705B0C"/>
    <w:rsid w:val="0070706E"/>
    <w:rsid w:val="00710C76"/>
    <w:rsid w:val="00713E58"/>
    <w:rsid w:val="00714AFD"/>
    <w:rsid w:val="0071503F"/>
    <w:rsid w:val="00717001"/>
    <w:rsid w:val="007174E1"/>
    <w:rsid w:val="00722087"/>
    <w:rsid w:val="00722E22"/>
    <w:rsid w:val="00723B2B"/>
    <w:rsid w:val="0072515A"/>
    <w:rsid w:val="00731430"/>
    <w:rsid w:val="007356C1"/>
    <w:rsid w:val="0073696F"/>
    <w:rsid w:val="007404C8"/>
    <w:rsid w:val="007425DE"/>
    <w:rsid w:val="00742EAC"/>
    <w:rsid w:val="0074613C"/>
    <w:rsid w:val="00747752"/>
    <w:rsid w:val="00751D40"/>
    <w:rsid w:val="00757648"/>
    <w:rsid w:val="00761816"/>
    <w:rsid w:val="00763656"/>
    <w:rsid w:val="00765F13"/>
    <w:rsid w:val="00770365"/>
    <w:rsid w:val="007767A1"/>
    <w:rsid w:val="00777241"/>
    <w:rsid w:val="00781740"/>
    <w:rsid w:val="00785471"/>
    <w:rsid w:val="00786500"/>
    <w:rsid w:val="00793435"/>
    <w:rsid w:val="0079712E"/>
    <w:rsid w:val="007A0732"/>
    <w:rsid w:val="007A0C2B"/>
    <w:rsid w:val="007A2610"/>
    <w:rsid w:val="007A6960"/>
    <w:rsid w:val="007B58ED"/>
    <w:rsid w:val="007B5FB9"/>
    <w:rsid w:val="007B6226"/>
    <w:rsid w:val="007C223C"/>
    <w:rsid w:val="007D12A4"/>
    <w:rsid w:val="007D19DA"/>
    <w:rsid w:val="007D3783"/>
    <w:rsid w:val="007D7626"/>
    <w:rsid w:val="007E4218"/>
    <w:rsid w:val="007F0726"/>
    <w:rsid w:val="007F0D4E"/>
    <w:rsid w:val="007F1B2F"/>
    <w:rsid w:val="007F2CDE"/>
    <w:rsid w:val="007F4AD7"/>
    <w:rsid w:val="007F60D0"/>
    <w:rsid w:val="00804EDE"/>
    <w:rsid w:val="00806E1B"/>
    <w:rsid w:val="0080732B"/>
    <w:rsid w:val="00807B14"/>
    <w:rsid w:val="008136D9"/>
    <w:rsid w:val="00813EB9"/>
    <w:rsid w:val="00814323"/>
    <w:rsid w:val="00814F81"/>
    <w:rsid w:val="00817AC5"/>
    <w:rsid w:val="00821DE7"/>
    <w:rsid w:val="00830A98"/>
    <w:rsid w:val="0083121A"/>
    <w:rsid w:val="00835616"/>
    <w:rsid w:val="00843074"/>
    <w:rsid w:val="008445ED"/>
    <w:rsid w:val="008450D5"/>
    <w:rsid w:val="00845CE1"/>
    <w:rsid w:val="0084666D"/>
    <w:rsid w:val="0084718B"/>
    <w:rsid w:val="00850BD5"/>
    <w:rsid w:val="00860887"/>
    <w:rsid w:val="00867469"/>
    <w:rsid w:val="00872A34"/>
    <w:rsid w:val="00873EFD"/>
    <w:rsid w:val="008746A3"/>
    <w:rsid w:val="008766A9"/>
    <w:rsid w:val="0087767B"/>
    <w:rsid w:val="00877701"/>
    <w:rsid w:val="00882716"/>
    <w:rsid w:val="0088328D"/>
    <w:rsid w:val="008851C5"/>
    <w:rsid w:val="00886189"/>
    <w:rsid w:val="00887493"/>
    <w:rsid w:val="00887A65"/>
    <w:rsid w:val="0089320F"/>
    <w:rsid w:val="00894108"/>
    <w:rsid w:val="00894548"/>
    <w:rsid w:val="008966FA"/>
    <w:rsid w:val="00896CFC"/>
    <w:rsid w:val="008A0162"/>
    <w:rsid w:val="008A033A"/>
    <w:rsid w:val="008A0444"/>
    <w:rsid w:val="008A3682"/>
    <w:rsid w:val="008A6E71"/>
    <w:rsid w:val="008A6F74"/>
    <w:rsid w:val="008A7ED1"/>
    <w:rsid w:val="008B20D2"/>
    <w:rsid w:val="008B29A3"/>
    <w:rsid w:val="008B3BFE"/>
    <w:rsid w:val="008B405F"/>
    <w:rsid w:val="008B7170"/>
    <w:rsid w:val="008C23AF"/>
    <w:rsid w:val="008C761C"/>
    <w:rsid w:val="008D37DE"/>
    <w:rsid w:val="008D6509"/>
    <w:rsid w:val="008D673A"/>
    <w:rsid w:val="008E45C3"/>
    <w:rsid w:val="008E7E83"/>
    <w:rsid w:val="008F1C3C"/>
    <w:rsid w:val="008F37E7"/>
    <w:rsid w:val="008F4322"/>
    <w:rsid w:val="008F5EC4"/>
    <w:rsid w:val="00905C61"/>
    <w:rsid w:val="00905CCE"/>
    <w:rsid w:val="00905D1F"/>
    <w:rsid w:val="00907820"/>
    <w:rsid w:val="00907F9F"/>
    <w:rsid w:val="00910655"/>
    <w:rsid w:val="0091122B"/>
    <w:rsid w:val="0091183E"/>
    <w:rsid w:val="0091248E"/>
    <w:rsid w:val="00922445"/>
    <w:rsid w:val="00923EBE"/>
    <w:rsid w:val="0093104E"/>
    <w:rsid w:val="00931666"/>
    <w:rsid w:val="00935FB5"/>
    <w:rsid w:val="00936769"/>
    <w:rsid w:val="00936991"/>
    <w:rsid w:val="00943504"/>
    <w:rsid w:val="00944734"/>
    <w:rsid w:val="00947AF3"/>
    <w:rsid w:val="009508C0"/>
    <w:rsid w:val="00950E97"/>
    <w:rsid w:val="009536B1"/>
    <w:rsid w:val="009632C5"/>
    <w:rsid w:val="00966959"/>
    <w:rsid w:val="009734DF"/>
    <w:rsid w:val="00976486"/>
    <w:rsid w:val="00980397"/>
    <w:rsid w:val="0098163F"/>
    <w:rsid w:val="009823A0"/>
    <w:rsid w:val="0098268D"/>
    <w:rsid w:val="00983308"/>
    <w:rsid w:val="009840E3"/>
    <w:rsid w:val="00985B5A"/>
    <w:rsid w:val="0098639B"/>
    <w:rsid w:val="00986A26"/>
    <w:rsid w:val="00986F0F"/>
    <w:rsid w:val="00991D02"/>
    <w:rsid w:val="00996089"/>
    <w:rsid w:val="009A1FEB"/>
    <w:rsid w:val="009A313E"/>
    <w:rsid w:val="009B36E9"/>
    <w:rsid w:val="009B7FC0"/>
    <w:rsid w:val="009C079C"/>
    <w:rsid w:val="009C4677"/>
    <w:rsid w:val="009C6E45"/>
    <w:rsid w:val="009D167A"/>
    <w:rsid w:val="009D41FD"/>
    <w:rsid w:val="009D5469"/>
    <w:rsid w:val="009F2EFD"/>
    <w:rsid w:val="00A01F0C"/>
    <w:rsid w:val="00A03CA5"/>
    <w:rsid w:val="00A07480"/>
    <w:rsid w:val="00A1372A"/>
    <w:rsid w:val="00A20FD8"/>
    <w:rsid w:val="00A25532"/>
    <w:rsid w:val="00A261CD"/>
    <w:rsid w:val="00A26E7E"/>
    <w:rsid w:val="00A273C6"/>
    <w:rsid w:val="00A32844"/>
    <w:rsid w:val="00A33084"/>
    <w:rsid w:val="00A33CBB"/>
    <w:rsid w:val="00A33DD8"/>
    <w:rsid w:val="00A35D2A"/>
    <w:rsid w:val="00A42163"/>
    <w:rsid w:val="00A45A31"/>
    <w:rsid w:val="00A50C1F"/>
    <w:rsid w:val="00A51F30"/>
    <w:rsid w:val="00A57FD7"/>
    <w:rsid w:val="00A65587"/>
    <w:rsid w:val="00A676E4"/>
    <w:rsid w:val="00A74A8A"/>
    <w:rsid w:val="00A80377"/>
    <w:rsid w:val="00A804A5"/>
    <w:rsid w:val="00A821EE"/>
    <w:rsid w:val="00A87114"/>
    <w:rsid w:val="00A878AB"/>
    <w:rsid w:val="00A90305"/>
    <w:rsid w:val="00A92863"/>
    <w:rsid w:val="00A93E5C"/>
    <w:rsid w:val="00A97982"/>
    <w:rsid w:val="00AA1A52"/>
    <w:rsid w:val="00AA62DD"/>
    <w:rsid w:val="00AB07EF"/>
    <w:rsid w:val="00AB23A2"/>
    <w:rsid w:val="00AB6B58"/>
    <w:rsid w:val="00AC7BC4"/>
    <w:rsid w:val="00AD006F"/>
    <w:rsid w:val="00AD05BB"/>
    <w:rsid w:val="00AD05D4"/>
    <w:rsid w:val="00AD234C"/>
    <w:rsid w:val="00AD32D9"/>
    <w:rsid w:val="00AD4E7C"/>
    <w:rsid w:val="00AE16DE"/>
    <w:rsid w:val="00AE32F6"/>
    <w:rsid w:val="00AE41B4"/>
    <w:rsid w:val="00AE4889"/>
    <w:rsid w:val="00AE7F85"/>
    <w:rsid w:val="00AF0488"/>
    <w:rsid w:val="00AF090C"/>
    <w:rsid w:val="00B01719"/>
    <w:rsid w:val="00B018A0"/>
    <w:rsid w:val="00B01B38"/>
    <w:rsid w:val="00B02713"/>
    <w:rsid w:val="00B031B9"/>
    <w:rsid w:val="00B052F7"/>
    <w:rsid w:val="00B06595"/>
    <w:rsid w:val="00B06A1C"/>
    <w:rsid w:val="00B06F2B"/>
    <w:rsid w:val="00B07363"/>
    <w:rsid w:val="00B16CD0"/>
    <w:rsid w:val="00B207C8"/>
    <w:rsid w:val="00B22DD5"/>
    <w:rsid w:val="00B23A96"/>
    <w:rsid w:val="00B23A9C"/>
    <w:rsid w:val="00B23E07"/>
    <w:rsid w:val="00B249F3"/>
    <w:rsid w:val="00B255BF"/>
    <w:rsid w:val="00B25653"/>
    <w:rsid w:val="00B2683C"/>
    <w:rsid w:val="00B33F48"/>
    <w:rsid w:val="00B3647D"/>
    <w:rsid w:val="00B36C1B"/>
    <w:rsid w:val="00B45D37"/>
    <w:rsid w:val="00B51B66"/>
    <w:rsid w:val="00B51BFF"/>
    <w:rsid w:val="00B5217E"/>
    <w:rsid w:val="00B5478D"/>
    <w:rsid w:val="00B55808"/>
    <w:rsid w:val="00B57D41"/>
    <w:rsid w:val="00B60821"/>
    <w:rsid w:val="00B632C7"/>
    <w:rsid w:val="00B67E14"/>
    <w:rsid w:val="00B703B2"/>
    <w:rsid w:val="00B73023"/>
    <w:rsid w:val="00B75347"/>
    <w:rsid w:val="00B77C1F"/>
    <w:rsid w:val="00B82694"/>
    <w:rsid w:val="00B85627"/>
    <w:rsid w:val="00B866F0"/>
    <w:rsid w:val="00BA364A"/>
    <w:rsid w:val="00BA5587"/>
    <w:rsid w:val="00BA5A65"/>
    <w:rsid w:val="00BA6F20"/>
    <w:rsid w:val="00BB22E2"/>
    <w:rsid w:val="00BB4DFD"/>
    <w:rsid w:val="00BB5147"/>
    <w:rsid w:val="00BB5E26"/>
    <w:rsid w:val="00BB788D"/>
    <w:rsid w:val="00BC2209"/>
    <w:rsid w:val="00BC5AF8"/>
    <w:rsid w:val="00BC6C2F"/>
    <w:rsid w:val="00BD019E"/>
    <w:rsid w:val="00BD6354"/>
    <w:rsid w:val="00BE2088"/>
    <w:rsid w:val="00BE28C1"/>
    <w:rsid w:val="00BE299A"/>
    <w:rsid w:val="00BE2A24"/>
    <w:rsid w:val="00BE3915"/>
    <w:rsid w:val="00BE393D"/>
    <w:rsid w:val="00BE3AA4"/>
    <w:rsid w:val="00BE6731"/>
    <w:rsid w:val="00BE7B05"/>
    <w:rsid w:val="00BF1AEF"/>
    <w:rsid w:val="00C01913"/>
    <w:rsid w:val="00C01F0F"/>
    <w:rsid w:val="00C01FE6"/>
    <w:rsid w:val="00C035EF"/>
    <w:rsid w:val="00C07B38"/>
    <w:rsid w:val="00C07BF5"/>
    <w:rsid w:val="00C20FAF"/>
    <w:rsid w:val="00C2121C"/>
    <w:rsid w:val="00C23757"/>
    <w:rsid w:val="00C27AEC"/>
    <w:rsid w:val="00C31DD7"/>
    <w:rsid w:val="00C31E16"/>
    <w:rsid w:val="00C3786C"/>
    <w:rsid w:val="00C40F4F"/>
    <w:rsid w:val="00C46208"/>
    <w:rsid w:val="00C468AA"/>
    <w:rsid w:val="00C50280"/>
    <w:rsid w:val="00C5256A"/>
    <w:rsid w:val="00C539E9"/>
    <w:rsid w:val="00C56727"/>
    <w:rsid w:val="00C626AF"/>
    <w:rsid w:val="00C66CF3"/>
    <w:rsid w:val="00C67934"/>
    <w:rsid w:val="00C70264"/>
    <w:rsid w:val="00C742B7"/>
    <w:rsid w:val="00C75D22"/>
    <w:rsid w:val="00C81AF1"/>
    <w:rsid w:val="00C84A37"/>
    <w:rsid w:val="00C8674B"/>
    <w:rsid w:val="00C91B09"/>
    <w:rsid w:val="00C930C1"/>
    <w:rsid w:val="00C93D0B"/>
    <w:rsid w:val="00CA0806"/>
    <w:rsid w:val="00CA0FA3"/>
    <w:rsid w:val="00CA1515"/>
    <w:rsid w:val="00CA1C20"/>
    <w:rsid w:val="00CA2425"/>
    <w:rsid w:val="00CA2A6A"/>
    <w:rsid w:val="00CA310D"/>
    <w:rsid w:val="00CA3DB7"/>
    <w:rsid w:val="00CA47F2"/>
    <w:rsid w:val="00CB78F9"/>
    <w:rsid w:val="00CC1055"/>
    <w:rsid w:val="00CC201A"/>
    <w:rsid w:val="00CC309C"/>
    <w:rsid w:val="00CC5547"/>
    <w:rsid w:val="00CC5EB6"/>
    <w:rsid w:val="00CC7521"/>
    <w:rsid w:val="00CD2AD3"/>
    <w:rsid w:val="00CD2FBA"/>
    <w:rsid w:val="00CD31DB"/>
    <w:rsid w:val="00CD3763"/>
    <w:rsid w:val="00CE044E"/>
    <w:rsid w:val="00CE080B"/>
    <w:rsid w:val="00CE3A5B"/>
    <w:rsid w:val="00CE5489"/>
    <w:rsid w:val="00CE69D9"/>
    <w:rsid w:val="00CF255C"/>
    <w:rsid w:val="00CF3A64"/>
    <w:rsid w:val="00CF6F4A"/>
    <w:rsid w:val="00CF72FF"/>
    <w:rsid w:val="00CF778C"/>
    <w:rsid w:val="00D00CD9"/>
    <w:rsid w:val="00D01134"/>
    <w:rsid w:val="00D02128"/>
    <w:rsid w:val="00D0243A"/>
    <w:rsid w:val="00D10F28"/>
    <w:rsid w:val="00D1621B"/>
    <w:rsid w:val="00D20323"/>
    <w:rsid w:val="00D20B58"/>
    <w:rsid w:val="00D23CCE"/>
    <w:rsid w:val="00D2648B"/>
    <w:rsid w:val="00D27257"/>
    <w:rsid w:val="00D31938"/>
    <w:rsid w:val="00D326EC"/>
    <w:rsid w:val="00D33C10"/>
    <w:rsid w:val="00D36600"/>
    <w:rsid w:val="00D37459"/>
    <w:rsid w:val="00D41C56"/>
    <w:rsid w:val="00D43F67"/>
    <w:rsid w:val="00D459A1"/>
    <w:rsid w:val="00D52FA8"/>
    <w:rsid w:val="00D60D7A"/>
    <w:rsid w:val="00D6215C"/>
    <w:rsid w:val="00D62D16"/>
    <w:rsid w:val="00D63748"/>
    <w:rsid w:val="00D76E2A"/>
    <w:rsid w:val="00D84EB8"/>
    <w:rsid w:val="00D85E3C"/>
    <w:rsid w:val="00D87391"/>
    <w:rsid w:val="00D9036D"/>
    <w:rsid w:val="00D91280"/>
    <w:rsid w:val="00D92339"/>
    <w:rsid w:val="00D92D06"/>
    <w:rsid w:val="00D95328"/>
    <w:rsid w:val="00DA564D"/>
    <w:rsid w:val="00DB0C6C"/>
    <w:rsid w:val="00DB5C52"/>
    <w:rsid w:val="00DC28B2"/>
    <w:rsid w:val="00DC3AD1"/>
    <w:rsid w:val="00DD5084"/>
    <w:rsid w:val="00DD7EAF"/>
    <w:rsid w:val="00DE01DD"/>
    <w:rsid w:val="00DE1E60"/>
    <w:rsid w:val="00DF207A"/>
    <w:rsid w:val="00DF36F5"/>
    <w:rsid w:val="00DF3C85"/>
    <w:rsid w:val="00DF4F64"/>
    <w:rsid w:val="00DF5889"/>
    <w:rsid w:val="00DF5B39"/>
    <w:rsid w:val="00DF7EC1"/>
    <w:rsid w:val="00E04419"/>
    <w:rsid w:val="00E04972"/>
    <w:rsid w:val="00E10354"/>
    <w:rsid w:val="00E13BD1"/>
    <w:rsid w:val="00E16594"/>
    <w:rsid w:val="00E165B1"/>
    <w:rsid w:val="00E17A5E"/>
    <w:rsid w:val="00E17FF3"/>
    <w:rsid w:val="00E23266"/>
    <w:rsid w:val="00E235DE"/>
    <w:rsid w:val="00E2361F"/>
    <w:rsid w:val="00E24099"/>
    <w:rsid w:val="00E24404"/>
    <w:rsid w:val="00E32079"/>
    <w:rsid w:val="00E32BD5"/>
    <w:rsid w:val="00E32DDE"/>
    <w:rsid w:val="00E34535"/>
    <w:rsid w:val="00E3593E"/>
    <w:rsid w:val="00E361DA"/>
    <w:rsid w:val="00E42B85"/>
    <w:rsid w:val="00E44182"/>
    <w:rsid w:val="00E46817"/>
    <w:rsid w:val="00E51E16"/>
    <w:rsid w:val="00E55C3D"/>
    <w:rsid w:val="00E56EDA"/>
    <w:rsid w:val="00E61765"/>
    <w:rsid w:val="00E6373D"/>
    <w:rsid w:val="00E673EA"/>
    <w:rsid w:val="00E73FBE"/>
    <w:rsid w:val="00E74306"/>
    <w:rsid w:val="00E76162"/>
    <w:rsid w:val="00E81761"/>
    <w:rsid w:val="00E82C3E"/>
    <w:rsid w:val="00E83165"/>
    <w:rsid w:val="00E83310"/>
    <w:rsid w:val="00E90078"/>
    <w:rsid w:val="00E91789"/>
    <w:rsid w:val="00E925FD"/>
    <w:rsid w:val="00E934B6"/>
    <w:rsid w:val="00E9362C"/>
    <w:rsid w:val="00E93C98"/>
    <w:rsid w:val="00E941E0"/>
    <w:rsid w:val="00E97B82"/>
    <w:rsid w:val="00E97D89"/>
    <w:rsid w:val="00EA60B6"/>
    <w:rsid w:val="00EA7BD4"/>
    <w:rsid w:val="00EB3546"/>
    <w:rsid w:val="00EB49B0"/>
    <w:rsid w:val="00EB4D60"/>
    <w:rsid w:val="00EC2244"/>
    <w:rsid w:val="00EC6721"/>
    <w:rsid w:val="00EC6724"/>
    <w:rsid w:val="00EC6891"/>
    <w:rsid w:val="00ED3449"/>
    <w:rsid w:val="00ED4762"/>
    <w:rsid w:val="00ED5EEF"/>
    <w:rsid w:val="00EE28F1"/>
    <w:rsid w:val="00EE2E03"/>
    <w:rsid w:val="00EF1BDF"/>
    <w:rsid w:val="00EF2576"/>
    <w:rsid w:val="00EF3DEB"/>
    <w:rsid w:val="00EF5256"/>
    <w:rsid w:val="00EF61D2"/>
    <w:rsid w:val="00EF7409"/>
    <w:rsid w:val="00EF7638"/>
    <w:rsid w:val="00F00042"/>
    <w:rsid w:val="00F1452D"/>
    <w:rsid w:val="00F22387"/>
    <w:rsid w:val="00F37A74"/>
    <w:rsid w:val="00F447CB"/>
    <w:rsid w:val="00F44B8F"/>
    <w:rsid w:val="00F47B64"/>
    <w:rsid w:val="00F60CCC"/>
    <w:rsid w:val="00F613F6"/>
    <w:rsid w:val="00F63EDC"/>
    <w:rsid w:val="00F646E1"/>
    <w:rsid w:val="00F64709"/>
    <w:rsid w:val="00F67F3C"/>
    <w:rsid w:val="00F719FD"/>
    <w:rsid w:val="00F72C2F"/>
    <w:rsid w:val="00F74C75"/>
    <w:rsid w:val="00F81047"/>
    <w:rsid w:val="00F82B77"/>
    <w:rsid w:val="00F90605"/>
    <w:rsid w:val="00F92A58"/>
    <w:rsid w:val="00F96FFE"/>
    <w:rsid w:val="00FA4855"/>
    <w:rsid w:val="00FA5DBD"/>
    <w:rsid w:val="00FA736B"/>
    <w:rsid w:val="00FA7E3C"/>
    <w:rsid w:val="00FB1EEB"/>
    <w:rsid w:val="00FB340A"/>
    <w:rsid w:val="00FB406E"/>
    <w:rsid w:val="00FB4B27"/>
    <w:rsid w:val="00FB7C62"/>
    <w:rsid w:val="00FC1C77"/>
    <w:rsid w:val="00FC2A26"/>
    <w:rsid w:val="00FC2C50"/>
    <w:rsid w:val="00FC2FC6"/>
    <w:rsid w:val="00FC42EF"/>
    <w:rsid w:val="00FC7F0F"/>
    <w:rsid w:val="00FD3F56"/>
    <w:rsid w:val="00FD5C82"/>
    <w:rsid w:val="00FD6170"/>
    <w:rsid w:val="00FE130E"/>
    <w:rsid w:val="00FE1E38"/>
    <w:rsid w:val="00FE311F"/>
    <w:rsid w:val="00FE4B30"/>
    <w:rsid w:val="00FE6ABC"/>
    <w:rsid w:val="00FF2862"/>
    <w:rsid w:val="00FF50E4"/>
    <w:rsid w:val="00FF6F81"/>
    <w:rsid w:val="00FF757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1850C9"/>
    <w:rPr>
      <w:sz w:val="24"/>
      <w:szCs w:val="24"/>
    </w:rPr>
  </w:style>
  <w:style w:type="paragraph" w:styleId="Cmsor1">
    <w:name w:val="heading 1"/>
    <w:basedOn w:val="Norml"/>
    <w:next w:val="Norml"/>
    <w:qFormat/>
    <w:rsid w:val="00E82C3E"/>
    <w:pPr>
      <w:keepNext/>
      <w:jc w:val="center"/>
      <w:outlineLvl w:val="0"/>
    </w:pPr>
    <w:rPr>
      <w:i/>
      <w:iCs/>
    </w:rPr>
  </w:style>
  <w:style w:type="paragraph" w:styleId="Cmsor2">
    <w:name w:val="heading 2"/>
    <w:basedOn w:val="Norml"/>
    <w:next w:val="Norml"/>
    <w:qFormat/>
    <w:rsid w:val="00F72C2F"/>
    <w:pPr>
      <w:keepNext/>
      <w:spacing w:before="240" w:after="60"/>
      <w:outlineLvl w:val="1"/>
    </w:pPr>
    <w:rPr>
      <w:rFonts w:ascii="Arial" w:hAnsi="Arial" w:cs="Arial"/>
      <w:b/>
      <w:bCs/>
      <w:i/>
      <w:iCs/>
      <w:sz w:val="28"/>
      <w:szCs w:val="28"/>
    </w:rPr>
  </w:style>
  <w:style w:type="paragraph" w:styleId="Cmsor3">
    <w:name w:val="heading 3"/>
    <w:basedOn w:val="Norml"/>
    <w:next w:val="Norml"/>
    <w:qFormat/>
    <w:rsid w:val="00E82C3E"/>
    <w:pPr>
      <w:keepNext/>
      <w:spacing w:before="240" w:after="60"/>
      <w:outlineLvl w:val="2"/>
    </w:pPr>
    <w:rPr>
      <w:rFonts w:ascii="Arial" w:hAnsi="Arial" w:cs="Arial"/>
      <w:b/>
      <w:bCs/>
      <w:sz w:val="26"/>
      <w:szCs w:val="26"/>
    </w:rPr>
  </w:style>
  <w:style w:type="paragraph" w:styleId="Cmsor7">
    <w:name w:val="heading 7"/>
    <w:basedOn w:val="Norml"/>
    <w:next w:val="Norml"/>
    <w:qFormat/>
    <w:rsid w:val="00F72C2F"/>
    <w:pPr>
      <w:spacing w:before="240" w:after="60"/>
      <w:outlineLvl w:val="6"/>
    </w:pPr>
  </w:style>
  <w:style w:type="paragraph" w:styleId="Cmsor8">
    <w:name w:val="heading 8"/>
    <w:basedOn w:val="Norml"/>
    <w:next w:val="Norml"/>
    <w:qFormat/>
    <w:rsid w:val="00F72C2F"/>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nhideWhenUsed/>
    <w:rsid w:val="001850C9"/>
    <w:rPr>
      <w:strike w:val="0"/>
      <w:dstrike w:val="0"/>
      <w:color w:val="003399"/>
      <w:u w:val="none"/>
      <w:effect w:val="none"/>
    </w:rPr>
  </w:style>
  <w:style w:type="table" w:styleId="Rcsostblzat">
    <w:name w:val="Table Grid"/>
    <w:basedOn w:val="Normltblzat"/>
    <w:rsid w:val="001850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ktatszm">
    <w:name w:val="Iktatószám"/>
    <w:basedOn w:val="Norml"/>
    <w:rsid w:val="001850C9"/>
    <w:pPr>
      <w:jc w:val="center"/>
    </w:pPr>
    <w:rPr>
      <w:b/>
      <w:caps/>
    </w:rPr>
  </w:style>
  <w:style w:type="paragraph" w:styleId="lfej">
    <w:name w:val="header"/>
    <w:basedOn w:val="Norml"/>
    <w:link w:val="lfejChar"/>
    <w:uiPriority w:val="99"/>
    <w:rsid w:val="001850C9"/>
    <w:pPr>
      <w:tabs>
        <w:tab w:val="center" w:pos="4536"/>
        <w:tab w:val="right" w:pos="9072"/>
      </w:tabs>
    </w:pPr>
  </w:style>
  <w:style w:type="paragraph" w:styleId="llb">
    <w:name w:val="footer"/>
    <w:basedOn w:val="Norml"/>
    <w:link w:val="llbChar"/>
    <w:uiPriority w:val="99"/>
    <w:rsid w:val="001850C9"/>
    <w:pPr>
      <w:tabs>
        <w:tab w:val="center" w:pos="4536"/>
        <w:tab w:val="right" w:pos="9072"/>
      </w:tabs>
    </w:pPr>
  </w:style>
  <w:style w:type="character" w:styleId="Oldalszm">
    <w:name w:val="page number"/>
    <w:basedOn w:val="Bekezdsalapbettpusa"/>
    <w:rsid w:val="001850C9"/>
  </w:style>
  <w:style w:type="paragraph" w:customStyle="1" w:styleId="ManualConsidrant">
    <w:name w:val="Manual Considérant"/>
    <w:basedOn w:val="Norml"/>
    <w:rsid w:val="001850C9"/>
    <w:pPr>
      <w:spacing w:before="120" w:after="120"/>
      <w:ind w:left="709" w:hanging="709"/>
      <w:jc w:val="both"/>
    </w:pPr>
    <w:rPr>
      <w:szCs w:val="20"/>
    </w:rPr>
  </w:style>
  <w:style w:type="paragraph" w:customStyle="1" w:styleId="Fszveg">
    <w:name w:val="Főszöveg"/>
    <w:basedOn w:val="Szvegtrzs3"/>
    <w:rsid w:val="001850C9"/>
    <w:pPr>
      <w:autoSpaceDE w:val="0"/>
      <w:autoSpaceDN w:val="0"/>
      <w:spacing w:after="0" w:line="360" w:lineRule="auto"/>
      <w:jc w:val="both"/>
    </w:pPr>
    <w:rPr>
      <w:sz w:val="28"/>
      <w:szCs w:val="26"/>
    </w:rPr>
  </w:style>
  <w:style w:type="paragraph" w:styleId="Szvegtrzs3">
    <w:name w:val="Body Text 3"/>
    <w:basedOn w:val="Norml"/>
    <w:rsid w:val="001850C9"/>
    <w:pPr>
      <w:spacing w:after="120"/>
    </w:pPr>
    <w:rPr>
      <w:sz w:val="16"/>
      <w:szCs w:val="16"/>
    </w:rPr>
  </w:style>
  <w:style w:type="paragraph" w:styleId="Lbjegyzetszveg">
    <w:name w:val="footnote text"/>
    <w:basedOn w:val="Norml"/>
    <w:semiHidden/>
    <w:rsid w:val="001850C9"/>
    <w:rPr>
      <w:sz w:val="20"/>
      <w:szCs w:val="20"/>
    </w:rPr>
  </w:style>
  <w:style w:type="character" w:styleId="Lbjegyzet-hivatkozs">
    <w:name w:val="footnote reference"/>
    <w:semiHidden/>
    <w:rsid w:val="001850C9"/>
    <w:rPr>
      <w:vertAlign w:val="superscript"/>
    </w:rPr>
  </w:style>
  <w:style w:type="paragraph" w:styleId="Szvegtrzs">
    <w:name w:val="Body Text"/>
    <w:basedOn w:val="Norml"/>
    <w:rsid w:val="00E82C3E"/>
    <w:pPr>
      <w:spacing w:after="120"/>
    </w:pPr>
  </w:style>
  <w:style w:type="paragraph" w:styleId="Szvegtrzs2">
    <w:name w:val="Body Text 2"/>
    <w:basedOn w:val="Norml"/>
    <w:rsid w:val="00E82C3E"/>
    <w:pPr>
      <w:spacing w:after="120" w:line="480" w:lineRule="auto"/>
    </w:pPr>
  </w:style>
  <w:style w:type="paragraph" w:customStyle="1" w:styleId="Szakasz">
    <w:name w:val="Szakasz"/>
    <w:basedOn w:val="Norml"/>
    <w:next w:val="Norml"/>
    <w:rsid w:val="00E82C3E"/>
    <w:pPr>
      <w:keepNext/>
      <w:autoSpaceDE w:val="0"/>
      <w:autoSpaceDN w:val="0"/>
      <w:adjustRightInd w:val="0"/>
      <w:spacing w:before="360" w:after="360" w:line="360" w:lineRule="auto"/>
      <w:jc w:val="center"/>
      <w:outlineLvl w:val="1"/>
    </w:pPr>
    <w:rPr>
      <w:b/>
      <w:bCs/>
      <w:sz w:val="28"/>
      <w:szCs w:val="26"/>
    </w:rPr>
  </w:style>
  <w:style w:type="paragraph" w:customStyle="1" w:styleId="Alcmkodif">
    <w:name w:val="Alcímkodif"/>
    <w:basedOn w:val="Szakasz"/>
    <w:rsid w:val="00E82C3E"/>
    <w:pPr>
      <w:spacing w:before="480" w:after="480"/>
      <w:outlineLvl w:val="9"/>
    </w:pPr>
    <w:rPr>
      <w:b w:val="0"/>
      <w:i/>
    </w:rPr>
  </w:style>
  <w:style w:type="paragraph" w:styleId="Buborkszveg">
    <w:name w:val="Balloon Text"/>
    <w:basedOn w:val="Norml"/>
    <w:semiHidden/>
    <w:rsid w:val="00E82C3E"/>
    <w:rPr>
      <w:rFonts w:ascii="Tahoma" w:hAnsi="Tahoma" w:cs="Tahoma"/>
      <w:sz w:val="16"/>
      <w:szCs w:val="16"/>
    </w:rPr>
  </w:style>
  <w:style w:type="paragraph" w:styleId="Cm">
    <w:name w:val="Title"/>
    <w:basedOn w:val="Norml"/>
    <w:link w:val="CmChar"/>
    <w:qFormat/>
    <w:rsid w:val="00E82C3E"/>
    <w:pPr>
      <w:spacing w:before="240" w:after="60"/>
      <w:jc w:val="center"/>
      <w:outlineLvl w:val="0"/>
    </w:pPr>
    <w:rPr>
      <w:b/>
      <w:bCs/>
      <w:kern w:val="28"/>
    </w:rPr>
  </w:style>
  <w:style w:type="paragraph" w:customStyle="1" w:styleId="CharCharCharCharCharCharCharCharCharCharCharCharCharCharChar1CharCharCharChar">
    <w:name w:val="Char Char Char Char Char Char Char Char Char Char Char Char Char Char Char1 Char Char Char Char"/>
    <w:basedOn w:val="Norml"/>
    <w:rsid w:val="00E82C3E"/>
    <w:pPr>
      <w:spacing w:after="160" w:line="240" w:lineRule="exact"/>
    </w:pPr>
    <w:rPr>
      <w:rFonts w:ascii="Tahoma" w:hAnsi="Tahoma"/>
      <w:sz w:val="20"/>
      <w:szCs w:val="20"/>
      <w:lang w:val="en-US" w:eastAsia="en-US"/>
    </w:rPr>
  </w:style>
  <w:style w:type="paragraph" w:customStyle="1" w:styleId="Char1">
    <w:name w:val="Char1"/>
    <w:basedOn w:val="Norml"/>
    <w:rsid w:val="00E82C3E"/>
    <w:pPr>
      <w:spacing w:after="160" w:line="240" w:lineRule="exact"/>
    </w:pPr>
    <w:rPr>
      <w:rFonts w:ascii="Verdana" w:hAnsi="Verdana"/>
      <w:sz w:val="20"/>
      <w:szCs w:val="20"/>
      <w:lang w:val="en-US" w:eastAsia="en-US"/>
    </w:rPr>
  </w:style>
  <w:style w:type="paragraph" w:customStyle="1" w:styleId="bekezdes">
    <w:name w:val="bekezdes"/>
    <w:basedOn w:val="Norml"/>
    <w:rsid w:val="00E82C3E"/>
    <w:pPr>
      <w:spacing w:after="120"/>
      <w:ind w:firstLine="567"/>
      <w:jc w:val="both"/>
    </w:pPr>
    <w:rPr>
      <w:sz w:val="26"/>
      <w:szCs w:val="20"/>
    </w:rPr>
  </w:style>
  <w:style w:type="paragraph" w:styleId="Szvegtrzsbehzssal">
    <w:name w:val="Body Text Indent"/>
    <w:basedOn w:val="Norml"/>
    <w:rsid w:val="00E82C3E"/>
    <w:pPr>
      <w:spacing w:after="120"/>
      <w:ind w:left="283"/>
    </w:pPr>
  </w:style>
  <w:style w:type="paragraph" w:styleId="Szvegtrzsbehzssal2">
    <w:name w:val="Body Text Indent 2"/>
    <w:basedOn w:val="Norml"/>
    <w:rsid w:val="00E82C3E"/>
    <w:pPr>
      <w:spacing w:after="120" w:line="480" w:lineRule="auto"/>
      <w:ind w:left="283"/>
    </w:pPr>
  </w:style>
  <w:style w:type="paragraph" w:customStyle="1" w:styleId="EkozigBekezdes1">
    <w:name w:val="Ekozig_Bekezdes1"/>
    <w:basedOn w:val="Norml"/>
    <w:rsid w:val="00E82C3E"/>
    <w:pPr>
      <w:jc w:val="both"/>
    </w:pPr>
    <w:rPr>
      <w:szCs w:val="20"/>
    </w:rPr>
  </w:style>
  <w:style w:type="paragraph" w:customStyle="1" w:styleId="EkozigBekezdes3">
    <w:name w:val="Ekozig_Bekezdes3"/>
    <w:basedOn w:val="Norml"/>
    <w:rsid w:val="00E82C3E"/>
    <w:pPr>
      <w:jc w:val="both"/>
    </w:pPr>
    <w:rPr>
      <w:b/>
      <w:szCs w:val="20"/>
    </w:rPr>
  </w:style>
  <w:style w:type="paragraph" w:styleId="NormlWeb">
    <w:name w:val="Normal (Web)"/>
    <w:basedOn w:val="Norml"/>
    <w:rsid w:val="00E82C3E"/>
    <w:pPr>
      <w:spacing w:before="100" w:beforeAutospacing="1" w:after="100" w:afterAutospacing="1"/>
    </w:pPr>
    <w:rPr>
      <w:rFonts w:ascii="Arial Unicode MS" w:eastAsia="Arial Unicode MS" w:hAnsi="Arial Unicode MS" w:cs="Arial Unicode MS"/>
      <w:color w:val="000000"/>
    </w:rPr>
  </w:style>
  <w:style w:type="paragraph" w:customStyle="1" w:styleId="Ekozigfelsorolas">
    <w:name w:val="Ekozig_felsorolas"/>
    <w:rsid w:val="00E82C3E"/>
    <w:pPr>
      <w:numPr>
        <w:numId w:val="2"/>
      </w:numPr>
      <w:jc w:val="both"/>
    </w:pPr>
    <w:rPr>
      <w:sz w:val="24"/>
    </w:rPr>
  </w:style>
  <w:style w:type="character" w:customStyle="1" w:styleId="CharChar1">
    <w:name w:val="Char Char1"/>
    <w:rsid w:val="00E82C3E"/>
    <w:rPr>
      <w:rFonts w:ascii="Arial" w:hAnsi="Arial" w:cs="Arial"/>
      <w:b/>
      <w:bCs/>
      <w:kern w:val="32"/>
      <w:sz w:val="32"/>
      <w:szCs w:val="32"/>
      <w:lang w:val="hu-HU" w:eastAsia="hu-HU" w:bidi="ar-SA"/>
    </w:rPr>
  </w:style>
  <w:style w:type="paragraph" w:customStyle="1" w:styleId="Char">
    <w:name w:val="Char"/>
    <w:basedOn w:val="Norml"/>
    <w:rsid w:val="00E82C3E"/>
    <w:pPr>
      <w:spacing w:after="160" w:line="240" w:lineRule="exact"/>
    </w:pPr>
    <w:rPr>
      <w:rFonts w:ascii="Verdana" w:hAnsi="Verdana"/>
      <w:sz w:val="20"/>
      <w:szCs w:val="20"/>
      <w:lang w:val="en-US" w:eastAsia="en-US"/>
    </w:rPr>
  </w:style>
  <w:style w:type="character" w:customStyle="1" w:styleId="tx1">
    <w:name w:val="tx1"/>
    <w:rsid w:val="0003160D"/>
    <w:rPr>
      <w:b/>
      <w:bCs/>
    </w:rPr>
  </w:style>
  <w:style w:type="character" w:customStyle="1" w:styleId="m1">
    <w:name w:val="m1"/>
    <w:rsid w:val="0003160D"/>
    <w:rPr>
      <w:color w:val="0000FF"/>
    </w:rPr>
  </w:style>
  <w:style w:type="paragraph" w:customStyle="1" w:styleId="Default">
    <w:name w:val="Default"/>
    <w:rsid w:val="0003160D"/>
    <w:pPr>
      <w:autoSpaceDE w:val="0"/>
      <w:autoSpaceDN w:val="0"/>
      <w:adjustRightInd w:val="0"/>
    </w:pPr>
    <w:rPr>
      <w:color w:val="000000"/>
      <w:sz w:val="24"/>
      <w:szCs w:val="24"/>
    </w:rPr>
  </w:style>
  <w:style w:type="paragraph" w:customStyle="1" w:styleId="Zradk">
    <w:name w:val="Záradék"/>
    <w:basedOn w:val="Norml"/>
    <w:rsid w:val="00905D1F"/>
    <w:pPr>
      <w:spacing w:line="360" w:lineRule="auto"/>
      <w:jc w:val="center"/>
    </w:pPr>
    <w:rPr>
      <w:sz w:val="16"/>
      <w:szCs w:val="16"/>
    </w:rPr>
  </w:style>
  <w:style w:type="paragraph" w:styleId="Szvegtrzsbehzssal3">
    <w:name w:val="Body Text Indent 3"/>
    <w:basedOn w:val="Norml"/>
    <w:rsid w:val="007A6960"/>
    <w:pPr>
      <w:spacing w:after="120"/>
      <w:ind w:left="283"/>
    </w:pPr>
    <w:rPr>
      <w:sz w:val="16"/>
      <w:szCs w:val="16"/>
    </w:rPr>
  </w:style>
  <w:style w:type="character" w:styleId="Jegyzethivatkozs">
    <w:name w:val="annotation reference"/>
    <w:rsid w:val="00442D80"/>
    <w:rPr>
      <w:sz w:val="16"/>
      <w:szCs w:val="16"/>
    </w:rPr>
  </w:style>
  <w:style w:type="paragraph" w:styleId="Jegyzetszveg">
    <w:name w:val="annotation text"/>
    <w:basedOn w:val="Norml"/>
    <w:link w:val="JegyzetszvegChar"/>
    <w:rsid w:val="00442D80"/>
    <w:rPr>
      <w:sz w:val="20"/>
      <w:szCs w:val="20"/>
    </w:rPr>
  </w:style>
  <w:style w:type="character" w:customStyle="1" w:styleId="JegyzetszvegChar">
    <w:name w:val="Jegyzetszöveg Char"/>
    <w:basedOn w:val="Bekezdsalapbettpusa"/>
    <w:link w:val="Jegyzetszveg"/>
    <w:rsid w:val="00442D80"/>
  </w:style>
  <w:style w:type="paragraph" w:styleId="Megjegyzstrgya">
    <w:name w:val="annotation subject"/>
    <w:basedOn w:val="Jegyzetszveg"/>
    <w:next w:val="Jegyzetszveg"/>
    <w:link w:val="MegjegyzstrgyaChar"/>
    <w:rsid w:val="00442D80"/>
    <w:rPr>
      <w:b/>
      <w:bCs/>
    </w:rPr>
  </w:style>
  <w:style w:type="character" w:customStyle="1" w:styleId="MegjegyzstrgyaChar">
    <w:name w:val="Megjegyzés tárgya Char"/>
    <w:link w:val="Megjegyzstrgya"/>
    <w:rsid w:val="00442D80"/>
    <w:rPr>
      <w:b/>
      <w:bCs/>
    </w:rPr>
  </w:style>
  <w:style w:type="character" w:customStyle="1" w:styleId="lfejChar">
    <w:name w:val="Élőfej Char"/>
    <w:link w:val="lfej"/>
    <w:uiPriority w:val="99"/>
    <w:rsid w:val="00F44B8F"/>
    <w:rPr>
      <w:sz w:val="24"/>
      <w:szCs w:val="24"/>
    </w:rPr>
  </w:style>
  <w:style w:type="character" w:customStyle="1" w:styleId="CmChar">
    <w:name w:val="Cím Char"/>
    <w:link w:val="Cm"/>
    <w:rsid w:val="00065B87"/>
    <w:rPr>
      <w:b/>
      <w:bCs/>
      <w:kern w:val="28"/>
      <w:sz w:val="24"/>
      <w:szCs w:val="24"/>
    </w:rPr>
  </w:style>
  <w:style w:type="paragraph" w:styleId="Alcm">
    <w:name w:val="Subtitle"/>
    <w:basedOn w:val="Norml"/>
    <w:next w:val="Norml"/>
    <w:link w:val="AlcmChar"/>
    <w:uiPriority w:val="11"/>
    <w:qFormat/>
    <w:rsid w:val="00065B87"/>
    <w:pPr>
      <w:numPr>
        <w:ilvl w:val="1"/>
      </w:numPr>
    </w:pPr>
    <w:rPr>
      <w:rFonts w:ascii="Cambria" w:hAnsi="Cambria"/>
      <w:i/>
      <w:iCs/>
      <w:color w:val="4F81BD"/>
      <w:spacing w:val="15"/>
    </w:rPr>
  </w:style>
  <w:style w:type="character" w:customStyle="1" w:styleId="AlcmChar">
    <w:name w:val="Alcím Char"/>
    <w:link w:val="Alcm"/>
    <w:uiPriority w:val="11"/>
    <w:rsid w:val="00065B87"/>
    <w:rPr>
      <w:rFonts w:ascii="Cambria" w:hAnsi="Cambria"/>
      <w:i/>
      <w:iCs/>
      <w:color w:val="4F81BD"/>
      <w:spacing w:val="15"/>
      <w:sz w:val="24"/>
      <w:szCs w:val="24"/>
    </w:rPr>
  </w:style>
  <w:style w:type="character" w:customStyle="1" w:styleId="llbChar">
    <w:name w:val="Élőláb Char"/>
    <w:link w:val="llb"/>
    <w:uiPriority w:val="99"/>
    <w:rsid w:val="00505798"/>
    <w:rPr>
      <w:sz w:val="24"/>
      <w:szCs w:val="24"/>
    </w:rPr>
  </w:style>
  <w:style w:type="paragraph" w:styleId="Vltozat">
    <w:name w:val="Revision"/>
    <w:hidden/>
    <w:uiPriority w:val="99"/>
    <w:semiHidden/>
    <w:rsid w:val="00830A98"/>
    <w:rPr>
      <w:sz w:val="24"/>
      <w:szCs w:val="24"/>
    </w:rPr>
  </w:style>
  <w:style w:type="paragraph" w:customStyle="1" w:styleId="msolistparagraph0">
    <w:name w:val="msolistparagraph"/>
    <w:basedOn w:val="Norml"/>
    <w:rsid w:val="00514405"/>
    <w:pPr>
      <w:ind w:left="720"/>
    </w:pPr>
    <w:rPr>
      <w:rFonts w:ascii="Calibri" w:eastAsia="Calibri" w:hAnsi="Calibri"/>
      <w:sz w:val="22"/>
      <w:szCs w:val="22"/>
    </w:rPr>
  </w:style>
  <w:style w:type="paragraph" w:styleId="Listaszerbekezds">
    <w:name w:val="List Paragraph"/>
    <w:basedOn w:val="Norml"/>
    <w:uiPriority w:val="34"/>
    <w:qFormat/>
    <w:rsid w:val="00B608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1850C9"/>
    <w:rPr>
      <w:sz w:val="24"/>
      <w:szCs w:val="24"/>
    </w:rPr>
  </w:style>
  <w:style w:type="paragraph" w:styleId="Cmsor1">
    <w:name w:val="heading 1"/>
    <w:basedOn w:val="Norml"/>
    <w:next w:val="Norml"/>
    <w:qFormat/>
    <w:rsid w:val="00E82C3E"/>
    <w:pPr>
      <w:keepNext/>
      <w:jc w:val="center"/>
      <w:outlineLvl w:val="0"/>
    </w:pPr>
    <w:rPr>
      <w:i/>
      <w:iCs/>
    </w:rPr>
  </w:style>
  <w:style w:type="paragraph" w:styleId="Cmsor2">
    <w:name w:val="heading 2"/>
    <w:basedOn w:val="Norml"/>
    <w:next w:val="Norml"/>
    <w:qFormat/>
    <w:rsid w:val="00F72C2F"/>
    <w:pPr>
      <w:keepNext/>
      <w:spacing w:before="240" w:after="60"/>
      <w:outlineLvl w:val="1"/>
    </w:pPr>
    <w:rPr>
      <w:rFonts w:ascii="Arial" w:hAnsi="Arial" w:cs="Arial"/>
      <w:b/>
      <w:bCs/>
      <w:i/>
      <w:iCs/>
      <w:sz w:val="28"/>
      <w:szCs w:val="28"/>
    </w:rPr>
  </w:style>
  <w:style w:type="paragraph" w:styleId="Cmsor3">
    <w:name w:val="heading 3"/>
    <w:basedOn w:val="Norml"/>
    <w:next w:val="Norml"/>
    <w:qFormat/>
    <w:rsid w:val="00E82C3E"/>
    <w:pPr>
      <w:keepNext/>
      <w:spacing w:before="240" w:after="60"/>
      <w:outlineLvl w:val="2"/>
    </w:pPr>
    <w:rPr>
      <w:rFonts w:ascii="Arial" w:hAnsi="Arial" w:cs="Arial"/>
      <w:b/>
      <w:bCs/>
      <w:sz w:val="26"/>
      <w:szCs w:val="26"/>
    </w:rPr>
  </w:style>
  <w:style w:type="paragraph" w:styleId="Cmsor7">
    <w:name w:val="heading 7"/>
    <w:basedOn w:val="Norml"/>
    <w:next w:val="Norml"/>
    <w:qFormat/>
    <w:rsid w:val="00F72C2F"/>
    <w:pPr>
      <w:spacing w:before="240" w:after="60"/>
      <w:outlineLvl w:val="6"/>
    </w:pPr>
  </w:style>
  <w:style w:type="paragraph" w:styleId="Cmsor8">
    <w:name w:val="heading 8"/>
    <w:basedOn w:val="Norml"/>
    <w:next w:val="Norml"/>
    <w:qFormat/>
    <w:rsid w:val="00F72C2F"/>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nhideWhenUsed/>
    <w:rsid w:val="001850C9"/>
    <w:rPr>
      <w:strike w:val="0"/>
      <w:dstrike w:val="0"/>
      <w:color w:val="003399"/>
      <w:u w:val="none"/>
      <w:effect w:val="none"/>
    </w:rPr>
  </w:style>
  <w:style w:type="table" w:styleId="Rcsostblzat">
    <w:name w:val="Table Grid"/>
    <w:basedOn w:val="Normltblzat"/>
    <w:rsid w:val="001850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ktatszm">
    <w:name w:val="Iktatószám"/>
    <w:basedOn w:val="Norml"/>
    <w:rsid w:val="001850C9"/>
    <w:pPr>
      <w:jc w:val="center"/>
    </w:pPr>
    <w:rPr>
      <w:b/>
      <w:caps/>
    </w:rPr>
  </w:style>
  <w:style w:type="paragraph" w:styleId="lfej">
    <w:name w:val="header"/>
    <w:basedOn w:val="Norml"/>
    <w:link w:val="lfejChar"/>
    <w:uiPriority w:val="99"/>
    <w:rsid w:val="001850C9"/>
    <w:pPr>
      <w:tabs>
        <w:tab w:val="center" w:pos="4536"/>
        <w:tab w:val="right" w:pos="9072"/>
      </w:tabs>
    </w:pPr>
  </w:style>
  <w:style w:type="paragraph" w:styleId="llb">
    <w:name w:val="footer"/>
    <w:basedOn w:val="Norml"/>
    <w:link w:val="llbChar"/>
    <w:uiPriority w:val="99"/>
    <w:rsid w:val="001850C9"/>
    <w:pPr>
      <w:tabs>
        <w:tab w:val="center" w:pos="4536"/>
        <w:tab w:val="right" w:pos="9072"/>
      </w:tabs>
    </w:pPr>
  </w:style>
  <w:style w:type="character" w:styleId="Oldalszm">
    <w:name w:val="page number"/>
    <w:basedOn w:val="Bekezdsalapbettpusa"/>
    <w:rsid w:val="001850C9"/>
  </w:style>
  <w:style w:type="paragraph" w:customStyle="1" w:styleId="ManualConsidrant">
    <w:name w:val="Manual Considérant"/>
    <w:basedOn w:val="Norml"/>
    <w:rsid w:val="001850C9"/>
    <w:pPr>
      <w:spacing w:before="120" w:after="120"/>
      <w:ind w:left="709" w:hanging="709"/>
      <w:jc w:val="both"/>
    </w:pPr>
    <w:rPr>
      <w:szCs w:val="20"/>
    </w:rPr>
  </w:style>
  <w:style w:type="paragraph" w:customStyle="1" w:styleId="Fszveg">
    <w:name w:val="Főszöveg"/>
    <w:basedOn w:val="Szvegtrzs3"/>
    <w:rsid w:val="001850C9"/>
    <w:pPr>
      <w:autoSpaceDE w:val="0"/>
      <w:autoSpaceDN w:val="0"/>
      <w:spacing w:after="0" w:line="360" w:lineRule="auto"/>
      <w:jc w:val="both"/>
    </w:pPr>
    <w:rPr>
      <w:sz w:val="28"/>
      <w:szCs w:val="26"/>
    </w:rPr>
  </w:style>
  <w:style w:type="paragraph" w:styleId="Szvegtrzs3">
    <w:name w:val="Body Text 3"/>
    <w:basedOn w:val="Norml"/>
    <w:rsid w:val="001850C9"/>
    <w:pPr>
      <w:spacing w:after="120"/>
    </w:pPr>
    <w:rPr>
      <w:sz w:val="16"/>
      <w:szCs w:val="16"/>
    </w:rPr>
  </w:style>
  <w:style w:type="paragraph" w:styleId="Lbjegyzetszveg">
    <w:name w:val="footnote text"/>
    <w:basedOn w:val="Norml"/>
    <w:semiHidden/>
    <w:rsid w:val="001850C9"/>
    <w:rPr>
      <w:sz w:val="20"/>
      <w:szCs w:val="20"/>
    </w:rPr>
  </w:style>
  <w:style w:type="character" w:styleId="Lbjegyzet-hivatkozs">
    <w:name w:val="footnote reference"/>
    <w:semiHidden/>
    <w:rsid w:val="001850C9"/>
    <w:rPr>
      <w:vertAlign w:val="superscript"/>
    </w:rPr>
  </w:style>
  <w:style w:type="paragraph" w:styleId="Szvegtrzs">
    <w:name w:val="Body Text"/>
    <w:basedOn w:val="Norml"/>
    <w:rsid w:val="00E82C3E"/>
    <w:pPr>
      <w:spacing w:after="120"/>
    </w:pPr>
  </w:style>
  <w:style w:type="paragraph" w:styleId="Szvegtrzs2">
    <w:name w:val="Body Text 2"/>
    <w:basedOn w:val="Norml"/>
    <w:rsid w:val="00E82C3E"/>
    <w:pPr>
      <w:spacing w:after="120" w:line="480" w:lineRule="auto"/>
    </w:pPr>
  </w:style>
  <w:style w:type="paragraph" w:customStyle="1" w:styleId="Szakasz">
    <w:name w:val="Szakasz"/>
    <w:basedOn w:val="Norml"/>
    <w:next w:val="Norml"/>
    <w:rsid w:val="00E82C3E"/>
    <w:pPr>
      <w:keepNext/>
      <w:autoSpaceDE w:val="0"/>
      <w:autoSpaceDN w:val="0"/>
      <w:adjustRightInd w:val="0"/>
      <w:spacing w:before="360" w:after="360" w:line="360" w:lineRule="auto"/>
      <w:jc w:val="center"/>
      <w:outlineLvl w:val="1"/>
    </w:pPr>
    <w:rPr>
      <w:b/>
      <w:bCs/>
      <w:sz w:val="28"/>
      <w:szCs w:val="26"/>
    </w:rPr>
  </w:style>
  <w:style w:type="paragraph" w:customStyle="1" w:styleId="Alcmkodif">
    <w:name w:val="Alcímkodif"/>
    <w:basedOn w:val="Szakasz"/>
    <w:rsid w:val="00E82C3E"/>
    <w:pPr>
      <w:spacing w:before="480" w:after="480"/>
      <w:outlineLvl w:val="9"/>
    </w:pPr>
    <w:rPr>
      <w:b w:val="0"/>
      <w:i/>
    </w:rPr>
  </w:style>
  <w:style w:type="paragraph" w:styleId="Buborkszveg">
    <w:name w:val="Balloon Text"/>
    <w:basedOn w:val="Norml"/>
    <w:semiHidden/>
    <w:rsid w:val="00E82C3E"/>
    <w:rPr>
      <w:rFonts w:ascii="Tahoma" w:hAnsi="Tahoma" w:cs="Tahoma"/>
      <w:sz w:val="16"/>
      <w:szCs w:val="16"/>
    </w:rPr>
  </w:style>
  <w:style w:type="paragraph" w:styleId="Cm">
    <w:name w:val="Title"/>
    <w:basedOn w:val="Norml"/>
    <w:link w:val="CmChar"/>
    <w:qFormat/>
    <w:rsid w:val="00E82C3E"/>
    <w:pPr>
      <w:spacing w:before="240" w:after="60"/>
      <w:jc w:val="center"/>
      <w:outlineLvl w:val="0"/>
    </w:pPr>
    <w:rPr>
      <w:b/>
      <w:bCs/>
      <w:kern w:val="28"/>
    </w:rPr>
  </w:style>
  <w:style w:type="paragraph" w:customStyle="1" w:styleId="CharCharCharCharCharCharCharCharCharCharCharCharCharCharChar1CharCharCharChar">
    <w:name w:val="Char Char Char Char Char Char Char Char Char Char Char Char Char Char Char1 Char Char Char Char"/>
    <w:basedOn w:val="Norml"/>
    <w:rsid w:val="00E82C3E"/>
    <w:pPr>
      <w:spacing w:after="160" w:line="240" w:lineRule="exact"/>
    </w:pPr>
    <w:rPr>
      <w:rFonts w:ascii="Tahoma" w:hAnsi="Tahoma"/>
      <w:sz w:val="20"/>
      <w:szCs w:val="20"/>
      <w:lang w:val="en-US" w:eastAsia="en-US"/>
    </w:rPr>
  </w:style>
  <w:style w:type="paragraph" w:customStyle="1" w:styleId="Char1">
    <w:name w:val="Char1"/>
    <w:basedOn w:val="Norml"/>
    <w:rsid w:val="00E82C3E"/>
    <w:pPr>
      <w:spacing w:after="160" w:line="240" w:lineRule="exact"/>
    </w:pPr>
    <w:rPr>
      <w:rFonts w:ascii="Verdana" w:hAnsi="Verdana"/>
      <w:sz w:val="20"/>
      <w:szCs w:val="20"/>
      <w:lang w:val="en-US" w:eastAsia="en-US"/>
    </w:rPr>
  </w:style>
  <w:style w:type="paragraph" w:customStyle="1" w:styleId="bekezdes">
    <w:name w:val="bekezdes"/>
    <w:basedOn w:val="Norml"/>
    <w:rsid w:val="00E82C3E"/>
    <w:pPr>
      <w:spacing w:after="120"/>
      <w:ind w:firstLine="567"/>
      <w:jc w:val="both"/>
    </w:pPr>
    <w:rPr>
      <w:sz w:val="26"/>
      <w:szCs w:val="20"/>
    </w:rPr>
  </w:style>
  <w:style w:type="paragraph" w:styleId="Szvegtrzsbehzssal">
    <w:name w:val="Body Text Indent"/>
    <w:basedOn w:val="Norml"/>
    <w:rsid w:val="00E82C3E"/>
    <w:pPr>
      <w:spacing w:after="120"/>
      <w:ind w:left="283"/>
    </w:pPr>
  </w:style>
  <w:style w:type="paragraph" w:styleId="Szvegtrzsbehzssal2">
    <w:name w:val="Body Text Indent 2"/>
    <w:basedOn w:val="Norml"/>
    <w:rsid w:val="00E82C3E"/>
    <w:pPr>
      <w:spacing w:after="120" w:line="480" w:lineRule="auto"/>
      <w:ind w:left="283"/>
    </w:pPr>
  </w:style>
  <w:style w:type="paragraph" w:customStyle="1" w:styleId="EkozigBekezdes1">
    <w:name w:val="Ekozig_Bekezdes1"/>
    <w:basedOn w:val="Norml"/>
    <w:rsid w:val="00E82C3E"/>
    <w:pPr>
      <w:jc w:val="both"/>
    </w:pPr>
    <w:rPr>
      <w:szCs w:val="20"/>
    </w:rPr>
  </w:style>
  <w:style w:type="paragraph" w:customStyle="1" w:styleId="EkozigBekezdes3">
    <w:name w:val="Ekozig_Bekezdes3"/>
    <w:basedOn w:val="Norml"/>
    <w:rsid w:val="00E82C3E"/>
    <w:pPr>
      <w:jc w:val="both"/>
    </w:pPr>
    <w:rPr>
      <w:b/>
      <w:szCs w:val="20"/>
    </w:rPr>
  </w:style>
  <w:style w:type="paragraph" w:styleId="NormlWeb">
    <w:name w:val="Normal (Web)"/>
    <w:basedOn w:val="Norml"/>
    <w:rsid w:val="00E82C3E"/>
    <w:pPr>
      <w:spacing w:before="100" w:beforeAutospacing="1" w:after="100" w:afterAutospacing="1"/>
    </w:pPr>
    <w:rPr>
      <w:rFonts w:ascii="Arial Unicode MS" w:eastAsia="Arial Unicode MS" w:hAnsi="Arial Unicode MS" w:cs="Arial Unicode MS"/>
      <w:color w:val="000000"/>
    </w:rPr>
  </w:style>
  <w:style w:type="paragraph" w:customStyle="1" w:styleId="Ekozigfelsorolas">
    <w:name w:val="Ekozig_felsorolas"/>
    <w:rsid w:val="00E82C3E"/>
    <w:pPr>
      <w:numPr>
        <w:numId w:val="2"/>
      </w:numPr>
      <w:jc w:val="both"/>
    </w:pPr>
    <w:rPr>
      <w:sz w:val="24"/>
    </w:rPr>
  </w:style>
  <w:style w:type="character" w:customStyle="1" w:styleId="CharChar1">
    <w:name w:val="Char Char1"/>
    <w:rsid w:val="00E82C3E"/>
    <w:rPr>
      <w:rFonts w:ascii="Arial" w:hAnsi="Arial" w:cs="Arial"/>
      <w:b/>
      <w:bCs/>
      <w:kern w:val="32"/>
      <w:sz w:val="32"/>
      <w:szCs w:val="32"/>
      <w:lang w:val="hu-HU" w:eastAsia="hu-HU" w:bidi="ar-SA"/>
    </w:rPr>
  </w:style>
  <w:style w:type="paragraph" w:customStyle="1" w:styleId="Char">
    <w:name w:val="Char"/>
    <w:basedOn w:val="Norml"/>
    <w:rsid w:val="00E82C3E"/>
    <w:pPr>
      <w:spacing w:after="160" w:line="240" w:lineRule="exact"/>
    </w:pPr>
    <w:rPr>
      <w:rFonts w:ascii="Verdana" w:hAnsi="Verdana"/>
      <w:sz w:val="20"/>
      <w:szCs w:val="20"/>
      <w:lang w:val="en-US" w:eastAsia="en-US"/>
    </w:rPr>
  </w:style>
  <w:style w:type="character" w:customStyle="1" w:styleId="tx1">
    <w:name w:val="tx1"/>
    <w:rsid w:val="0003160D"/>
    <w:rPr>
      <w:b/>
      <w:bCs/>
    </w:rPr>
  </w:style>
  <w:style w:type="character" w:customStyle="1" w:styleId="m1">
    <w:name w:val="m1"/>
    <w:rsid w:val="0003160D"/>
    <w:rPr>
      <w:color w:val="0000FF"/>
    </w:rPr>
  </w:style>
  <w:style w:type="paragraph" w:customStyle="1" w:styleId="Default">
    <w:name w:val="Default"/>
    <w:rsid w:val="0003160D"/>
    <w:pPr>
      <w:autoSpaceDE w:val="0"/>
      <w:autoSpaceDN w:val="0"/>
      <w:adjustRightInd w:val="0"/>
    </w:pPr>
    <w:rPr>
      <w:color w:val="000000"/>
      <w:sz w:val="24"/>
      <w:szCs w:val="24"/>
    </w:rPr>
  </w:style>
  <w:style w:type="paragraph" w:customStyle="1" w:styleId="Zradk">
    <w:name w:val="Záradék"/>
    <w:basedOn w:val="Norml"/>
    <w:rsid w:val="00905D1F"/>
    <w:pPr>
      <w:spacing w:line="360" w:lineRule="auto"/>
      <w:jc w:val="center"/>
    </w:pPr>
    <w:rPr>
      <w:sz w:val="16"/>
      <w:szCs w:val="16"/>
    </w:rPr>
  </w:style>
  <w:style w:type="paragraph" w:styleId="Szvegtrzsbehzssal3">
    <w:name w:val="Body Text Indent 3"/>
    <w:basedOn w:val="Norml"/>
    <w:rsid w:val="007A6960"/>
    <w:pPr>
      <w:spacing w:after="120"/>
      <w:ind w:left="283"/>
    </w:pPr>
    <w:rPr>
      <w:sz w:val="16"/>
      <w:szCs w:val="16"/>
    </w:rPr>
  </w:style>
  <w:style w:type="character" w:styleId="Jegyzethivatkozs">
    <w:name w:val="annotation reference"/>
    <w:rsid w:val="00442D80"/>
    <w:rPr>
      <w:sz w:val="16"/>
      <w:szCs w:val="16"/>
    </w:rPr>
  </w:style>
  <w:style w:type="paragraph" w:styleId="Jegyzetszveg">
    <w:name w:val="annotation text"/>
    <w:basedOn w:val="Norml"/>
    <w:link w:val="JegyzetszvegChar"/>
    <w:rsid w:val="00442D80"/>
    <w:rPr>
      <w:sz w:val="20"/>
      <w:szCs w:val="20"/>
    </w:rPr>
  </w:style>
  <w:style w:type="character" w:customStyle="1" w:styleId="JegyzetszvegChar">
    <w:name w:val="Jegyzetszöveg Char"/>
    <w:basedOn w:val="Bekezdsalapbettpusa"/>
    <w:link w:val="Jegyzetszveg"/>
    <w:rsid w:val="00442D80"/>
  </w:style>
  <w:style w:type="paragraph" w:styleId="Megjegyzstrgya">
    <w:name w:val="annotation subject"/>
    <w:basedOn w:val="Jegyzetszveg"/>
    <w:next w:val="Jegyzetszveg"/>
    <w:link w:val="MegjegyzstrgyaChar"/>
    <w:rsid w:val="00442D80"/>
    <w:rPr>
      <w:b/>
      <w:bCs/>
    </w:rPr>
  </w:style>
  <w:style w:type="character" w:customStyle="1" w:styleId="MegjegyzstrgyaChar">
    <w:name w:val="Megjegyzés tárgya Char"/>
    <w:link w:val="Megjegyzstrgya"/>
    <w:rsid w:val="00442D80"/>
    <w:rPr>
      <w:b/>
      <w:bCs/>
    </w:rPr>
  </w:style>
  <w:style w:type="character" w:customStyle="1" w:styleId="lfejChar">
    <w:name w:val="Élőfej Char"/>
    <w:link w:val="lfej"/>
    <w:uiPriority w:val="99"/>
    <w:rsid w:val="00F44B8F"/>
    <w:rPr>
      <w:sz w:val="24"/>
      <w:szCs w:val="24"/>
    </w:rPr>
  </w:style>
  <w:style w:type="character" w:customStyle="1" w:styleId="CmChar">
    <w:name w:val="Cím Char"/>
    <w:link w:val="Cm"/>
    <w:rsid w:val="00065B87"/>
    <w:rPr>
      <w:b/>
      <w:bCs/>
      <w:kern w:val="28"/>
      <w:sz w:val="24"/>
      <w:szCs w:val="24"/>
    </w:rPr>
  </w:style>
  <w:style w:type="paragraph" w:styleId="Alcm">
    <w:name w:val="Subtitle"/>
    <w:basedOn w:val="Norml"/>
    <w:next w:val="Norml"/>
    <w:link w:val="AlcmChar"/>
    <w:uiPriority w:val="11"/>
    <w:qFormat/>
    <w:rsid w:val="00065B87"/>
    <w:pPr>
      <w:numPr>
        <w:ilvl w:val="1"/>
      </w:numPr>
    </w:pPr>
    <w:rPr>
      <w:rFonts w:ascii="Cambria" w:hAnsi="Cambria"/>
      <w:i/>
      <w:iCs/>
      <w:color w:val="4F81BD"/>
      <w:spacing w:val="15"/>
    </w:rPr>
  </w:style>
  <w:style w:type="character" w:customStyle="1" w:styleId="AlcmChar">
    <w:name w:val="Alcím Char"/>
    <w:link w:val="Alcm"/>
    <w:uiPriority w:val="11"/>
    <w:rsid w:val="00065B87"/>
    <w:rPr>
      <w:rFonts w:ascii="Cambria" w:hAnsi="Cambria"/>
      <w:i/>
      <w:iCs/>
      <w:color w:val="4F81BD"/>
      <w:spacing w:val="15"/>
      <w:sz w:val="24"/>
      <w:szCs w:val="24"/>
    </w:rPr>
  </w:style>
  <w:style w:type="character" w:customStyle="1" w:styleId="llbChar">
    <w:name w:val="Élőláb Char"/>
    <w:link w:val="llb"/>
    <w:uiPriority w:val="99"/>
    <w:rsid w:val="00505798"/>
    <w:rPr>
      <w:sz w:val="24"/>
      <w:szCs w:val="24"/>
    </w:rPr>
  </w:style>
  <w:style w:type="paragraph" w:styleId="Vltozat">
    <w:name w:val="Revision"/>
    <w:hidden/>
    <w:uiPriority w:val="99"/>
    <w:semiHidden/>
    <w:rsid w:val="00830A98"/>
    <w:rPr>
      <w:sz w:val="24"/>
      <w:szCs w:val="24"/>
    </w:rPr>
  </w:style>
  <w:style w:type="paragraph" w:customStyle="1" w:styleId="msolistparagraph0">
    <w:name w:val="msolistparagraph"/>
    <w:basedOn w:val="Norml"/>
    <w:rsid w:val="00514405"/>
    <w:pPr>
      <w:ind w:left="720"/>
    </w:pPr>
    <w:rPr>
      <w:rFonts w:ascii="Calibri" w:eastAsia="Calibri" w:hAnsi="Calibri"/>
      <w:sz w:val="22"/>
      <w:szCs w:val="22"/>
    </w:rPr>
  </w:style>
  <w:style w:type="paragraph" w:styleId="Listaszerbekezds">
    <w:name w:val="List Paragraph"/>
    <w:basedOn w:val="Norml"/>
    <w:uiPriority w:val="34"/>
    <w:qFormat/>
    <w:rsid w:val="00B60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75661">
      <w:bodyDiv w:val="1"/>
      <w:marLeft w:val="0"/>
      <w:marRight w:val="0"/>
      <w:marTop w:val="0"/>
      <w:marBottom w:val="0"/>
      <w:divBdr>
        <w:top w:val="none" w:sz="0" w:space="0" w:color="auto"/>
        <w:left w:val="none" w:sz="0" w:space="0" w:color="auto"/>
        <w:bottom w:val="none" w:sz="0" w:space="0" w:color="auto"/>
        <w:right w:val="none" w:sz="0" w:space="0" w:color="auto"/>
      </w:divBdr>
    </w:div>
    <w:div w:id="371345370">
      <w:bodyDiv w:val="1"/>
      <w:marLeft w:val="0"/>
      <w:marRight w:val="0"/>
      <w:marTop w:val="0"/>
      <w:marBottom w:val="0"/>
      <w:divBdr>
        <w:top w:val="none" w:sz="0" w:space="0" w:color="auto"/>
        <w:left w:val="none" w:sz="0" w:space="0" w:color="auto"/>
        <w:bottom w:val="none" w:sz="0" w:space="0" w:color="auto"/>
        <w:right w:val="none" w:sz="0" w:space="0" w:color="auto"/>
      </w:divBdr>
    </w:div>
    <w:div w:id="916136175">
      <w:bodyDiv w:val="1"/>
      <w:marLeft w:val="0"/>
      <w:marRight w:val="0"/>
      <w:marTop w:val="0"/>
      <w:marBottom w:val="0"/>
      <w:divBdr>
        <w:top w:val="none" w:sz="0" w:space="0" w:color="auto"/>
        <w:left w:val="none" w:sz="0" w:space="0" w:color="auto"/>
        <w:bottom w:val="none" w:sz="0" w:space="0" w:color="auto"/>
        <w:right w:val="none" w:sz="0" w:space="0" w:color="auto"/>
      </w:divBdr>
      <w:divsChild>
        <w:div w:id="111674948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19023169">
      <w:bodyDiv w:val="1"/>
      <w:marLeft w:val="0"/>
      <w:marRight w:val="0"/>
      <w:marTop w:val="0"/>
      <w:marBottom w:val="0"/>
      <w:divBdr>
        <w:top w:val="none" w:sz="0" w:space="0" w:color="auto"/>
        <w:left w:val="none" w:sz="0" w:space="0" w:color="auto"/>
        <w:bottom w:val="none" w:sz="0" w:space="0" w:color="auto"/>
        <w:right w:val="none" w:sz="0" w:space="0" w:color="auto"/>
      </w:divBdr>
      <w:divsChild>
        <w:div w:id="604072562">
          <w:marLeft w:val="0"/>
          <w:marRight w:val="0"/>
          <w:marTop w:val="0"/>
          <w:marBottom w:val="0"/>
          <w:divBdr>
            <w:top w:val="none" w:sz="0" w:space="0" w:color="auto"/>
            <w:left w:val="none" w:sz="0" w:space="0" w:color="auto"/>
            <w:bottom w:val="none" w:sz="0" w:space="0" w:color="auto"/>
            <w:right w:val="none" w:sz="0" w:space="0" w:color="auto"/>
          </w:divBdr>
        </w:div>
      </w:divsChild>
    </w:div>
    <w:div w:id="1184175021">
      <w:bodyDiv w:val="1"/>
      <w:marLeft w:val="0"/>
      <w:marRight w:val="0"/>
      <w:marTop w:val="0"/>
      <w:marBottom w:val="0"/>
      <w:divBdr>
        <w:top w:val="none" w:sz="0" w:space="0" w:color="auto"/>
        <w:left w:val="none" w:sz="0" w:space="0" w:color="auto"/>
        <w:bottom w:val="none" w:sz="0" w:space="0" w:color="auto"/>
        <w:right w:val="none" w:sz="0" w:space="0" w:color="auto"/>
      </w:divBdr>
    </w:div>
    <w:div w:id="1221401863">
      <w:bodyDiv w:val="1"/>
      <w:marLeft w:val="0"/>
      <w:marRight w:val="0"/>
      <w:marTop w:val="0"/>
      <w:marBottom w:val="0"/>
      <w:divBdr>
        <w:top w:val="none" w:sz="0" w:space="0" w:color="auto"/>
        <w:left w:val="none" w:sz="0" w:space="0" w:color="auto"/>
        <w:bottom w:val="none" w:sz="0" w:space="0" w:color="auto"/>
        <w:right w:val="none" w:sz="0" w:space="0" w:color="auto"/>
      </w:divBdr>
    </w:div>
    <w:div w:id="1601765786">
      <w:bodyDiv w:val="1"/>
      <w:marLeft w:val="0"/>
      <w:marRight w:val="0"/>
      <w:marTop w:val="0"/>
      <w:marBottom w:val="0"/>
      <w:divBdr>
        <w:top w:val="none" w:sz="0" w:space="0" w:color="auto"/>
        <w:left w:val="none" w:sz="0" w:space="0" w:color="auto"/>
        <w:bottom w:val="none" w:sz="0" w:space="0" w:color="auto"/>
        <w:right w:val="none" w:sz="0" w:space="0" w:color="auto"/>
      </w:divBdr>
    </w:div>
    <w:div w:id="1837770179">
      <w:bodyDiv w:val="1"/>
      <w:marLeft w:val="0"/>
      <w:marRight w:val="0"/>
      <w:marTop w:val="0"/>
      <w:marBottom w:val="0"/>
      <w:divBdr>
        <w:top w:val="none" w:sz="0" w:space="0" w:color="auto"/>
        <w:left w:val="none" w:sz="0" w:space="0" w:color="auto"/>
        <w:bottom w:val="none" w:sz="0" w:space="0" w:color="auto"/>
        <w:right w:val="none" w:sz="0" w:space="0" w:color="auto"/>
      </w:divBdr>
    </w:div>
    <w:div w:id="1898396683">
      <w:bodyDiv w:val="1"/>
      <w:marLeft w:val="0"/>
      <w:marRight w:val="0"/>
      <w:marTop w:val="0"/>
      <w:marBottom w:val="0"/>
      <w:divBdr>
        <w:top w:val="none" w:sz="0" w:space="0" w:color="auto"/>
        <w:left w:val="none" w:sz="0" w:space="0" w:color="auto"/>
        <w:bottom w:val="none" w:sz="0" w:space="0" w:color="auto"/>
        <w:right w:val="none" w:sz="0" w:space="0" w:color="auto"/>
      </w:divBdr>
      <w:divsChild>
        <w:div w:id="1860848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4917</Words>
  <Characters>33934</Characters>
  <Application>Microsoft Office Word</Application>
  <DocSecurity>0</DocSecurity>
  <Lines>282</Lines>
  <Paragraphs>77</Paragraphs>
  <ScaleCrop>false</ScaleCrop>
  <HeadingPairs>
    <vt:vector size="2" baseType="variant">
      <vt:variant>
        <vt:lpstr>Cím</vt:lpstr>
      </vt:variant>
      <vt:variant>
        <vt:i4>1</vt:i4>
      </vt:variant>
    </vt:vector>
  </HeadingPairs>
  <TitlesOfParts>
    <vt:vector size="1" baseType="lpstr">
      <vt:lpstr>IGAZSÁGÜGYI MINISZTÉRIUM</vt:lpstr>
    </vt:vector>
  </TitlesOfParts>
  <Company>IH</Company>
  <LinksUpToDate>false</LinksUpToDate>
  <CharactersWithSpaces>38774</CharactersWithSpaces>
  <SharedDoc>false</SharedDoc>
  <HLinks>
    <vt:vector size="6" baseType="variant">
      <vt:variant>
        <vt:i4>4915298</vt:i4>
      </vt:variant>
      <vt:variant>
        <vt:i4>7</vt:i4>
      </vt:variant>
      <vt:variant>
        <vt:i4>0</vt:i4>
      </vt:variant>
      <vt:variant>
        <vt:i4>5</vt:i4>
      </vt:variant>
      <vt:variant>
        <vt:lpwstr>mailto:lilla.kralovanszky@im.gov.hu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IGAZSÁGÜGYI MINISZTÉRIUM</dc:title>
  <dc:creator>Lautenbach Orsolya dr.</dc:creator>
  <cp:lastModifiedBy>Nyárádi Gabriella Dr.</cp:lastModifiedBy>
  <cp:revision>7</cp:revision>
  <cp:lastPrinted>2014-08-25T12:48:00Z</cp:lastPrinted>
  <dcterms:created xsi:type="dcterms:W3CDTF">2014-10-08T08:41:00Z</dcterms:created>
  <dcterms:modified xsi:type="dcterms:W3CDTF">2014-10-08T12:07:00Z</dcterms:modified>
</cp:coreProperties>
</file>