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FA2" w:rsidRPr="0003277A" w:rsidRDefault="00C857DA" w:rsidP="00253FA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53FAD">
        <w:rPr>
          <w:rFonts w:ascii="Times New Roman" w:eastAsia="Times New Roman" w:hAnsi="Times New Roman" w:cs="Times New Roman"/>
          <w:b/>
          <w:sz w:val="28"/>
          <w:szCs w:val="24"/>
        </w:rPr>
        <w:t>A</w:t>
      </w:r>
      <w:r w:rsidR="00A913EE" w:rsidRPr="0003277A">
        <w:rPr>
          <w:rFonts w:ascii="Times New Roman" w:eastAsia="Times New Roman" w:hAnsi="Times New Roman" w:cs="Times New Roman"/>
          <w:b/>
          <w:sz w:val="28"/>
          <w:szCs w:val="24"/>
        </w:rPr>
        <w:t xml:space="preserve"> roma szakkollégiummá minősítési eljáráshoz kapcsolódó értékelési szempont</w:t>
      </w:r>
      <w:r w:rsidR="00CC7CFA" w:rsidRPr="0003277A">
        <w:rPr>
          <w:rFonts w:ascii="Times New Roman" w:eastAsia="Times New Roman" w:hAnsi="Times New Roman" w:cs="Times New Roman"/>
          <w:b/>
          <w:sz w:val="28"/>
          <w:szCs w:val="24"/>
        </w:rPr>
        <w:t>ok</w:t>
      </w:r>
      <w:r w:rsidR="00A913EE" w:rsidRPr="0003277A">
        <w:rPr>
          <w:rFonts w:ascii="Times New Roman" w:eastAsia="Times New Roman" w:hAnsi="Times New Roman" w:cs="Times New Roman"/>
          <w:b/>
          <w:sz w:val="28"/>
          <w:szCs w:val="24"/>
        </w:rPr>
        <w:t xml:space="preserve"> és minősítési követelmények</w:t>
      </w:r>
    </w:p>
    <w:p w:rsidR="00864FA2" w:rsidRPr="0003277A" w:rsidRDefault="00A913EE" w:rsidP="0003277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277A">
        <w:rPr>
          <w:rFonts w:ascii="Times New Roman" w:eastAsia="Times New Roman" w:hAnsi="Times New Roman" w:cs="Times New Roman"/>
          <w:b/>
          <w:sz w:val="24"/>
          <w:szCs w:val="24"/>
        </w:rPr>
        <w:t>(a Roma Szakkollégiumi Tanács létrehozásáról és működéséről szóló 1882/2017. (XI. 30.) Korm. határozat 2. pont f) alpontja alapján)</w:t>
      </w:r>
    </w:p>
    <w:p w:rsidR="00821A02" w:rsidRPr="0003277A" w:rsidRDefault="00C9698D" w:rsidP="00253F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Az Országgyűlés</w:t>
      </w:r>
      <w:r w:rsidR="00BD4AA1" w:rsidRPr="0003277A">
        <w:rPr>
          <w:rFonts w:ascii="Times New Roman" w:eastAsia="Times New Roman" w:hAnsi="Times New Roman" w:cs="Times New Roman"/>
          <w:sz w:val="24"/>
          <w:szCs w:val="24"/>
        </w:rPr>
        <w:t xml:space="preserve"> az Alaptörvényben kinyilvánította, hogy a </w:t>
      </w:r>
      <w:r w:rsidR="00F30CA3" w:rsidRPr="0003277A">
        <w:rPr>
          <w:rFonts w:ascii="Times New Roman" w:eastAsia="Times New Roman" w:hAnsi="Times New Roman" w:cs="Times New Roman"/>
          <w:sz w:val="24"/>
          <w:szCs w:val="24"/>
        </w:rPr>
        <w:t>velünk</w:t>
      </w:r>
      <w:r w:rsidR="00BD4AA1" w:rsidRPr="0003277A">
        <w:rPr>
          <w:rFonts w:ascii="Times New Roman" w:eastAsia="Times New Roman" w:hAnsi="Times New Roman" w:cs="Times New Roman"/>
          <w:sz w:val="24"/>
          <w:szCs w:val="24"/>
        </w:rPr>
        <w:t xml:space="preserve"> élő nemzetiségek a magyar politikai közösség részei és államalkotó tényezők.</w:t>
      </w:r>
      <w:r w:rsidR="00E87FC6" w:rsidRPr="0003277A">
        <w:rPr>
          <w:rFonts w:ascii="Times New Roman" w:eastAsia="Times New Roman" w:hAnsi="Times New Roman" w:cs="Times New Roman"/>
          <w:sz w:val="24"/>
          <w:szCs w:val="24"/>
        </w:rPr>
        <w:t xml:space="preserve"> A nemzetiségeknek joguk van az anyanyelvhasználathoz, a saját nyelven való egyéni és közösségi névhasználathoz, saját kultúrájuk ápolásához, az anyanyelvű oktatáshoz, önazonosságuk szabad vállalásához és megőrzéséhez.</w:t>
      </w:r>
    </w:p>
    <w:p w:rsidR="00BD4AA1" w:rsidRPr="0003277A" w:rsidRDefault="00D64584" w:rsidP="00253FA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77A">
        <w:rPr>
          <w:rFonts w:ascii="Times New Roman" w:eastAsia="Times New Roman" w:hAnsi="Times New Roman" w:cs="Times New Roman"/>
          <w:sz w:val="24"/>
          <w:szCs w:val="24"/>
        </w:rPr>
        <w:t xml:space="preserve">Magyarország Alaptörvényének XV. cikk (4) bekezdése alapján </w:t>
      </w:r>
      <w:r w:rsidR="00E87FC6" w:rsidRPr="0003277A">
        <w:rPr>
          <w:rFonts w:ascii="Times New Roman" w:eastAsia="Times New Roman" w:hAnsi="Times New Roman" w:cs="Times New Roman"/>
          <w:sz w:val="24"/>
          <w:szCs w:val="24"/>
        </w:rPr>
        <w:t>Magyarország az esélyegyenlőség és a társadalmi felzárkózás megvalósulását külön intézkedésekkel segíti. Ezen intézkedések egyike a Roma Szakkollégiumi Tanács létrehozása.</w:t>
      </w:r>
    </w:p>
    <w:p w:rsidR="00864FA2" w:rsidRPr="0003277A" w:rsidRDefault="00A913EE" w:rsidP="000327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77A">
        <w:rPr>
          <w:rFonts w:ascii="Times New Roman" w:eastAsia="Times New Roman" w:hAnsi="Times New Roman" w:cs="Times New Roman"/>
          <w:sz w:val="24"/>
          <w:szCs w:val="24"/>
        </w:rPr>
        <w:t>A Kormány a központi államigazgatási szervekről, valamint a Kormány tagjai és az államtitkárok jogállásáról szóló 2010. évi XLIII. törvény 30. § (1) bekezdése alapján a roma szakkollégiumi hálózat megerősítése, a roma értelmiségi réteg fejlődésének elősegítése, a Roma Szakkollégiumi Tanács létrehozásáról és működéséről szóló 1882/2017. (XI. 30.) Korm. határozat (a továbbiakban: Korm. határozat) 2. pontjában meghatározott feladatok ellátása céljából létrehozta a Roma Szakkollégiumi Tanácsot (a továbbiakban: Tanács).</w:t>
      </w:r>
    </w:p>
    <w:p w:rsidR="00864FA2" w:rsidRPr="0003277A" w:rsidRDefault="00A913EE" w:rsidP="0003277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77A">
        <w:rPr>
          <w:rFonts w:ascii="Times New Roman" w:eastAsia="Times New Roman" w:hAnsi="Times New Roman" w:cs="Times New Roman"/>
          <w:sz w:val="24"/>
          <w:szCs w:val="24"/>
        </w:rPr>
        <w:t xml:space="preserve">A Tanács a már működő szakkollégiumok roma szakkollégiummá minősítő eljárásához kapcsolódó kérelmek értékelési szempontjainak, minősítési követelményeinek meghatározását a társadalmi felzárkózásért felelős miniszter által vezetett minisztérium ajánlásai alapján fogja </w:t>
      </w:r>
      <w:proofErr w:type="gramStart"/>
      <w:r w:rsidRPr="0003277A">
        <w:rPr>
          <w:rFonts w:ascii="Times New Roman" w:eastAsia="Times New Roman" w:hAnsi="Times New Roman" w:cs="Times New Roman"/>
          <w:sz w:val="24"/>
          <w:szCs w:val="24"/>
        </w:rPr>
        <w:t>megtenni</w:t>
      </w:r>
      <w:proofErr w:type="gramEnd"/>
      <w:r w:rsidRPr="00032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47F5E" w:rsidRPr="00264DF4" w:rsidRDefault="00347F5E" w:rsidP="00624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277A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47F5E" w:rsidRPr="00264DF4" w:rsidRDefault="00347F5E" w:rsidP="00624C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627" w:rsidRPr="00253FAD" w:rsidRDefault="00EF4627" w:rsidP="0003277A">
      <w:pPr>
        <w:spacing w:after="0" w:line="240" w:lineRule="auto"/>
        <w:contextualSpacing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53FAD">
        <w:rPr>
          <w:rFonts w:ascii="Times New Roman" w:eastAsia="Arial" w:hAnsi="Times New Roman" w:cs="Times New Roman"/>
          <w:b/>
          <w:sz w:val="32"/>
          <w:szCs w:val="32"/>
        </w:rPr>
        <w:t>A ROMA SZAKKOLLÉGIUMOK</w:t>
      </w:r>
    </w:p>
    <w:p w:rsidR="00EF4627" w:rsidRPr="00253FAD" w:rsidRDefault="00EF4627" w:rsidP="00253FAD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864FA2" w:rsidRPr="00253FAD" w:rsidRDefault="00FB5566" w:rsidP="00253FAD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Pr="00253FAD">
        <w:rPr>
          <w:rFonts w:ascii="Times New Roman" w:eastAsia="Arial" w:hAnsi="Times New Roman" w:cs="Times New Roman"/>
          <w:b/>
          <w:sz w:val="24"/>
          <w:szCs w:val="24"/>
        </w:rPr>
        <w:t>roma szakkollégium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a felsőoktatáshoz kötődő, </w:t>
      </w:r>
      <w:r w:rsidR="000B12FB" w:rsidRPr="00253FAD">
        <w:rPr>
          <w:rFonts w:ascii="Times New Roman" w:eastAsia="Arial" w:hAnsi="Times New Roman" w:cs="Times New Roman"/>
          <w:sz w:val="24"/>
          <w:szCs w:val="24"/>
        </w:rPr>
        <w:t xml:space="preserve">egyház, vagy felsőoktatási intézmény által fenntartott, </w:t>
      </w:r>
      <w:r w:rsidRPr="00253FAD">
        <w:rPr>
          <w:rFonts w:ascii="Times New Roman" w:eastAsia="Arial" w:hAnsi="Times New Roman" w:cs="Times New Roman"/>
          <w:sz w:val="24"/>
          <w:szCs w:val="24"/>
        </w:rPr>
        <w:t>a hallgatók öntevékeny szerveződésén is alapuló intézmény, amelynek küldetése olyan cigány</w:t>
      </w:r>
      <w:r w:rsidRPr="00253FAD">
        <w:rPr>
          <w:rStyle w:val="Lbjegyzet-hivatkozs"/>
          <w:rFonts w:ascii="Times New Roman" w:eastAsia="Arial" w:hAnsi="Times New Roman" w:cs="Times New Roman"/>
          <w:sz w:val="24"/>
          <w:szCs w:val="24"/>
        </w:rPr>
        <w:footnoteReference w:id="1"/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értelmiség képzése, továbbképzése és közösségbe hívása, akik – felismerve küldetésüket – képesek széleskörű,</w:t>
      </w:r>
      <w:r w:rsidRPr="00264DF4">
        <w:rPr>
          <w:rFonts w:ascii="Times New Roman" w:eastAsia="Arial" w:hAnsi="Times New Roman" w:cs="Times New Roman"/>
          <w:sz w:val="24"/>
          <w:szCs w:val="24"/>
        </w:rPr>
        <w:t xml:space="preserve"> felelős társadalmi párbeszédre, a közéletben és a tudományos életben való aktív részvételre, önmaguk és környezetük formálására, képességeik kibontakoztatására. Ezért olyan közösség létrejöttét támogatja, mely roma és nem roma hallgatók sikeres együtt élő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közösségi modelljeként is példát mutat társadalmunkban. Segíti az olyan fiatal értelmiségiek kibontakozását, akik a szakmai kiválóságot ötvözik a társadalmi és szociális</w:t>
      </w:r>
      <w:r w:rsidR="00C466B8" w:rsidRPr="00253FAD">
        <w:rPr>
          <w:rFonts w:ascii="Times New Roman" w:eastAsia="Arial" w:hAnsi="Times New Roman" w:cs="Times New Roman"/>
          <w:sz w:val="24"/>
          <w:szCs w:val="24"/>
        </w:rPr>
        <w:t xml:space="preserve"> kérdések iránti érzékenységgel és aktivitással,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támogatva a romák és nem romák együttélését.</w:t>
      </w:r>
    </w:p>
    <w:p w:rsidR="00864FA2" w:rsidRPr="00253FAD" w:rsidRDefault="00864FA2" w:rsidP="00264DF4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4627" w:rsidRPr="00253FAD" w:rsidRDefault="00EF4627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4FA2" w:rsidRPr="00253FAD" w:rsidRDefault="00EF4627">
      <w:pPr>
        <w:tabs>
          <w:tab w:val="lef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53FAD">
        <w:rPr>
          <w:rFonts w:ascii="Times New Roman" w:eastAsia="Times New Roman" w:hAnsi="Times New Roman" w:cs="Times New Roman"/>
          <w:b/>
          <w:sz w:val="32"/>
          <w:szCs w:val="32"/>
        </w:rPr>
        <w:t>ALAPVETŐ KÖVETELMÉNYEK</w:t>
      </w:r>
    </w:p>
    <w:p w:rsidR="00EF4627" w:rsidRPr="00253FAD" w:rsidRDefault="00EF4627" w:rsidP="00624C89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6DFA" w:rsidRPr="00253FAD" w:rsidRDefault="00B56DFA" w:rsidP="00253FAD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aktív tagságát az alábbiakban rögzített arányoknak megfelelő összetételű, cigány származású és/vagy hátrányos helyzetű egyetemisták vagy főiskolások közössége alkotja.</w:t>
      </w:r>
    </w:p>
    <w:p w:rsidR="00B56DFA" w:rsidRPr="00253FAD" w:rsidRDefault="00B56DFA" w:rsidP="00253FAD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autonóm szervezet, mely alapító okirata alapján, valamint szervezeti és működési szabályzata szerint működik, szakmai programját megvalósítva.</w:t>
      </w:r>
    </w:p>
    <w:p w:rsidR="00B56DFA" w:rsidRPr="00253FAD" w:rsidRDefault="00B56DFA" w:rsidP="00264DF4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szakkollégiumi felvételről és a tagság megszűnéséről a roma szakkollégium nyilvános, szabályozott felvételi eljárás keretében, autonóm módon dönt a saját tagsága által elfogadott szabályrendszer szerint.</w:t>
      </w:r>
    </w:p>
    <w:p w:rsidR="00B56DFA" w:rsidRPr="00253FAD" w:rsidRDefault="00B56DFA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 xml:space="preserve">A roma </w:t>
      </w:r>
      <w:r w:rsidRPr="0061799A">
        <w:rPr>
          <w:rFonts w:ascii="Times New Roman" w:eastAsia="Arial" w:hAnsi="Times New Roman" w:cs="Times New Roman"/>
          <w:sz w:val="24"/>
          <w:szCs w:val="24"/>
        </w:rPr>
        <w:t xml:space="preserve">szakkollégium </w:t>
      </w:r>
      <w:r w:rsidR="001C39F1" w:rsidRPr="0061799A">
        <w:rPr>
          <w:rFonts w:ascii="Times New Roman" w:eastAsia="Arial" w:hAnsi="Times New Roman" w:cs="Times New Roman"/>
          <w:sz w:val="24"/>
          <w:szCs w:val="24"/>
        </w:rPr>
        <w:t>a felsőoktatási képzésben részt vevő</w:t>
      </w:r>
      <w:r w:rsidR="001C39F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253FAD">
        <w:rPr>
          <w:rFonts w:ascii="Times New Roman" w:eastAsia="Arial" w:hAnsi="Times New Roman" w:cs="Times New Roman"/>
          <w:sz w:val="24"/>
          <w:szCs w:val="24"/>
        </w:rPr>
        <w:t>hallgatók együttlakására alkalmas kollégiumi elhelyezés</w:t>
      </w:r>
      <w:r w:rsidR="00070DF7" w:rsidRPr="00253FAD">
        <w:rPr>
          <w:rFonts w:ascii="Times New Roman" w:eastAsia="Arial" w:hAnsi="Times New Roman" w:cs="Times New Roman"/>
          <w:sz w:val="24"/>
          <w:szCs w:val="24"/>
        </w:rPr>
        <w:t>t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biztosít.</w:t>
      </w:r>
    </w:p>
    <w:p w:rsidR="00B56DFA" w:rsidRPr="00253FAD" w:rsidRDefault="00B56DFA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nagy hangsúlyt helyez a felsőoktatási lemorzsolódás megelőzésére, a cigány-magyar kettős identitás megerősítésére, tagjai személyes és szakmai fejlődésére, a tudományos életben való részvételre.</w:t>
      </w:r>
    </w:p>
    <w:p w:rsidR="00B56DFA" w:rsidRPr="00253FAD" w:rsidRDefault="00B56DFA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szakmai munkája egyrészt az adott szakterület oktatóival</w:t>
      </w:r>
      <w:r w:rsidR="00E414FB" w:rsidRPr="00253FAD">
        <w:rPr>
          <w:rFonts w:ascii="Times New Roman" w:eastAsia="Arial" w:hAnsi="Times New Roman" w:cs="Times New Roman"/>
          <w:sz w:val="24"/>
          <w:szCs w:val="24"/>
        </w:rPr>
        <w:t>,</w:t>
      </w:r>
      <w:r w:rsidRPr="00253FAD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414FB" w:rsidRPr="00253FAD">
        <w:rPr>
          <w:rFonts w:ascii="Times New Roman" w:eastAsia="Arial" w:hAnsi="Times New Roman" w:cs="Times New Roman"/>
          <w:sz w:val="24"/>
          <w:szCs w:val="24"/>
        </w:rPr>
        <w:t xml:space="preserve">kutatóival </w:t>
      </w:r>
      <w:r w:rsidRPr="00253FAD">
        <w:rPr>
          <w:rFonts w:ascii="Times New Roman" w:eastAsia="Arial" w:hAnsi="Times New Roman" w:cs="Times New Roman"/>
          <w:sz w:val="24"/>
          <w:szCs w:val="24"/>
        </w:rPr>
        <w:t>való intézményes együttműködésben, másrészt öntevékeny</w:t>
      </w:r>
      <w:r w:rsidR="00E414FB" w:rsidRPr="00253FAD">
        <w:rPr>
          <w:rFonts w:ascii="Times New Roman" w:eastAsia="Arial" w:hAnsi="Times New Roman" w:cs="Times New Roman"/>
          <w:sz w:val="24"/>
          <w:szCs w:val="24"/>
        </w:rPr>
        <w:t>en</w:t>
      </w:r>
      <w:r w:rsidRPr="00253FAD">
        <w:rPr>
          <w:rFonts w:ascii="Times New Roman" w:eastAsia="Arial" w:hAnsi="Times New Roman" w:cs="Times New Roman"/>
          <w:sz w:val="24"/>
          <w:szCs w:val="24"/>
        </w:rPr>
        <w:t>, saját emberi erőforrásainak (hallgatóinak és munkatársainak) közreműködésével folyik.</w:t>
      </w:r>
    </w:p>
    <w:p w:rsidR="00B56DFA" w:rsidRPr="00253FAD" w:rsidRDefault="00B56DFA">
      <w:pPr>
        <w:pStyle w:val="Listaszerbekezds"/>
        <w:numPr>
          <w:ilvl w:val="0"/>
          <w:numId w:val="28"/>
        </w:numPr>
        <w:spacing w:after="280" w:line="240" w:lineRule="auto"/>
        <w:ind w:left="851" w:hanging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253FAD">
        <w:rPr>
          <w:rFonts w:ascii="Times New Roman" w:eastAsia="Arial" w:hAnsi="Times New Roman" w:cs="Times New Roman"/>
          <w:sz w:val="24"/>
          <w:szCs w:val="24"/>
        </w:rPr>
        <w:t>A roma szakkollégium pártoktól független intézmény.</w:t>
      </w:r>
    </w:p>
    <w:p w:rsidR="00B324AE" w:rsidRDefault="00B324AE">
      <w:pPr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br w:type="page"/>
      </w:r>
    </w:p>
    <w:p w:rsidR="00B56DFA" w:rsidRPr="000144E0" w:rsidRDefault="00B56DFA" w:rsidP="00624C89">
      <w:pPr>
        <w:jc w:val="both"/>
        <w:rPr>
          <w:rFonts w:ascii="Times New Roman" w:eastAsia="Arial" w:hAnsi="Times New Roman" w:cs="Times New Roman"/>
        </w:rPr>
      </w:pPr>
    </w:p>
    <w:p w:rsidR="00864FA2" w:rsidRPr="00300C2E" w:rsidRDefault="00A913EE" w:rsidP="0003277A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00C2E">
        <w:rPr>
          <w:rFonts w:ascii="Times New Roman" w:eastAsia="Times New Roman" w:hAnsi="Times New Roman" w:cs="Times New Roman"/>
          <w:b/>
          <w:sz w:val="32"/>
          <w:szCs w:val="32"/>
        </w:rPr>
        <w:t>ALAPELVEK</w:t>
      </w:r>
    </w:p>
    <w:p w:rsidR="00864FA2" w:rsidRPr="007975C4" w:rsidRDefault="00A913EE" w:rsidP="00624C89">
      <w:pPr>
        <w:tabs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0F01">
        <w:rPr>
          <w:rFonts w:ascii="Times New Roman" w:eastAsia="Times New Roman" w:hAnsi="Times New Roman" w:cs="Times New Roman"/>
          <w:sz w:val="24"/>
          <w:szCs w:val="24"/>
        </w:rPr>
        <w:t>Közösség - Szakmaiság - Társadalmi felelősségvállalás</w:t>
      </w:r>
    </w:p>
    <w:p w:rsidR="00864FA2" w:rsidRPr="004874DB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4DF4">
        <w:rPr>
          <w:rFonts w:ascii="Times New Roman" w:eastAsia="Times New Roman" w:hAnsi="Times New Roman" w:cs="Times New Roman"/>
          <w:b/>
          <w:sz w:val="24"/>
          <w:szCs w:val="24"/>
        </w:rPr>
        <w:t>SZAKMAISÁG</w:t>
      </w:r>
    </w:p>
    <w:p w:rsidR="00864FA2" w:rsidRPr="0003277A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013E5" w:rsidRPr="00253FAD">
        <w:rPr>
          <w:rFonts w:ascii="Times New Roman" w:eastAsia="Times New Roman" w:hAnsi="Times New Roman" w:cs="Times New Roman"/>
          <w:sz w:val="24"/>
          <w:szCs w:val="24"/>
        </w:rPr>
        <w:t xml:space="preserve">roma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>szakkollégium saját szakmai programot</w:t>
      </w: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dolgoz ki. A program elemei fejlesztik a hallgatók személyiségét, identitását, szociális készségeit, és hozzájárulnak a kiemelkedő tudományos teljesítményhez. Segít elsajátítani azokat a kompetenciákat, melyek nélkülözhetetlenek a </w:t>
      </w:r>
      <w:r w:rsidR="004702CC" w:rsidRPr="00253FAD">
        <w:rPr>
          <w:rFonts w:ascii="Times New Roman" w:eastAsia="Times New Roman" w:hAnsi="Times New Roman" w:cs="Times New Roman"/>
          <w:sz w:val="24"/>
          <w:szCs w:val="24"/>
        </w:rPr>
        <w:t xml:space="preserve">sikeres </w:t>
      </w:r>
      <w:r w:rsidR="0018264A" w:rsidRPr="00253FAD">
        <w:rPr>
          <w:rFonts w:ascii="Times New Roman" w:eastAsia="Times New Roman" w:hAnsi="Times New Roman" w:cs="Times New Roman"/>
          <w:sz w:val="24"/>
          <w:szCs w:val="24"/>
        </w:rPr>
        <w:t>társadalmi mobilitáshoz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C7C80" w:rsidRPr="00253FAD">
        <w:rPr>
          <w:rFonts w:ascii="Times New Roman" w:eastAsia="Times New Roman" w:hAnsi="Times New Roman" w:cs="Times New Roman"/>
          <w:sz w:val="24"/>
          <w:szCs w:val="24"/>
        </w:rPr>
        <w:t xml:space="preserve">A szakkollégium keretében megvalósuló program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célja, hogy a szakkollégisták a magyar és a cigány kultúrát egyaránt ismerő és értékelő, a cigányság sorsával kapcsolatban felelősen </w:t>
      </w:r>
      <w:r w:rsidR="0018264A" w:rsidRPr="00253FAD">
        <w:rPr>
          <w:rFonts w:ascii="Times New Roman" w:eastAsia="Times New Roman" w:hAnsi="Times New Roman" w:cs="Times New Roman"/>
          <w:sz w:val="24"/>
          <w:szCs w:val="24"/>
        </w:rPr>
        <w:t xml:space="preserve">és autonóm módon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gondolkodó, öntudatos, pozitív szemléletű, értelmiségivé váljanak, akik </w:t>
      </w:r>
      <w:r w:rsidR="0018264A" w:rsidRPr="00253FAD">
        <w:rPr>
          <w:rFonts w:ascii="Times New Roman" w:eastAsia="Times New Roman" w:hAnsi="Times New Roman" w:cs="Times New Roman"/>
          <w:sz w:val="24"/>
          <w:szCs w:val="24"/>
        </w:rPr>
        <w:t xml:space="preserve">lehetőség szerint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képesek aktív közéleti szerepvállalásra, előítéletektől mentesen, valódi közösséget tudnak építeni. </w:t>
      </w:r>
    </w:p>
    <w:p w:rsidR="00864FA2" w:rsidRPr="00253FAD" w:rsidRDefault="00A913EE" w:rsidP="00624C89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64DF4">
        <w:rPr>
          <w:rFonts w:ascii="Times New Roman" w:eastAsia="Times New Roman" w:hAnsi="Times New Roman" w:cs="Times New Roman"/>
          <w:b/>
          <w:sz w:val="24"/>
          <w:szCs w:val="24"/>
        </w:rPr>
        <w:t>TÁRSADALMI FELELŐSSÉGVÁLLALÁS</w:t>
      </w:r>
      <w:r w:rsidR="00F34F91" w:rsidRPr="004874D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F21F28">
        <w:rPr>
          <w:rFonts w:ascii="Times New Roman" w:eastAsia="Times New Roman" w:hAnsi="Times New Roman" w:cs="Times New Roman"/>
          <w:b/>
          <w:sz w:val="24"/>
          <w:szCs w:val="24"/>
        </w:rPr>
        <w:t>FELZÁRKÓZÁS</w:t>
      </w:r>
      <w:r w:rsidR="00F34F91" w:rsidRPr="0073707D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>TEHETSÉGGONDOZÁS</w:t>
      </w:r>
    </w:p>
    <w:p w:rsidR="00864FA2" w:rsidRPr="00253FAD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D96281" w:rsidRPr="00253FAD">
        <w:rPr>
          <w:rFonts w:ascii="Times New Roman" w:eastAsia="Times New Roman" w:hAnsi="Times New Roman" w:cs="Times New Roman"/>
          <w:sz w:val="24"/>
          <w:szCs w:val="24"/>
        </w:rPr>
        <w:t xml:space="preserve">roma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>szakkollégium olyan szellemi és közösségi műhely létrehozására törekszik, ahol a szaktudás, az identitás és önismeret fejlesztésén túl tagjait aktivizálja a társadalmi felelősségvállalás területén.</w:t>
      </w:r>
    </w:p>
    <w:p w:rsidR="00864FA2" w:rsidRPr="00253FAD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szakkollégium hallgatóinak társadalmi hátrányait a lehetőségeihez mérten kompenzálja: ösztöndíjat folyósít, segítséget nyújt számukra az egyetemi közegben történő eligazodáshoz, tanulási módszerek adaptációjához, egyéni célok és célrendszerek megalkotásához, valamint segíti hallgatóit a munkaerőpiacra történő b</w:t>
      </w:r>
      <w:r w:rsidR="00A013E5" w:rsidRPr="00253FAD">
        <w:rPr>
          <w:rFonts w:ascii="Times New Roman" w:eastAsia="Times New Roman" w:hAnsi="Times New Roman" w:cs="Times New Roman"/>
          <w:sz w:val="24"/>
          <w:szCs w:val="24"/>
        </w:rPr>
        <w:t>elépésben.</w:t>
      </w:r>
    </w:p>
    <w:p w:rsidR="00864FA2" w:rsidRPr="00253FAD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>A szakkollégium feladata, hogy támogassa a szakkollégisták tehetséggondozását. Hallgatóit saját szakterületükön kimagasló teljesítményhez segíti, hogy felsőoktatási tanulmányai</w:t>
      </w:r>
      <w:r w:rsidR="008223E9" w:rsidRPr="00253FAD">
        <w:rPr>
          <w:rFonts w:ascii="Times New Roman" w:eastAsia="Times New Roman" w:hAnsi="Times New Roman" w:cs="Times New Roman"/>
          <w:sz w:val="24"/>
          <w:szCs w:val="24"/>
        </w:rPr>
        <w:t>k elvégzésén túl</w:t>
      </w:r>
      <w:r w:rsidR="009965CC" w:rsidRPr="00253F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8223E9" w:rsidRPr="00253FAD">
        <w:rPr>
          <w:rFonts w:ascii="Times New Roman" w:eastAsia="Times New Roman" w:hAnsi="Times New Roman" w:cs="Times New Roman"/>
          <w:sz w:val="24"/>
          <w:szCs w:val="24"/>
        </w:rPr>
        <w:t xml:space="preserve"> az adott szakterületen a tudomány</w:t>
      </w:r>
      <w:r w:rsidR="00D96281" w:rsidRPr="00253FAD">
        <w:rPr>
          <w:rFonts w:ascii="Times New Roman" w:eastAsia="Times New Roman" w:hAnsi="Times New Roman" w:cs="Times New Roman"/>
          <w:sz w:val="24"/>
          <w:szCs w:val="24"/>
        </w:rPr>
        <w:t>os</w:t>
      </w:r>
      <w:r w:rsidR="008223E9" w:rsidRPr="00253FAD">
        <w:rPr>
          <w:rFonts w:ascii="Times New Roman" w:eastAsia="Times New Roman" w:hAnsi="Times New Roman" w:cs="Times New Roman"/>
          <w:sz w:val="24"/>
          <w:szCs w:val="24"/>
        </w:rPr>
        <w:t xml:space="preserve"> életbe is bekapcsolódhassanak</w:t>
      </w:r>
      <w:r w:rsidR="009965CC" w:rsidRPr="00253FAD">
        <w:rPr>
          <w:rFonts w:ascii="Times New Roman" w:eastAsia="Times New Roman" w:hAnsi="Times New Roman" w:cs="Times New Roman"/>
          <w:sz w:val="24"/>
          <w:szCs w:val="24"/>
        </w:rPr>
        <w:t>, és/vagy sikeres szakmai életpályát fussanak be</w:t>
      </w:r>
      <w:r w:rsidR="008223E9" w:rsidRPr="00253F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4FA2" w:rsidRPr="00253FAD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>KÖZÖSSÉG</w:t>
      </w:r>
    </w:p>
    <w:p w:rsidR="00864FA2" w:rsidRPr="00253FAD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013E5" w:rsidRPr="00253FAD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oma </w:t>
      </w:r>
      <w:r w:rsidR="00A013E5" w:rsidRPr="00253FAD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>zakkollégium az egyéni gondoskodás mellett közösséget is épít: a működő együttélést in</w:t>
      </w:r>
      <w:r w:rsidR="00B771C3" w:rsidRPr="00253FAD">
        <w:rPr>
          <w:rFonts w:ascii="Times New Roman" w:eastAsia="Times New Roman" w:hAnsi="Times New Roman" w:cs="Times New Roman"/>
          <w:sz w:val="24"/>
          <w:szCs w:val="24"/>
        </w:rPr>
        <w:t>kl</w:t>
      </w:r>
      <w:r w:rsidR="00EC7C80" w:rsidRPr="00253FAD">
        <w:rPr>
          <w:rFonts w:ascii="Times New Roman" w:eastAsia="Times New Roman" w:hAnsi="Times New Roman" w:cs="Times New Roman"/>
          <w:sz w:val="24"/>
          <w:szCs w:val="24"/>
        </w:rPr>
        <w:t>u</w:t>
      </w:r>
      <w:r w:rsidR="00B771C3" w:rsidRPr="00253FAD">
        <w:rPr>
          <w:rFonts w:ascii="Times New Roman" w:eastAsia="Times New Roman" w:hAnsi="Times New Roman" w:cs="Times New Roman"/>
          <w:sz w:val="24"/>
          <w:szCs w:val="24"/>
        </w:rPr>
        <w:t>zív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 tanulóközösségként kívánja szolgálni. E közösségnek tagjai lehetnek cigány és nem cigány, de a cigányság sorsával kapcsolatban felelősen gondolkodó, a szakkollégium céljaival azonosuló hallgatók. A roma szakkollégium közösségi élet</w:t>
      </w:r>
      <w:r w:rsidR="008223E9" w:rsidRPr="00253FAD">
        <w:rPr>
          <w:rFonts w:ascii="Times New Roman" w:eastAsia="Times New Roman" w:hAnsi="Times New Roman" w:cs="Times New Roman"/>
          <w:sz w:val="24"/>
          <w:szCs w:val="24"/>
        </w:rPr>
        <w:t>ének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 megteremtéséért, annak irányításáért a kollégium minden tagja felelős. A roma szakkollégium alapvetően öntevékeny, együtt</w:t>
      </w:r>
      <w:r w:rsidR="00B56DFA" w:rsidRPr="00253F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>lak</w:t>
      </w:r>
      <w:r w:rsidR="00951567" w:rsidRPr="00253FAD">
        <w:rPr>
          <w:rFonts w:ascii="Times New Roman" w:eastAsia="Times New Roman" w:hAnsi="Times New Roman" w:cs="Times New Roman"/>
          <w:sz w:val="24"/>
          <w:szCs w:val="24"/>
        </w:rPr>
        <w:t>ó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 közösség. </w:t>
      </w:r>
      <w:r w:rsidR="00951567" w:rsidRPr="00253FAD">
        <w:rPr>
          <w:rFonts w:ascii="Times New Roman" w:eastAsia="Times New Roman" w:hAnsi="Times New Roman" w:cs="Times New Roman"/>
          <w:sz w:val="24"/>
          <w:szCs w:val="24"/>
        </w:rPr>
        <w:t>A szakkollégiumok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 xml:space="preserve"> céljainak megvalósulását az intézményi szerveződés segíti elő, </w:t>
      </w:r>
      <w:r w:rsidR="00951567" w:rsidRPr="00253FAD">
        <w:rPr>
          <w:rFonts w:ascii="Times New Roman" w:eastAsia="Times New Roman" w:hAnsi="Times New Roman" w:cs="Times New Roman"/>
          <w:sz w:val="24"/>
          <w:szCs w:val="24"/>
        </w:rPr>
        <w:t xml:space="preserve">biztosítva </w:t>
      </w:r>
      <w:r w:rsidRPr="00253FAD">
        <w:rPr>
          <w:rFonts w:ascii="Times New Roman" w:eastAsia="Times New Roman" w:hAnsi="Times New Roman" w:cs="Times New Roman"/>
          <w:sz w:val="24"/>
          <w:szCs w:val="24"/>
        </w:rPr>
        <w:t>a személyi és infrastrukturális hátteret. A roma szakkollégium széleskörű intézményi partneri kapcsolatrendszer kialakítására törekszik</w:t>
      </w:r>
      <w:r w:rsidR="000C2385" w:rsidRPr="00253FAD">
        <w:rPr>
          <w:rFonts w:ascii="Times New Roman" w:eastAsia="Times New Roman" w:hAnsi="Times New Roman" w:cs="Times New Roman"/>
          <w:sz w:val="24"/>
          <w:szCs w:val="24"/>
        </w:rPr>
        <w:t xml:space="preserve"> a tagok szakmai, tudományos és munkaerő-piaci sikerességének érdekében. </w:t>
      </w:r>
    </w:p>
    <w:p w:rsidR="00F05375" w:rsidRDefault="00F053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F05375" w:rsidSect="00821A02"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299"/>
        </w:sectPr>
      </w:pPr>
    </w:p>
    <w:p w:rsidR="00864FA2" w:rsidRDefault="00A913EE" w:rsidP="00F4438E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53FAD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MINIMUM ELVÁRÁSOK</w:t>
      </w:r>
      <w:r w:rsidR="00347F5E" w:rsidRPr="00253FAD">
        <w:rPr>
          <w:rFonts w:ascii="Times New Roman" w:eastAsia="Times New Roman" w:hAnsi="Times New Roman" w:cs="Times New Roman"/>
          <w:b/>
          <w:sz w:val="32"/>
          <w:szCs w:val="32"/>
        </w:rPr>
        <w:t>, ÉRTÉKELÉS</w:t>
      </w:r>
    </w:p>
    <w:p w:rsidR="00864FA2" w:rsidRPr="00253FAD" w:rsidRDefault="00864FA2" w:rsidP="00496F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54C0" w:rsidRPr="00175642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>A roma szakkollégiummá válás minősítéséhez</w:t>
      </w:r>
      <w:r w:rsidR="00C51DEC"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 a kötelező elemek </w:t>
      </w:r>
      <w:r w:rsidR="00C51DEC" w:rsidRPr="00F21F28">
        <w:rPr>
          <w:rFonts w:ascii="Times New Roman" w:eastAsia="Times New Roman" w:hAnsi="Times New Roman" w:cs="Times New Roman"/>
          <w:b/>
          <w:sz w:val="24"/>
          <w:szCs w:val="24"/>
        </w:rPr>
        <w:t>egyértelmű teljesítése</w:t>
      </w:r>
      <w:r w:rsidR="00C226A0" w:rsidRPr="00F21F28">
        <w:rPr>
          <w:rFonts w:ascii="Times New Roman" w:eastAsia="Times New Roman" w:hAnsi="Times New Roman" w:cs="Times New Roman"/>
          <w:b/>
          <w:sz w:val="24"/>
          <w:szCs w:val="24"/>
        </w:rPr>
        <w:t xml:space="preserve"> szükséges, ami </w:t>
      </w:r>
      <w:r w:rsidR="00300C2E">
        <w:rPr>
          <w:rFonts w:ascii="Times New Roman" w:eastAsia="Times New Roman" w:hAnsi="Times New Roman" w:cs="Times New Roman"/>
          <w:b/>
          <w:sz w:val="24"/>
          <w:szCs w:val="24"/>
        </w:rPr>
        <w:t>összesen</w:t>
      </w:r>
      <w:r w:rsidR="00C226A0" w:rsidRPr="00300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946D2">
        <w:rPr>
          <w:rFonts w:ascii="Times New Roman" w:eastAsia="Times New Roman" w:hAnsi="Times New Roman" w:cs="Times New Roman"/>
          <w:b/>
          <w:sz w:val="24"/>
          <w:szCs w:val="24"/>
        </w:rPr>
        <w:t xml:space="preserve">maximum </w:t>
      </w:r>
      <w:r w:rsidR="000144E0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1946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47F5E" w:rsidRPr="000144E0">
        <w:rPr>
          <w:rFonts w:ascii="Times New Roman" w:eastAsia="Times New Roman" w:hAnsi="Times New Roman" w:cs="Times New Roman"/>
          <w:b/>
          <w:sz w:val="24"/>
          <w:szCs w:val="24"/>
        </w:rPr>
        <w:t>pont.</w:t>
      </w:r>
      <w:r w:rsidR="00300C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26A0" w:rsidRPr="000144E0">
        <w:rPr>
          <w:rFonts w:ascii="Times New Roman" w:eastAsia="Times New Roman" w:hAnsi="Times New Roman" w:cs="Times New Roman"/>
          <w:b/>
          <w:sz w:val="24"/>
          <w:szCs w:val="24"/>
        </w:rPr>
        <w:t xml:space="preserve">A szakkollégiumi munka minőségét fejezik ki a további megszerezhető pontok, melyek maximális értéke: </w:t>
      </w:r>
      <w:r w:rsidR="000144E0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0376A8" w:rsidRPr="000144E0">
        <w:rPr>
          <w:rFonts w:ascii="Times New Roman" w:eastAsia="Times New Roman" w:hAnsi="Times New Roman" w:cs="Times New Roman"/>
          <w:b/>
          <w:sz w:val="24"/>
          <w:szCs w:val="24"/>
        </w:rPr>
        <w:t xml:space="preserve"> pont. Mindösszesen a maximális pontszám </w:t>
      </w:r>
      <w:r w:rsidR="000144E0">
        <w:rPr>
          <w:rFonts w:ascii="Times New Roman" w:eastAsia="Times New Roman" w:hAnsi="Times New Roman" w:cs="Times New Roman"/>
          <w:b/>
          <w:sz w:val="24"/>
          <w:szCs w:val="24"/>
        </w:rPr>
        <w:t>47</w:t>
      </w:r>
      <w:r w:rsidR="001946D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1946D2"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Ahhoz, hogy a </w:t>
      </w:r>
      <w:proofErr w:type="gramStart"/>
      <w:r w:rsidR="001946D2" w:rsidRPr="00175642">
        <w:rPr>
          <w:rFonts w:ascii="Times New Roman" w:eastAsia="Times New Roman" w:hAnsi="Times New Roman" w:cs="Times New Roman"/>
          <w:b/>
          <w:sz w:val="24"/>
          <w:szCs w:val="24"/>
        </w:rPr>
        <w:t>Tanács támogató</w:t>
      </w:r>
      <w:proofErr w:type="gramEnd"/>
      <w:r w:rsidR="001946D2"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 szakmai véleményét megkapja egy szakkollégium a maximális pontszám legalább 60%-át kell elérnie (2</w:t>
      </w:r>
      <w:r w:rsidR="004D4EC3" w:rsidRPr="0017564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946D2"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 pont), úgy hogy a kötelező elemek</w:t>
      </w:r>
      <w:r w:rsidR="0055732D" w:rsidRPr="00175642">
        <w:rPr>
          <w:rFonts w:ascii="Times New Roman" w:eastAsia="Times New Roman" w:hAnsi="Times New Roman" w:cs="Times New Roman"/>
          <w:b/>
          <w:sz w:val="24"/>
          <w:szCs w:val="24"/>
        </w:rPr>
        <w:t>ből</w:t>
      </w:r>
      <w:r w:rsidR="001946D2"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 minimum 19 pontot kell kapnia.</w:t>
      </w:r>
    </w:p>
    <w:p w:rsidR="001946D2" w:rsidRDefault="001946D2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642">
        <w:rPr>
          <w:rFonts w:ascii="Times New Roman" w:eastAsia="Times New Roman" w:hAnsi="Times New Roman" w:cs="Times New Roman"/>
          <w:b/>
          <w:sz w:val="24"/>
          <w:szCs w:val="24"/>
        </w:rPr>
        <w:t>Azoknál a kötelező elemeknél ahol 0 vagy 1 pont adható a 0 pont a kérelem automatikus elutasítását jelenti.</w:t>
      </w:r>
    </w:p>
    <w:p w:rsidR="00864FA2" w:rsidRPr="00DB021E" w:rsidRDefault="00A913EE" w:rsidP="00624C8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C2E">
        <w:rPr>
          <w:rFonts w:ascii="Times New Roman" w:eastAsia="Times New Roman" w:hAnsi="Times New Roman" w:cs="Times New Roman"/>
          <w:b/>
          <w:sz w:val="24"/>
          <w:szCs w:val="24"/>
        </w:rPr>
        <w:t>A m</w:t>
      </w:r>
      <w:r w:rsidR="00A013E5" w:rsidRPr="00300C2E">
        <w:rPr>
          <w:rFonts w:ascii="Times New Roman" w:eastAsia="Times New Roman" w:hAnsi="Times New Roman" w:cs="Times New Roman"/>
          <w:b/>
          <w:sz w:val="24"/>
          <w:szCs w:val="24"/>
        </w:rPr>
        <w:t>inősítés 3 év időtartamra szól.</w:t>
      </w:r>
    </w:p>
    <w:p w:rsidR="00E216A2" w:rsidRPr="00264DF4" w:rsidRDefault="00E216A2" w:rsidP="00264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6A2" w:rsidRPr="00253FAD" w:rsidRDefault="00E21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A minősítési folyamat alapvető követelménye az Oktatási Hivatal által nyilvántartásba vett felsőoktatási kollégium vagy diákotthonról szóló igazolás. </w:t>
      </w:r>
      <w:r w:rsidR="0022290E"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Az értékelés során figyelembe kell venni, hogy egy új szakkollégium esetében bizonyos követelmények </w:t>
      </w:r>
      <w:r w:rsidR="002E3A79"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vállalásoknak </w:t>
      </w:r>
      <w:r w:rsidR="0022290E" w:rsidRPr="00253FAD">
        <w:rPr>
          <w:rFonts w:ascii="Times New Roman" w:eastAsia="Times New Roman" w:hAnsi="Times New Roman" w:cs="Times New Roman"/>
          <w:b/>
          <w:sz w:val="24"/>
          <w:szCs w:val="24"/>
        </w:rPr>
        <w:t>tekintendőek.</w:t>
      </w:r>
      <w:r w:rsidR="00793203" w:rsidRPr="00253F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93203" w:rsidRPr="00253FAD" w:rsidRDefault="00793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F9E" w:rsidRPr="00B324AE" w:rsidRDefault="00FD3F9E" w:rsidP="00FD3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A vizsgált dokumentumokat a természetes személyek személyes adatai és különleges adatainak védelme érdekében a hatályos magyar és európai uniós adatvédelmi szabályozást </w:t>
      </w:r>
      <w:proofErr w:type="gramStart"/>
      <w:r w:rsidRPr="00175642">
        <w:rPr>
          <w:rFonts w:ascii="Times New Roman" w:eastAsia="Times New Roman" w:hAnsi="Times New Roman" w:cs="Times New Roman"/>
          <w:b/>
          <w:sz w:val="24"/>
          <w:szCs w:val="24"/>
        </w:rPr>
        <w:t>betartva</w:t>
      </w:r>
      <w:proofErr w:type="gramEnd"/>
      <w:r w:rsidRPr="00175642">
        <w:rPr>
          <w:rFonts w:ascii="Times New Roman" w:eastAsia="Times New Roman" w:hAnsi="Times New Roman" w:cs="Times New Roman"/>
          <w:b/>
          <w:sz w:val="24"/>
          <w:szCs w:val="24"/>
        </w:rPr>
        <w:t xml:space="preserve"> álnevesítve kell a Tanács részére benyújtani.</w:t>
      </w:r>
      <w:bookmarkStart w:id="0" w:name="_GoBack"/>
      <w:bookmarkEnd w:id="0"/>
    </w:p>
    <w:p w:rsidR="00A013E5" w:rsidRPr="00300C2E" w:rsidRDefault="00A013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139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84"/>
        <w:gridCol w:w="4214"/>
        <w:gridCol w:w="3396"/>
      </w:tblGrid>
      <w:tr w:rsidR="00864FA2" w:rsidRPr="00253FAD" w:rsidTr="00624C89">
        <w:tc>
          <w:tcPr>
            <w:tcW w:w="6384" w:type="dxa"/>
            <w:shd w:val="clear" w:color="auto" w:fill="00B0F0"/>
            <w:vAlign w:val="center"/>
          </w:tcPr>
          <w:p w:rsidR="00864FA2" w:rsidRPr="00E73745" w:rsidRDefault="00A913EE" w:rsidP="00624C89">
            <w:pPr>
              <w:numPr>
                <w:ilvl w:val="0"/>
                <w:numId w:val="1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02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Alapvető követelmények és alapelvek vizsgálata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864FA2" w:rsidRPr="00250F01" w:rsidRDefault="00A913EE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DD4A61" w:rsidRDefault="00A913EE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5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</w:t>
            </w:r>
            <w:r w:rsidRPr="000D27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umentumok</w:t>
            </w:r>
          </w:p>
        </w:tc>
      </w:tr>
      <w:tr w:rsidR="00864FA2" w:rsidRPr="00253FAD" w:rsidTr="00624C89">
        <w:tc>
          <w:tcPr>
            <w:tcW w:w="6384" w:type="dxa"/>
            <w:vAlign w:val="center"/>
          </w:tcPr>
          <w:p w:rsidR="00B56DFA" w:rsidRPr="00253FAD" w:rsidRDefault="00A913EE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 alapdokumentumainak a fentebb bemutatott alapvető követelményekhez</w:t>
            </w:r>
            <w:r w:rsidR="00BC63C7"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alapelvekhez</w:t>
            </w:r>
            <w:r w:rsidRPr="000D27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kell igazodniuk a szakkollégium célcsoportját, célját, működési alapelveit tekintve. A szakkollégium saját szakmai programot dolgoz ki, amelynek alappillérei a szakmaiság, a társadalmi felelősségvállalás, felzárkózás és tehetséggondozás, valamint a közöss</w:t>
            </w: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ég. Működésének célja, hogy magas szintű</w:t>
            </w:r>
            <w:r w:rsidR="003F460B"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képzés nyújtása és a tehetséggondozás feladata mellett segítse a hallgatókat esetleges társadalmi hátrányaik leküzdésében, valamint </w:t>
            </w:r>
            <w:r w:rsidR="00C11ADC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kölcsönös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társadalmi felelősségvállalása részeként segítse a társadalmi problémákra érzékeny, szakmailag igényes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értelmiség nevelését. A nevelés közösségben történik, és hangsúlyt helyez a megfelelő tárgy</w:t>
            </w:r>
            <w:r w:rsidR="000B12FB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szem</w:t>
            </w:r>
            <w:r w:rsidR="00B56DFA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élyi feltételek megteremtésére.</w:t>
            </w:r>
          </w:p>
        </w:tc>
        <w:tc>
          <w:tcPr>
            <w:tcW w:w="4214" w:type="dxa"/>
            <w:vAlign w:val="center"/>
          </w:tcPr>
          <w:p w:rsidR="00BB2DFE" w:rsidRPr="00624C89" w:rsidRDefault="00BB2DFE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Kötelező elem (0 vagy 1 pont)</w:t>
            </w:r>
          </w:p>
          <w:p w:rsidR="00864FA2" w:rsidRPr="00BB2DFE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2DFE">
              <w:rPr>
                <w:rFonts w:ascii="Times New Roman" w:eastAsia="Times New Roman" w:hAnsi="Times New Roman" w:cs="Times New Roman"/>
                <w:sz w:val="24"/>
                <w:szCs w:val="24"/>
              </w:rPr>
              <w:t>Teljes mértékben megfelelt: 1 pont</w:t>
            </w:r>
          </w:p>
          <w:p w:rsidR="00864FA2" w:rsidRPr="00253FAD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Nem felelt meg: 0 pont</w:t>
            </w:r>
          </w:p>
          <w:p w:rsidR="00864FA2" w:rsidRPr="00624C89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Követelmény:</w:t>
            </w:r>
          </w:p>
          <w:p w:rsidR="00864FA2" w:rsidRPr="00253FAD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fentiekben leírt alapvető követelményeknek és alapelveknek való megfelelés szándéka</w:t>
            </w:r>
            <w:r w:rsidR="001A5BB2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4FA2" w:rsidRPr="00253FAD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Ha valamelyik elem nem szerepel, a </w:t>
            </w: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kérelem elutasításra kerül. Ebben az értékelési szempontban köztes pont nem adható.</w:t>
            </w:r>
          </w:p>
        </w:tc>
        <w:tc>
          <w:tcPr>
            <w:tcW w:w="3396" w:type="dxa"/>
            <w:vAlign w:val="center"/>
          </w:tcPr>
          <w:p w:rsidR="00864FA2" w:rsidRPr="00253FAD" w:rsidRDefault="004543FE" w:rsidP="00624C89">
            <w:pPr>
              <w:numPr>
                <w:ilvl w:val="0"/>
                <w:numId w:val="37"/>
              </w:numPr>
              <w:spacing w:line="276" w:lineRule="auto"/>
              <w:ind w:left="349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 szakkollégium a</w:t>
            </w:r>
            <w:r w:rsidR="00A913EE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lapító okirat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  <w:p w:rsidR="00864FA2" w:rsidRPr="00253FAD" w:rsidRDefault="004543FE" w:rsidP="00624C89">
            <w:pPr>
              <w:numPr>
                <w:ilvl w:val="0"/>
                <w:numId w:val="37"/>
              </w:numPr>
              <w:spacing w:line="276" w:lineRule="auto"/>
              <w:ind w:left="349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 szervezeti és működési szabályzata</w:t>
            </w:r>
          </w:p>
          <w:p w:rsidR="00864FA2" w:rsidRPr="00253FAD" w:rsidRDefault="00A913EE" w:rsidP="00624C89">
            <w:pPr>
              <w:numPr>
                <w:ilvl w:val="0"/>
                <w:numId w:val="37"/>
              </w:numPr>
              <w:spacing w:line="276" w:lineRule="auto"/>
              <w:ind w:left="349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Szakmai </w:t>
            </w:r>
            <w:r w:rsidR="00B17C09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és/vagy pedagógiai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program</w:t>
            </w:r>
          </w:p>
        </w:tc>
      </w:tr>
      <w:tr w:rsidR="00864FA2" w:rsidRPr="00253FAD" w:rsidTr="00624C89">
        <w:tc>
          <w:tcPr>
            <w:tcW w:w="6384" w:type="dxa"/>
            <w:shd w:val="clear" w:color="auto" w:fill="00B0F0"/>
            <w:vAlign w:val="center"/>
          </w:tcPr>
          <w:p w:rsidR="00864FA2" w:rsidRPr="0042580E" w:rsidRDefault="00A913EE" w:rsidP="000D27AA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Szakmai program vizsgálata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864FA2" w:rsidRPr="00802936" w:rsidRDefault="00A913EE" w:rsidP="00264D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02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507349" w:rsidRDefault="00A913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34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1372EE" w:rsidRPr="00253FAD" w:rsidTr="00624C89">
        <w:trPr>
          <w:trHeight w:val="6709"/>
        </w:trPr>
        <w:tc>
          <w:tcPr>
            <w:tcW w:w="6384" w:type="dxa"/>
            <w:vAlign w:val="center"/>
          </w:tcPr>
          <w:p w:rsidR="001372EE" w:rsidRPr="00E73745" w:rsidRDefault="001372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Ebben a pontban a szakmai program részleteit szükséges vizsgálni: a fent leírt alapvető követelmények és alapelvek mellett </w:t>
            </w:r>
            <w:r w:rsidRPr="00B25643">
              <w:rPr>
                <w:rFonts w:ascii="Times New Roman" w:eastAsia="Times New Roman" w:hAnsi="Times New Roman" w:cs="Times New Roman"/>
                <w:sz w:val="24"/>
                <w:szCs w:val="24"/>
              </w:rPr>
              <w:t>megtalálhatóak-e benne az itt ismertetett követelmények.</w:t>
            </w:r>
          </w:p>
        </w:tc>
        <w:tc>
          <w:tcPr>
            <w:tcW w:w="4214" w:type="dxa"/>
            <w:vAlign w:val="center"/>
          </w:tcPr>
          <w:p w:rsidR="007A6E5B" w:rsidRPr="00624C89" w:rsidRDefault="005125B0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Kötelező elemek</w:t>
            </w:r>
            <w:r w:rsidR="007A6E5B"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 0-5 pont</w:t>
            </w:r>
          </w:p>
          <w:p w:rsidR="001372EE" w:rsidRPr="00E73745" w:rsidRDefault="001372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745">
              <w:rPr>
                <w:rFonts w:ascii="Times New Roman" w:eastAsia="Times New Roman" w:hAnsi="Times New Roman" w:cs="Times New Roman"/>
                <w:sz w:val="24"/>
                <w:szCs w:val="24"/>
              </w:rPr>
              <w:t>Teljes mértékben megfelelt: 5 pont</w:t>
            </w:r>
          </w:p>
          <w:p w:rsidR="001372EE" w:rsidRPr="00E73745" w:rsidRDefault="001372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745">
              <w:rPr>
                <w:rFonts w:ascii="Times New Roman" w:eastAsia="Times New Roman" w:hAnsi="Times New Roman" w:cs="Times New Roman"/>
                <w:sz w:val="24"/>
                <w:szCs w:val="24"/>
              </w:rPr>
              <w:t>Részben megfelelt: 1-4 pont</w:t>
            </w:r>
          </w:p>
          <w:p w:rsidR="001372EE" w:rsidRPr="00F57F52" w:rsidRDefault="001372EE" w:rsidP="007975C4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59ED">
              <w:rPr>
                <w:rFonts w:ascii="Times New Roman" w:eastAsia="Times New Roman" w:hAnsi="Times New Roman" w:cs="Times New Roman"/>
                <w:sz w:val="24"/>
                <w:szCs w:val="24"/>
              </w:rPr>
              <w:t>Nem felelt meg: 0 pont</w:t>
            </w:r>
          </w:p>
          <w:p w:rsidR="001372EE" w:rsidRPr="00624C89" w:rsidRDefault="001372EE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Követelmények:</w:t>
            </w:r>
          </w:p>
          <w:p w:rsidR="001372EE" w:rsidRPr="007975C4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25643">
              <w:rPr>
                <w:rFonts w:ascii="Times New Roman" w:eastAsia="Times New Roman" w:hAnsi="Times New Roman" w:cs="Times New Roman"/>
                <w:sz w:val="24"/>
                <w:szCs w:val="24"/>
              </w:rPr>
              <w:t>hallgatók személyiségének, identitásának fejlesztése</w:t>
            </w:r>
            <w:r w:rsidRPr="009259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különös hangsúlyt fektetve a cigány-magyar kettős identitásra</w:t>
            </w:r>
          </w:p>
          <w:p w:rsidR="001372EE" w:rsidRPr="00C779E9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egyéni és </w:t>
            </w:r>
            <w:r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>szociális kompetenciák fejlesztése</w:t>
            </w:r>
          </w:p>
          <w:p w:rsidR="001372EE" w:rsidRPr="004874DB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779E9">
              <w:rPr>
                <w:rFonts w:ascii="Times New Roman" w:eastAsia="Times New Roman" w:hAnsi="Times New Roman" w:cs="Times New Roman"/>
                <w:sz w:val="24"/>
                <w:szCs w:val="24"/>
              </w:rPr>
              <w:t>tudományos tevékenység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roma kultúra megismerése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munkaerő-piaci belépést elősegítő kompetenciák fejlesztése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társadalmi felelősségvállalás ösztönzése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felzárkózás/hátránykompenzáció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tehetséggondozás</w:t>
            </w:r>
          </w:p>
          <w:p w:rsidR="001372EE" w:rsidRPr="00253FAD" w:rsidRDefault="001372EE" w:rsidP="00624C89">
            <w:pPr>
              <w:numPr>
                <w:ilvl w:val="0"/>
                <w:numId w:val="38"/>
              </w:numPr>
              <w:ind w:left="420" w:hanging="4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közösségfejlesztés</w:t>
            </w:r>
          </w:p>
          <w:p w:rsidR="001372EE" w:rsidRDefault="001372EE" w:rsidP="00624C8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tanulmányi előmenetel elősegítése</w:t>
            </w:r>
          </w:p>
          <w:p w:rsidR="001372EE" w:rsidRPr="00F57F52" w:rsidRDefault="001372EE" w:rsidP="00496FD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:rsidR="001372EE" w:rsidRPr="00387E79" w:rsidRDefault="001372EE" w:rsidP="00624C89">
            <w:pPr>
              <w:pStyle w:val="Listaszerbekezds"/>
              <w:ind w:left="6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87E79">
              <w:rPr>
                <w:rFonts w:ascii="Times New Roman" w:eastAsia="Times New Roman" w:hAnsi="Times New Roman" w:cs="Times New Roman"/>
                <w:sz w:val="24"/>
                <w:szCs w:val="24"/>
              </w:rPr>
              <w:t>Szakmai és/vagy pedagógiai program</w:t>
            </w:r>
          </w:p>
        </w:tc>
      </w:tr>
      <w:tr w:rsidR="00864FA2" w:rsidRPr="00253FAD" w:rsidTr="00624C89">
        <w:trPr>
          <w:trHeight w:val="700"/>
        </w:trPr>
        <w:tc>
          <w:tcPr>
            <w:tcW w:w="6384" w:type="dxa"/>
            <w:shd w:val="clear" w:color="auto" w:fill="00B0F0"/>
            <w:vAlign w:val="center"/>
          </w:tcPr>
          <w:p w:rsidR="00864FA2" w:rsidRPr="0042580E" w:rsidRDefault="00A913EE" w:rsidP="000D27AA">
            <w:pPr>
              <w:numPr>
                <w:ilvl w:val="0"/>
                <w:numId w:val="11"/>
              </w:num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Létszám vizsgálata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864FA2" w:rsidRPr="00F4223C" w:rsidRDefault="00A913EE" w:rsidP="00264D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26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7975C4" w:rsidRDefault="00A913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2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864FA2" w:rsidRPr="00253FAD" w:rsidTr="00624C89">
        <w:tc>
          <w:tcPr>
            <w:tcW w:w="6384" w:type="dxa"/>
            <w:vAlign w:val="center"/>
          </w:tcPr>
          <w:p w:rsidR="00B240A6" w:rsidRPr="000144E0" w:rsidRDefault="00A913EE" w:rsidP="00624C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szakkollégiumok hallgatói létszáma</w:t>
            </w:r>
            <w:r w:rsidR="00B240A6" w:rsidRPr="00425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maximum 50 fő</w:t>
            </w:r>
          </w:p>
          <w:p w:rsidR="00B240A6" w:rsidRPr="007975C4" w:rsidRDefault="00B240A6" w:rsidP="00624C89">
            <w:pPr>
              <w:pStyle w:val="Listaszerbekezds"/>
              <w:numPr>
                <w:ilvl w:val="0"/>
                <w:numId w:val="18"/>
              </w:num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C2E">
              <w:rPr>
                <w:rFonts w:ascii="Times New Roman" w:eastAsia="Times New Roman" w:hAnsi="Times New Roman" w:cs="Times New Roman"/>
                <w:sz w:val="24"/>
                <w:szCs w:val="24"/>
              </w:rPr>
              <w:t>induló szakkollégiumnál minimum 12</w:t>
            </w:r>
            <w:r w:rsidRPr="008029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fő</w:t>
            </w:r>
            <w:r w:rsidR="005913DC" w:rsidRPr="00F57F52">
              <w:rPr>
                <w:rFonts w:ascii="Times New Roman" w:eastAsia="Times New Roman" w:hAnsi="Times New Roman" w:cs="Times New Roman"/>
                <w:sz w:val="24"/>
                <w:szCs w:val="24"/>
              </w:rPr>
              <w:t>, vállalva, hogy a következő tanév statisztikai jelentéséne</w:t>
            </w:r>
            <w:r w:rsidR="007347E9" w:rsidRPr="00F57F52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5913DC" w:rsidRPr="00F57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időpontjára (október 15) legalább 20 főre növelik</w:t>
            </w:r>
            <w:r w:rsidR="007347E9"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létszámot,</w:t>
            </w:r>
          </w:p>
          <w:p w:rsidR="00864FA2" w:rsidRPr="00253FAD" w:rsidRDefault="005913DC" w:rsidP="00624C89">
            <w:pPr>
              <w:pStyle w:val="Listaszerbekezds"/>
              <w:numPr>
                <w:ilvl w:val="0"/>
                <w:numId w:val="18"/>
              </w:num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már működő szakkollégium esetén</w:t>
            </w:r>
            <w:r w:rsidR="007347E9"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13EE"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>minimum 20</w:t>
            </w:r>
            <w:r w:rsidRPr="00937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fő az október 15-ei létszám</w:t>
            </w:r>
            <w:r w:rsidR="00A913EE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B56DFA" w:rsidRPr="00253FAD" w:rsidRDefault="00A913EE" w:rsidP="00624C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szakkollégiumi közösség stabilitását célozva</w:t>
            </w:r>
            <w:r w:rsidR="00B240A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szakkollégiumi létszám legalább 60 százaléka minimum </w:t>
            </w:r>
            <w:r w:rsidR="005C5E9F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kétszemeszternyi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szakkollégiumi tagsággal rendelkezzen</w:t>
            </w:r>
            <w:r w:rsidR="005913DC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már legalább egy éve működő szakkollégium esetén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14" w:type="dxa"/>
            <w:vAlign w:val="center"/>
          </w:tcPr>
          <w:p w:rsidR="00160FC0" w:rsidRPr="00624C89" w:rsidRDefault="00160FC0" w:rsidP="00624C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Kötelező elem (0 vagy 5 pont)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160FC0" w:rsidRDefault="00160FC0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FA2" w:rsidRPr="00253FAD" w:rsidRDefault="00A913EE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FC0">
              <w:rPr>
                <w:rFonts w:ascii="Times New Roman" w:eastAsia="Times New Roman" w:hAnsi="Times New Roman" w:cs="Times New Roman"/>
                <w:sz w:val="24"/>
                <w:szCs w:val="24"/>
              </w:rPr>
              <w:t>Teljes mértékben megfelelt</w:t>
            </w:r>
            <w:r w:rsidR="0037074C" w:rsidRPr="00160FC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621B2" w:rsidRPr="00160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 fő 5 pont</w:t>
            </w:r>
          </w:p>
          <w:p w:rsidR="00F621B2" w:rsidRPr="00253FAD" w:rsidRDefault="00F621B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7074C" w:rsidRPr="00253FAD" w:rsidRDefault="00F621B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Többletpont: (20 fő fölötti létszám)</w:t>
            </w:r>
            <w:r w:rsidR="00E216A2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esetén 2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pont </w:t>
            </w:r>
          </w:p>
          <w:p w:rsidR="00864FA2" w:rsidRPr="00253FAD" w:rsidRDefault="00864FA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FA2" w:rsidRPr="00253FAD" w:rsidRDefault="00A913EE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Nem felelt meg (</w:t>
            </w:r>
            <w:r w:rsidR="005913DC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már működő esetén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20 főnél kevesebb</w:t>
            </w:r>
            <w:r w:rsidR="005913DC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, illetve indulónál 12 főnél kevesebb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): 0 pont</w:t>
            </w:r>
          </w:p>
          <w:p w:rsidR="00864FA2" w:rsidRPr="00253FAD" w:rsidRDefault="00864FA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:rsidR="006449A7" w:rsidRPr="00624C89" w:rsidRDefault="0037074C" w:rsidP="00624C89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B859D5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agsági szer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951567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ő</w:t>
            </w:r>
            <w:r w:rsidR="00B859D5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dés</w:t>
            </w:r>
            <w:r w:rsidR="00496FBA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(ú</w:t>
            </w:r>
            <w:r w:rsidR="006449A7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jonnan létesülő roma szakkollégium esetén nyilatkozat a tervezett szakkollégiumi létszámról</w:t>
            </w:r>
            <w:r w:rsidR="00496FBA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64FA2" w:rsidRPr="00253FAD" w:rsidTr="00624C89">
        <w:trPr>
          <w:trHeight w:val="680"/>
        </w:trPr>
        <w:tc>
          <w:tcPr>
            <w:tcW w:w="6384" w:type="dxa"/>
            <w:shd w:val="clear" w:color="auto" w:fill="00B0F0"/>
            <w:vAlign w:val="center"/>
          </w:tcPr>
          <w:p w:rsidR="00864FA2" w:rsidRPr="000144E0" w:rsidRDefault="00A913EE" w:rsidP="000D27AA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Szakkollégiumi hallgatók </w:t>
            </w:r>
            <w:r w:rsidRPr="00425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összetételének vizsgálata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864FA2" w:rsidRPr="000D27AA" w:rsidRDefault="00A913EE" w:rsidP="00264D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5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DD4A61" w:rsidRDefault="00A913E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7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864FA2" w:rsidRPr="00253FAD" w:rsidTr="00624C89">
        <w:tc>
          <w:tcPr>
            <w:tcW w:w="6384" w:type="dxa"/>
            <w:vAlign w:val="center"/>
          </w:tcPr>
          <w:p w:rsidR="00D25E5A" w:rsidRPr="000D27AA" w:rsidRDefault="00D25E5A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42580E">
              <w:rPr>
                <w:rFonts w:ascii="Times New Roman" w:eastAsia="Times New Roman" w:hAnsi="Times New Roman" w:cs="Times New Roman"/>
                <w:sz w:val="24"/>
                <w:szCs w:val="24"/>
              </w:rPr>
              <w:t>z értékelés során</w:t>
            </w:r>
            <w:r w:rsidRPr="0001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E2DFF" w:rsidRPr="00300C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csak </w:t>
            </w:r>
            <w:r w:rsidRPr="00802936">
              <w:rPr>
                <w:rFonts w:ascii="Times New Roman" w:eastAsia="Times New Roman" w:hAnsi="Times New Roman" w:cs="Times New Roman"/>
                <w:sz w:val="24"/>
                <w:szCs w:val="24"/>
              </w:rPr>
              <w:t>a felsőoktatási hallgatói jogviszonnyal rendelkező hallgató</w:t>
            </w:r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>kat veszi figyelembe a Tanács.</w:t>
            </w:r>
          </w:p>
          <w:p w:rsidR="00CF6828" w:rsidRPr="001C6D7D" w:rsidRDefault="00CF6828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4FA2" w:rsidRPr="00253FAD" w:rsidRDefault="00365B04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B5E">
              <w:rPr>
                <w:rFonts w:ascii="Times New Roman" w:eastAsia="Times New Roman" w:hAnsi="Times New Roman" w:cs="Times New Roman"/>
                <w:sz w:val="24"/>
                <w:szCs w:val="24"/>
              </w:rPr>
              <w:t>A kiválasztási folyamat során biztosítani kell, hogy a szakkollégium tagjai között a</w:t>
            </w:r>
            <w:r w:rsidR="000B12FB"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magukat </w:t>
            </w:r>
            <w:r w:rsidR="000B12FB"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>az önbevallás alapján</w:t>
            </w:r>
            <w:r w:rsidR="00385E8D" w:rsidRPr="00937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cigány származásúnak valló hallgatók aránya </w:t>
            </w:r>
            <w:r w:rsidR="00F621B2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elérje a 60 %-ot</w:t>
            </w:r>
            <w:proofErr w:type="gramStart"/>
            <w:r w:rsidR="00F621B2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23E7F" w:rsidRPr="00253FAD" w:rsidRDefault="00523E7F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Roma szakkollégiumi hallgató lehet roma származású, vagy a nemzeti felsőoktatási törvény 108. §</w:t>
            </w:r>
            <w:proofErr w:type="spellStart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-ának</w:t>
            </w:r>
            <w:proofErr w:type="spellEnd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 pontjában meghatározott feltételek szerint hátrányos helyzetű, vagy 9. pontjában meghatározott feltételek szerint halmozottan hátrányos helyzetű, hallgatói jogviszonnyal rendelkező hallgató. Annak érdekében, hogy a szakkollégiumok minél inkább segítsék az integrációs folyamatokat, az együttélést és a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társadalmi együttműködést erősítsék, a hallgatók legfeljebb 20%-áig bevonhatóak a fenti hallgatói körön kívüli hallgatók is.</w:t>
            </w:r>
          </w:p>
        </w:tc>
        <w:tc>
          <w:tcPr>
            <w:tcW w:w="4214" w:type="dxa"/>
            <w:vAlign w:val="center"/>
          </w:tcPr>
          <w:p w:rsidR="005D4E85" w:rsidRDefault="005D4E85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E85" w:rsidRPr="00624C89" w:rsidRDefault="005D4E85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Kötelező elem (0 vagy 1 pont):</w:t>
            </w:r>
          </w:p>
          <w:p w:rsidR="00864FA2" w:rsidRPr="005D4E85" w:rsidRDefault="00A913E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E85">
              <w:rPr>
                <w:rFonts w:ascii="Times New Roman" w:eastAsia="Times New Roman" w:hAnsi="Times New Roman" w:cs="Times New Roman"/>
                <w:sz w:val="24"/>
                <w:szCs w:val="24"/>
              </w:rPr>
              <w:t>Teljes mértékben megfelelt: 1 pont</w:t>
            </w:r>
          </w:p>
          <w:p w:rsidR="00DD4A61" w:rsidRDefault="00A913EE" w:rsidP="001C6D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Nem felelt meg: 0 pont</w:t>
            </w:r>
          </w:p>
          <w:p w:rsidR="00864FA2" w:rsidRPr="00DD4A61" w:rsidRDefault="00864FA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:rsidR="00864FA2" w:rsidRPr="002139A0" w:rsidRDefault="008A245E" w:rsidP="00624C89">
            <w:pPr>
              <w:pStyle w:val="Listaszerbekezds"/>
              <w:numPr>
                <w:ilvl w:val="0"/>
                <w:numId w:val="3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D7D">
              <w:rPr>
                <w:rFonts w:ascii="Times New Roman" w:eastAsia="Times New Roman" w:hAnsi="Times New Roman" w:cs="Times New Roman"/>
                <w:sz w:val="24"/>
                <w:szCs w:val="24"/>
              </w:rPr>
              <w:t>Tagsági szerződés</w:t>
            </w:r>
            <w:r w:rsidR="00192CD2" w:rsidRPr="001C6D7D">
              <w:rPr>
                <w:rFonts w:ascii="Times New Roman" w:eastAsia="Times New Roman" w:hAnsi="Times New Roman" w:cs="Times New Roman"/>
                <w:sz w:val="24"/>
                <w:szCs w:val="24"/>
              </w:rPr>
              <w:t>, mely tartalmazza a hallgató bentlakásra vonatkozó nyilatkozatát</w:t>
            </w:r>
            <w:r w:rsidR="00496FBA"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(újonnan létesülő roma szakkollégium esetén nyilatkozat a tervezett bentlakási arányró</w:t>
            </w:r>
            <w:r w:rsidR="00496FBA" w:rsidRPr="001372EE">
              <w:rPr>
                <w:rFonts w:ascii="Times New Roman" w:eastAsia="Times New Roman" w:hAnsi="Times New Roman" w:cs="Times New Roman"/>
                <w:sz w:val="24"/>
                <w:szCs w:val="24"/>
              </w:rPr>
              <w:t>l)</w:t>
            </w:r>
            <w:r w:rsidR="00ED707A" w:rsidRPr="00937D8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64FA2" w:rsidRPr="00253FAD" w:rsidRDefault="008A245E" w:rsidP="00624C89">
            <w:pPr>
              <w:pStyle w:val="Listaszerbekezds"/>
              <w:numPr>
                <w:ilvl w:val="0"/>
                <w:numId w:val="39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Nyilatkozat a kérelmező részéről arra vonatkozóan, hogy hány roma/cigány </w:t>
            </w:r>
            <w:r w:rsidR="00230DE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származású hallgatóval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hány halmozottan hátrányos helyzetű </w:t>
            </w:r>
            <w:r w:rsidR="00230DE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hallgatóval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rendelkezik</w:t>
            </w:r>
            <w:r w:rsidR="008356F5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szakkollégium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A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kérelmező büntetőjogi felelőssége tudatában nyilatkozik</w:t>
            </w:r>
            <w:r w:rsidR="0047705F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(újonnan létesülő roma szakkollégium esetén nyilatkozat a tervezett arányokról)</w:t>
            </w:r>
            <w:r w:rsidR="00ED707A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074C" w:rsidRPr="00253FAD" w:rsidTr="00624C89">
        <w:tc>
          <w:tcPr>
            <w:tcW w:w="6384" w:type="dxa"/>
            <w:shd w:val="clear" w:color="auto" w:fill="auto"/>
            <w:vAlign w:val="center"/>
          </w:tcPr>
          <w:p w:rsidR="00B56DFA" w:rsidRPr="007975C4" w:rsidRDefault="0037074C" w:rsidP="00624C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A szakkollégisták </w:t>
            </w:r>
            <w:r w:rsidR="00192CD2" w:rsidRPr="00425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igazoltan bentlakók.  Ettől különösen indokolt esetben a szakkollégium létszámának 30</w:t>
            </w:r>
            <w:r w:rsidR="00192CD2" w:rsidRPr="0001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%-</w:t>
            </w:r>
            <w:r w:rsidR="0092738F" w:rsidRPr="00300C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192CD2" w:rsidRPr="008029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 térhet el.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7628F8" w:rsidRPr="00624C89" w:rsidRDefault="007628F8" w:rsidP="00624C89">
            <w:pPr>
              <w:spacing w:after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37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Kötelező elem (0 vagy 1 pont):</w:t>
            </w:r>
          </w:p>
          <w:p w:rsidR="0037074C" w:rsidRPr="00D70F8C" w:rsidRDefault="005E0BA8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Teljes mértékben megfelelt: 1 pont</w:t>
            </w:r>
          </w:p>
          <w:p w:rsidR="005E0BA8" w:rsidRPr="00253FAD" w:rsidRDefault="005E0BA8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Nem felelt meg: 0 pont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37074C" w:rsidRPr="00253FAD" w:rsidRDefault="00586383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Szakkollégium vezetőjének nyilatkozata a bentlakók arányáról.</w:t>
            </w:r>
          </w:p>
        </w:tc>
      </w:tr>
      <w:tr w:rsidR="0037074C" w:rsidRPr="00253FAD" w:rsidTr="00624C89">
        <w:tc>
          <w:tcPr>
            <w:tcW w:w="6384" w:type="dxa"/>
            <w:shd w:val="clear" w:color="auto" w:fill="auto"/>
            <w:vAlign w:val="center"/>
          </w:tcPr>
          <w:p w:rsidR="00B56DFA" w:rsidRPr="00300C2E" w:rsidRDefault="00DD4A61" w:rsidP="007975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Ennél a pontnál</w:t>
            </w:r>
            <w:r w:rsidR="0037074C" w:rsidRPr="0001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október 15-ei adatok számítanak.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37074C" w:rsidRPr="007975C4" w:rsidRDefault="0037074C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shd w:val="clear" w:color="auto" w:fill="auto"/>
            <w:vAlign w:val="center"/>
          </w:tcPr>
          <w:p w:rsidR="0037074C" w:rsidRPr="00264DF4" w:rsidRDefault="0037074C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4FA2" w:rsidRPr="00253FAD" w:rsidTr="00624C89">
        <w:tc>
          <w:tcPr>
            <w:tcW w:w="6384" w:type="dxa"/>
            <w:shd w:val="clear" w:color="auto" w:fill="00B0F0"/>
            <w:vAlign w:val="center"/>
          </w:tcPr>
          <w:p w:rsidR="00864FA2" w:rsidRPr="0042580E" w:rsidRDefault="00A913EE" w:rsidP="00AC48C7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Hallgatók részére nyújtott szolgáltatások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864FA2" w:rsidRPr="00AC48C7" w:rsidRDefault="00733672" w:rsidP="00AC48C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5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D70F8C" w:rsidRDefault="00A913EE" w:rsidP="00264DF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F90BF2" w:rsidRPr="00253FAD" w:rsidTr="00ED31C7">
        <w:tc>
          <w:tcPr>
            <w:tcW w:w="6384" w:type="dxa"/>
            <w:vMerge w:val="restart"/>
          </w:tcPr>
          <w:p w:rsidR="00F90BF2" w:rsidRPr="00264DF4" w:rsidRDefault="00F90BF2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tagok számára nyújtott szolgáltatások a szakmai programban (3. pont) </w:t>
            </w:r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>megfogalmazott résztevékenységekhez igazodnak. Ezeken kívül a</w:t>
            </w:r>
            <w:r w:rsidRPr="008A7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szolgáltatási </w:t>
            </w:r>
            <w:proofErr w:type="gramStart"/>
            <w:r w:rsidRPr="008A7BC8">
              <w:rPr>
                <w:rFonts w:ascii="Times New Roman" w:eastAsia="Times New Roman" w:hAnsi="Times New Roman" w:cs="Times New Roman"/>
                <w:sz w:val="24"/>
                <w:szCs w:val="24"/>
              </w:rPr>
              <w:t>rendszer kötelező</w:t>
            </w:r>
            <w:proofErr w:type="gramEnd"/>
            <w:r w:rsidRPr="008A7B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alapelemei: ösztöndíjrendszer, nyelvtanulási lehetőségek, </w:t>
            </w:r>
            <w:proofErr w:type="spellStart"/>
            <w:r w:rsidRPr="008A7BC8">
              <w:rPr>
                <w:rFonts w:ascii="Times New Roman" w:eastAsia="Times New Roman" w:hAnsi="Times New Roman" w:cs="Times New Roman"/>
                <w:sz w:val="24"/>
                <w:szCs w:val="24"/>
              </w:rPr>
              <w:t>mentorálás</w:t>
            </w:r>
            <w:proofErr w:type="spellEnd"/>
            <w:r w:rsidRPr="008A7BC8">
              <w:rPr>
                <w:rFonts w:ascii="Times New Roman" w:eastAsia="Times New Roman" w:hAnsi="Times New Roman" w:cs="Times New Roman"/>
                <w:sz w:val="24"/>
                <w:szCs w:val="24"/>
              </w:rPr>
              <w:t>. A többi elemre a „pontozás” oszlopban található leírás sze</w:t>
            </w:r>
            <w:r w:rsidRPr="00F90BF2">
              <w:rPr>
                <w:rFonts w:ascii="Times New Roman" w:eastAsia="Times New Roman" w:hAnsi="Times New Roman" w:cs="Times New Roman"/>
                <w:sz w:val="24"/>
                <w:szCs w:val="24"/>
              </w:rPr>
              <w:t>rint adhatóak további pontok.</w:t>
            </w:r>
          </w:p>
          <w:p w:rsidR="00F90BF2" w:rsidRPr="00253FAD" w:rsidRDefault="00F90BF2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tanulmányi program keretében a hallgatók különféle tanegységeket, kurzusokat vesznek fel, foglalkozásokon, kutatóműhelyekben, közösségi szolgálatban vesznek részt, konferenciákat, szakmai programokat szerveznek.</w:t>
            </w:r>
          </w:p>
        </w:tc>
        <w:tc>
          <w:tcPr>
            <w:tcW w:w="4214" w:type="dxa"/>
            <w:vAlign w:val="center"/>
          </w:tcPr>
          <w:p w:rsidR="00F90BF2" w:rsidRPr="00624C89" w:rsidRDefault="00F90BF2" w:rsidP="00624C89">
            <w:pPr>
              <w:tabs>
                <w:tab w:val="center" w:pos="1828"/>
                <w:tab w:val="right" w:pos="365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Nem felelt meg: </w:t>
            </w:r>
            <w:r w:rsidR="002139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 a kötelező elemek közül bármelyik hiányzik</w:t>
            </w:r>
          </w:p>
          <w:p w:rsidR="00F90BF2" w:rsidRPr="000440A8" w:rsidRDefault="00F90BF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40A8" w:rsidRPr="00624C89" w:rsidRDefault="00F90BF2" w:rsidP="00624C89">
            <w:pPr>
              <w:spacing w:before="240" w:after="200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Kötelező elemek (4 pont)</w:t>
            </w:r>
            <w:r w:rsidR="000440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F90BF2" w:rsidRPr="00253FAD" w:rsidRDefault="00F90BF2" w:rsidP="00624C89">
            <w:pPr>
              <w:numPr>
                <w:ilvl w:val="0"/>
                <w:numId w:val="41"/>
              </w:numPr>
              <w:spacing w:before="240" w:after="2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40A8">
              <w:rPr>
                <w:rFonts w:ascii="Times New Roman" w:eastAsia="Times New Roman" w:hAnsi="Times New Roman" w:cs="Times New Roman"/>
                <w:sz w:val="24"/>
                <w:szCs w:val="24"/>
              </w:rPr>
              <w:t>ösztöndíjrendszer – súlyozási lehetőség az ösztöndíj mértéke, nyilvánosan előre meghatározott elvek mentén</w:t>
            </w:r>
          </w:p>
          <w:p w:rsidR="00F90BF2" w:rsidRPr="00253FAD" w:rsidRDefault="00F90BF2" w:rsidP="00624C89">
            <w:pPr>
              <w:numPr>
                <w:ilvl w:val="0"/>
                <w:numId w:val="41"/>
              </w:numPr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nyelvtanulási lehetőségek (egyéni órák</w:t>
            </w: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kurzus</w:t>
            </w: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cserediák szervezése</w:t>
            </w: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külföldi út</w:t>
            </w: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egyetemi együttműködés)</w:t>
            </w:r>
          </w:p>
          <w:p w:rsidR="00F90BF2" w:rsidRPr="00253FAD" w:rsidRDefault="00F90BF2" w:rsidP="00624C89">
            <w:pPr>
              <w:numPr>
                <w:ilvl w:val="0"/>
                <w:numId w:val="41"/>
              </w:numPr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mentorálás</w:t>
            </w:r>
            <w:proofErr w:type="spellEnd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90BF2" w:rsidRPr="00253FAD" w:rsidRDefault="00F90BF2" w:rsidP="00624C89">
            <w:pPr>
              <w:numPr>
                <w:ilvl w:val="0"/>
                <w:numId w:val="41"/>
              </w:numPr>
              <w:spacing w:before="24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tantárgyi felzárkóztatás</w:t>
            </w:r>
          </w:p>
        </w:tc>
        <w:tc>
          <w:tcPr>
            <w:tcW w:w="3396" w:type="dxa"/>
          </w:tcPr>
          <w:p w:rsidR="00F90BF2" w:rsidRPr="00253FAD" w:rsidRDefault="00F90BF2" w:rsidP="00624C89">
            <w:pPr>
              <w:pStyle w:val="Listaszerbekezds"/>
              <w:numPr>
                <w:ilvl w:val="0"/>
                <w:numId w:val="40"/>
              </w:numPr>
              <w:ind w:left="34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>szakmai és/vagy pedagógiai program, amely alapján a kötelező elemek értékelhetőek</w:t>
            </w:r>
          </w:p>
          <w:p w:rsidR="00F90BF2" w:rsidRPr="00253FAD" w:rsidRDefault="00F90BF2" w:rsidP="00624C89">
            <w:pPr>
              <w:pStyle w:val="Listaszerbekezds"/>
              <w:numPr>
                <w:ilvl w:val="0"/>
                <w:numId w:val="40"/>
              </w:numPr>
              <w:ind w:left="34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szabályzatok: ösztöndíj szabályzat, felvételi szabályzat</w:t>
            </w:r>
          </w:p>
          <w:p w:rsidR="00F90BF2" w:rsidRPr="00253FAD" w:rsidRDefault="00F90BF2" w:rsidP="00624C89">
            <w:pPr>
              <w:pStyle w:val="Listaszerbekezds"/>
              <w:numPr>
                <w:ilvl w:val="0"/>
                <w:numId w:val="40"/>
              </w:numPr>
              <w:ind w:left="349" w:hanging="284"/>
              <w:rPr>
                <w:rFonts w:ascii="Times New Roman" w:hAnsi="Times New Roman" w:cs="Times New Roman"/>
              </w:rPr>
            </w:pPr>
            <w:r w:rsidRPr="00253FAD">
              <w:rPr>
                <w:rFonts w:ascii="Times New Roman" w:hAnsi="Times New Roman" w:cs="Times New Roman"/>
              </w:rPr>
              <w:t>oktatói, mentori szerződések</w:t>
            </w:r>
          </w:p>
          <w:p w:rsidR="00F90BF2" w:rsidRPr="00624C89" w:rsidRDefault="00F90BF2" w:rsidP="00624C89">
            <w:pPr>
              <w:ind w:lef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hAnsi="Times New Roman" w:cs="Times New Roman"/>
                <w:sz w:val="24"/>
                <w:szCs w:val="24"/>
              </w:rPr>
              <w:t xml:space="preserve">(újonnan létesülő roma szakkollégium esetén önéletrajzok a tervezett oktatói, mentori állománytól adatkezelési hozzájárulással ellátva) </w:t>
            </w:r>
          </w:p>
        </w:tc>
      </w:tr>
      <w:tr w:rsidR="00F90BF2" w:rsidRPr="00253FAD" w:rsidTr="00ED31C7">
        <w:tc>
          <w:tcPr>
            <w:tcW w:w="6384" w:type="dxa"/>
            <w:vMerge/>
            <w:vAlign w:val="center"/>
          </w:tcPr>
          <w:p w:rsidR="00F90BF2" w:rsidRPr="00253FAD" w:rsidRDefault="00F90BF2" w:rsidP="00624C8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  <w:vAlign w:val="center"/>
          </w:tcPr>
          <w:p w:rsidR="00F90BF2" w:rsidRPr="00624C89" w:rsidRDefault="00F90BF2" w:rsidP="00624C89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C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Szabadon választott elemek:</w:t>
            </w:r>
            <w:r w:rsidRPr="0042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C8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70F8C" w:rsidRPr="00624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további megszerezhető </w:t>
            </w:r>
            <w:proofErr w:type="gramStart"/>
            <w:r w:rsidR="00D70F8C" w:rsidRPr="00624C89">
              <w:rPr>
                <w:rFonts w:ascii="Times New Roman" w:hAnsi="Times New Roman" w:cs="Times New Roman"/>
                <w:b/>
                <w:sz w:val="24"/>
                <w:szCs w:val="24"/>
              </w:rPr>
              <w:t>pontok :</w:t>
            </w:r>
            <w:proofErr w:type="gramEnd"/>
            <w:r w:rsidR="00D70F8C" w:rsidRPr="00624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24C89">
              <w:rPr>
                <w:rFonts w:ascii="Times New Roman" w:hAnsi="Times New Roman" w:cs="Times New Roman"/>
                <w:b/>
                <w:sz w:val="24"/>
                <w:szCs w:val="24"/>
              </w:rPr>
              <w:t>6 pont)</w:t>
            </w:r>
          </w:p>
          <w:p w:rsidR="00F90BF2" w:rsidRPr="001C6D7D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>tutorálás</w:t>
            </w:r>
            <w:proofErr w:type="spellEnd"/>
          </w:p>
          <w:p w:rsidR="00F90BF2" w:rsidRPr="000F3F1B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90BF2">
              <w:rPr>
                <w:rFonts w:ascii="Times New Roman" w:eastAsia="Times New Roman" w:hAnsi="Times New Roman" w:cs="Times New Roman"/>
                <w:sz w:val="24"/>
                <w:szCs w:val="24"/>
              </w:rPr>
              <w:t>gyakornoki program</w:t>
            </w:r>
          </w:p>
          <w:p w:rsidR="00F90BF2" w:rsidRPr="00253FAD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lelkigondozás</w:t>
            </w:r>
            <w:proofErr w:type="spellEnd"/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/szupervízió/pszichológiai segítés</w:t>
            </w:r>
          </w:p>
          <w:p w:rsidR="00F90BF2" w:rsidRPr="00253FAD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kapcsolattartás az </w:t>
            </w:r>
            <w:proofErr w:type="spellStart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alumni</w:t>
            </w:r>
            <w:proofErr w:type="spellEnd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hallgatókkal</w:t>
            </w:r>
          </w:p>
          <w:p w:rsidR="00F90BF2" w:rsidRPr="00253FAD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felzárkózást és közösségi szerepvállalást elősegítő szolgáltatások nyújtása: Praktikus jogi ismeretek: pl. egyesület alapítása, hivatali ügyintézés</w:t>
            </w:r>
          </w:p>
          <w:p w:rsidR="00FF0C04" w:rsidRPr="00FF0C04" w:rsidRDefault="00F90BF2" w:rsidP="00624C89">
            <w:pPr>
              <w:numPr>
                <w:ilvl w:val="0"/>
                <w:numId w:val="42"/>
              </w:num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munkaerőpiacon való sikeres megjelenést szolgáló szolgáltatások nyújtása: A képzési program releváns elemeket tartalmaz (pl. önéletrajz írása, állásinterjúra felkészítés, közösségi média használata stb.)</w:t>
            </w:r>
          </w:p>
        </w:tc>
        <w:tc>
          <w:tcPr>
            <w:tcW w:w="3396" w:type="dxa"/>
            <w:vAlign w:val="center"/>
          </w:tcPr>
          <w:p w:rsidR="00F90BF2" w:rsidRPr="00253FAD" w:rsidRDefault="00F90BF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FF0C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Tutori</w:t>
            </w:r>
            <w:proofErr w:type="spellEnd"/>
            <w:r w:rsidRPr="00FF0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szerződések (újonnan létesülő roma szakkoll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égium esetén nyilatkozat a vállalandó </w:t>
            </w:r>
            <w:proofErr w:type="spellStart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tutorálással</w:t>
            </w:r>
            <w:proofErr w:type="spellEnd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kapcsolatban)</w:t>
            </w:r>
          </w:p>
        </w:tc>
      </w:tr>
      <w:tr w:rsidR="00864FA2" w:rsidRPr="00253FAD" w:rsidTr="00624C89">
        <w:tc>
          <w:tcPr>
            <w:tcW w:w="6384" w:type="dxa"/>
            <w:shd w:val="clear" w:color="auto" w:fill="00B0F0"/>
            <w:vAlign w:val="center"/>
          </w:tcPr>
          <w:p w:rsidR="00864FA2" w:rsidRPr="007975C4" w:rsidRDefault="00A913EE" w:rsidP="009B51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 A szakmai programban szereplő további elemek gyakorlati megvalósulása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733672" w:rsidRPr="009B51F4" w:rsidRDefault="00733672" w:rsidP="00624C89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253FAD" w:rsidRDefault="00A913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3A7C26" w:rsidRPr="00253FAD" w:rsidTr="009D643F">
        <w:trPr>
          <w:trHeight w:val="1984"/>
        </w:trPr>
        <w:tc>
          <w:tcPr>
            <w:tcW w:w="6384" w:type="dxa"/>
            <w:vMerge w:val="restart"/>
          </w:tcPr>
          <w:p w:rsidR="003A7C26" w:rsidRPr="00624C89" w:rsidRDefault="003A7C26" w:rsidP="00624C89">
            <w:pPr>
              <w:pStyle w:val="Listaszerbekezds"/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Közösségépítést szolgáló programok </w:t>
            </w:r>
          </w:p>
          <w:p w:rsidR="003A7C26" w:rsidRPr="00624C89" w:rsidRDefault="003A7C26" w:rsidP="00624C89">
            <w:pPr>
              <w:pStyle w:val="Listaszerbekezds"/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sz w:val="24"/>
                <w:szCs w:val="24"/>
              </w:rPr>
              <w:t>Társadalmi kapcsolatokat építő tevékenységek</w:t>
            </w:r>
          </w:p>
          <w:p w:rsidR="003A7C26" w:rsidRPr="00624C89" w:rsidRDefault="003A7C26" w:rsidP="00624C89">
            <w:pPr>
              <w:pStyle w:val="Listaszerbekezds"/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Identitás erősítését szolgáló programok </w:t>
            </w:r>
          </w:p>
          <w:p w:rsidR="003A7C26" w:rsidRPr="00624C89" w:rsidRDefault="003A7C26" w:rsidP="00624C89">
            <w:pPr>
              <w:pStyle w:val="Listaszerbekezds"/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sz w:val="24"/>
                <w:szCs w:val="24"/>
              </w:rPr>
              <w:t>Társadalmi felelősség vállalást erősítő programok</w:t>
            </w:r>
          </w:p>
        </w:tc>
        <w:tc>
          <w:tcPr>
            <w:tcW w:w="4214" w:type="dxa"/>
            <w:vAlign w:val="center"/>
          </w:tcPr>
          <w:p w:rsidR="003A7C26" w:rsidRPr="007975C4" w:rsidRDefault="003A7C26" w:rsidP="00624C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Kötelező elemek (4 pont):</w:t>
            </w:r>
            <w:r w:rsidRPr="0001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A7C26" w:rsidRPr="0056332C" w:rsidRDefault="003A7C26" w:rsidP="00624C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A szakkollégium közösségének építése:</w:t>
            </w:r>
          </w:p>
          <w:p w:rsidR="003A7C26" w:rsidRPr="00264DF4" w:rsidRDefault="003A7C26" w:rsidP="00624C89">
            <w:pPr>
              <w:spacing w:before="240"/>
              <w:ind w:lef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Közös szabadidős program (szakmai és/vagy kulturális és/ vagy lelki) legalább havi egy alkalommal, legalább a szakkollégisták 80%-nak részvételével</w:t>
            </w:r>
          </w:p>
          <w:p w:rsidR="003A7C26" w:rsidRPr="00264DF4" w:rsidRDefault="003A7C26" w:rsidP="00624C89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Társadalmi kapcsolatokat építő </w:t>
            </w: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tevékenységek:</w:t>
            </w:r>
          </w:p>
          <w:p w:rsidR="003A7C26" w:rsidRPr="009C2D89" w:rsidRDefault="003A7C26" w:rsidP="00624C89">
            <w:pPr>
              <w:spacing w:before="240"/>
              <w:ind w:left="5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B2A">
              <w:rPr>
                <w:rFonts w:ascii="Times New Roman" w:eastAsia="Times New Roman" w:hAnsi="Times New Roman" w:cs="Times New Roman"/>
                <w:sz w:val="24"/>
                <w:szCs w:val="24"/>
              </w:rPr>
              <w:t>Legalább kéthavonta egy alkalommal városi és/vagy térségi rendezvények szervezése és/vagy azokon való részvétel</w:t>
            </w:r>
          </w:p>
          <w:p w:rsidR="003A7C26" w:rsidRPr="00405FFD" w:rsidRDefault="003A7C26" w:rsidP="00624C89">
            <w:pPr>
              <w:spacing w:before="240"/>
              <w:ind w:left="5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FFD">
              <w:rPr>
                <w:rFonts w:ascii="Times New Roman" w:eastAsia="Times New Roman" w:hAnsi="Times New Roman" w:cs="Times New Roman"/>
                <w:sz w:val="24"/>
                <w:szCs w:val="24"/>
              </w:rPr>
              <w:t>Társadalmi felzárkózást segítő programokhoz való kapcsolódások és szervezések</w:t>
            </w:r>
          </w:p>
          <w:p w:rsidR="003A7C26" w:rsidRPr="00624C89" w:rsidRDefault="003A7C26" w:rsidP="00624C89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Identitás erősítését szolgáló programok:</w:t>
            </w:r>
          </w:p>
          <w:p w:rsidR="003A7C26" w:rsidRPr="005F4687" w:rsidRDefault="003A7C26" w:rsidP="00624C89">
            <w:pPr>
              <w:spacing w:before="240"/>
              <w:ind w:lef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FFD">
              <w:rPr>
                <w:rFonts w:ascii="Times New Roman" w:eastAsia="Times New Roman" w:hAnsi="Times New Roman" w:cs="Times New Roman"/>
                <w:sz w:val="24"/>
                <w:szCs w:val="24"/>
              </w:rPr>
              <w:t>Roma specifikus programok, nemzeti identitást erősítő</w:t>
            </w: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programok</w:t>
            </w:r>
          </w:p>
          <w:p w:rsidR="003A7C26" w:rsidRPr="00405FFD" w:rsidRDefault="003A7C26" w:rsidP="00624C89">
            <w:pPr>
              <w:pStyle w:val="Listaszerbekezds"/>
              <w:numPr>
                <w:ilvl w:val="0"/>
                <w:numId w:val="11"/>
              </w:numPr>
              <w:spacing w:before="240"/>
              <w:ind w:left="279" w:hanging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Társadalmi felelősség vállalást erősítő programok:</w:t>
            </w:r>
          </w:p>
          <w:p w:rsidR="003A7C26" w:rsidRPr="005F4687" w:rsidRDefault="003A7C26" w:rsidP="00624C89">
            <w:pPr>
              <w:spacing w:before="240"/>
              <w:ind w:lef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Önkéntes és közösségi szolgálat.  </w:t>
            </w:r>
          </w:p>
          <w:p w:rsidR="003A7C26" w:rsidRPr="005F4687" w:rsidRDefault="003A7C26" w:rsidP="00624C89">
            <w:pPr>
              <w:pStyle w:val="Listaszerbekezds"/>
              <w:ind w:left="3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:rsidR="003A7C26" w:rsidRPr="0066120D" w:rsidRDefault="003A7C26" w:rsidP="00624C89">
            <w:pPr>
              <w:pStyle w:val="Listaszerbekezds"/>
              <w:numPr>
                <w:ilvl w:val="0"/>
                <w:numId w:val="50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4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Szakmai </w:t>
            </w:r>
            <w:r w:rsidRPr="003617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és pedagógiai </w:t>
            </w:r>
            <w:r w:rsidRPr="0066120D">
              <w:rPr>
                <w:rFonts w:ascii="Times New Roman" w:eastAsia="Times New Roman" w:hAnsi="Times New Roman" w:cs="Times New Roman"/>
                <w:sz w:val="24"/>
                <w:szCs w:val="24"/>
              </w:rPr>
              <w:t>program</w:t>
            </w:r>
          </w:p>
          <w:p w:rsidR="003A7C26" w:rsidRPr="00F611DE" w:rsidRDefault="003A7C26" w:rsidP="00624C89">
            <w:pPr>
              <w:pStyle w:val="Listaszerbekezds"/>
              <w:numPr>
                <w:ilvl w:val="0"/>
                <w:numId w:val="50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C04">
              <w:rPr>
                <w:rFonts w:ascii="Times New Roman" w:eastAsia="Times New Roman" w:hAnsi="Times New Roman" w:cs="Times New Roman"/>
                <w:sz w:val="24"/>
                <w:szCs w:val="24"/>
              </w:rPr>
              <w:t>Éves program</w:t>
            </w:r>
            <w:r w:rsidRPr="00C779E9">
              <w:rPr>
                <w:rFonts w:ascii="Times New Roman" w:eastAsia="Times New Roman" w:hAnsi="Times New Roman" w:cs="Times New Roman"/>
                <w:sz w:val="24"/>
                <w:szCs w:val="24"/>
              </w:rPr>
              <w:t>, szakmai programok rövid bemutatása</w:t>
            </w:r>
          </w:p>
          <w:p w:rsidR="003A7C26" w:rsidRPr="0066120D" w:rsidRDefault="003A7C26" w:rsidP="007975C4">
            <w:pPr>
              <w:pStyle w:val="Listaszerbekezds"/>
              <w:numPr>
                <w:ilvl w:val="0"/>
                <w:numId w:val="50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1DE">
              <w:rPr>
                <w:rFonts w:ascii="Times New Roman" w:eastAsia="Times New Roman" w:hAnsi="Times New Roman" w:cs="Times New Roman"/>
                <w:sz w:val="24"/>
                <w:szCs w:val="24"/>
              </w:rPr>
              <w:t>Igazolások a szakmai programokon való részvételről (szükség esetén jelenléti ívek)</w:t>
            </w:r>
          </w:p>
          <w:p w:rsidR="003A7C26" w:rsidRPr="003A7C26" w:rsidRDefault="003A7C26" w:rsidP="00624C89">
            <w:pPr>
              <w:pStyle w:val="Listaszerbekezds"/>
              <w:numPr>
                <w:ilvl w:val="0"/>
                <w:numId w:val="50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Külső szervezetekkel való megállapodás, partnerségi megállapodás </w:t>
            </w:r>
            <w:r w:rsidRPr="00F61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(legalább 3 </w:t>
            </w:r>
            <w:r w:rsidRPr="00F61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db</w:t>
            </w:r>
            <w:r w:rsidRPr="003A7C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A7C26" w:rsidRPr="00253FAD" w:rsidTr="009D643F">
        <w:tc>
          <w:tcPr>
            <w:tcW w:w="6384" w:type="dxa"/>
            <w:vMerge/>
            <w:vAlign w:val="center"/>
          </w:tcPr>
          <w:p w:rsidR="003A7C26" w:rsidRPr="00253FAD" w:rsidRDefault="003A7C26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  <w:vAlign w:val="center"/>
          </w:tcPr>
          <w:p w:rsidR="003A7C26" w:rsidRPr="00624C89" w:rsidRDefault="003A7C26" w:rsidP="00624C89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24C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Szabadon választott elemek (</w:t>
            </w:r>
            <w:r w:rsidR="008B0B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további megszerezhető pontok </w:t>
            </w:r>
            <w:r w:rsidRPr="00624C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 pont): </w:t>
            </w:r>
          </w:p>
          <w:p w:rsidR="003A7C26" w:rsidRPr="0056332C" w:rsidRDefault="003A7C26" w:rsidP="00624C89">
            <w:pPr>
              <w:pStyle w:val="Listaszerbekezds"/>
              <w:numPr>
                <w:ilvl w:val="0"/>
                <w:numId w:val="44"/>
              </w:numPr>
              <w:spacing w:before="240"/>
              <w:ind w:left="420" w:hanging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Tanulmányi és szakmai utak szervezése (1 </w:t>
            </w:r>
            <w:r w:rsidRPr="0056332C">
              <w:rPr>
                <w:rFonts w:ascii="Times New Roman" w:eastAsia="Times New Roman" w:hAnsi="Times New Roman" w:cs="Times New Roman"/>
                <w:sz w:val="24"/>
                <w:szCs w:val="24"/>
              </w:rPr>
              <w:t>út/szemeszter = 1pont)</w:t>
            </w:r>
          </w:p>
          <w:p w:rsidR="003A7C26" w:rsidRPr="00523B2A" w:rsidRDefault="003A7C26" w:rsidP="00624C89">
            <w:pPr>
              <w:pStyle w:val="Listaszerbekezds"/>
              <w:numPr>
                <w:ilvl w:val="0"/>
                <w:numId w:val="44"/>
              </w:numPr>
              <w:spacing w:before="240"/>
              <w:ind w:left="420" w:hanging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Folyóirat, tanulmánykötet, megjelentetése (1 kiadvány/év = 1pont)</w:t>
            </w:r>
          </w:p>
          <w:p w:rsidR="003A7C26" w:rsidRPr="005F4687" w:rsidRDefault="003A7C26" w:rsidP="00624C89">
            <w:pPr>
              <w:pStyle w:val="Listaszerbekezds"/>
              <w:numPr>
                <w:ilvl w:val="0"/>
                <w:numId w:val="44"/>
              </w:numPr>
              <w:spacing w:before="240"/>
              <w:ind w:left="420" w:hanging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B2A">
              <w:rPr>
                <w:rFonts w:ascii="Times New Roman" w:eastAsia="Times New Roman" w:hAnsi="Times New Roman" w:cs="Times New Roman"/>
                <w:sz w:val="24"/>
                <w:szCs w:val="24"/>
              </w:rPr>
              <w:t>Konferenciák szervezése (1 konferencia/év = 1pont)</w:t>
            </w:r>
          </w:p>
          <w:p w:rsidR="003A7C26" w:rsidRPr="00253FAD" w:rsidRDefault="003A7C26" w:rsidP="00624C89">
            <w:pPr>
              <w:pStyle w:val="Listaszerbekezds"/>
              <w:numPr>
                <w:ilvl w:val="0"/>
                <w:numId w:val="44"/>
              </w:numPr>
              <w:spacing w:before="240"/>
              <w:ind w:left="420" w:hanging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roma szakkollégiumokkal való együttműködés (kérelmező szervezet </w:t>
            </w:r>
            <w:r w:rsidRPr="003A7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legalább </w:t>
            </w:r>
            <w:r w:rsidRPr="00D637B3">
              <w:rPr>
                <w:rFonts w:ascii="Times New Roman" w:eastAsia="Times New Roman" w:hAnsi="Times New Roman" w:cs="Times New Roman"/>
                <w:sz w:val="24"/>
                <w:szCs w:val="24"/>
              </w:rPr>
              <w:t>3 szakkollégiummal együttműködik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1 pont)</w:t>
            </w:r>
          </w:p>
        </w:tc>
        <w:tc>
          <w:tcPr>
            <w:tcW w:w="3396" w:type="dxa"/>
            <w:vAlign w:val="center"/>
          </w:tcPr>
          <w:p w:rsidR="003A7C26" w:rsidRPr="00370644" w:rsidRDefault="003A7C26" w:rsidP="00624C89">
            <w:pPr>
              <w:pStyle w:val="Listaszerbekezds"/>
              <w:numPr>
                <w:ilvl w:val="0"/>
                <w:numId w:val="45"/>
              </w:numPr>
              <w:spacing w:before="240"/>
              <w:ind w:left="349" w:hanging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Szakmai programokon, tanulmányutakon, konferenciákon való részvétel igazolása</w:t>
            </w:r>
          </w:p>
          <w:p w:rsidR="003A7C26" w:rsidRPr="00370644" w:rsidRDefault="003A7C26" w:rsidP="00624C89">
            <w:pPr>
              <w:pStyle w:val="Listaszerbekezds"/>
              <w:numPr>
                <w:ilvl w:val="0"/>
                <w:numId w:val="45"/>
              </w:numPr>
              <w:spacing w:before="240"/>
              <w:ind w:left="349" w:hanging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Szakmai programok, rendezvények rövid bemutatása</w:t>
            </w:r>
          </w:p>
          <w:p w:rsidR="003A7C26" w:rsidRPr="00253FAD" w:rsidRDefault="003A7C26" w:rsidP="00624C89">
            <w:pPr>
              <w:pStyle w:val="Listaszerbekezds"/>
              <w:numPr>
                <w:ilvl w:val="0"/>
                <w:numId w:val="45"/>
              </w:numPr>
              <w:spacing w:before="240"/>
              <w:ind w:left="349" w:hanging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Együttműködési megállapodás</w:t>
            </w:r>
          </w:p>
        </w:tc>
      </w:tr>
      <w:tr w:rsidR="00864FA2" w:rsidRPr="00253FAD" w:rsidTr="00624C89">
        <w:tc>
          <w:tcPr>
            <w:tcW w:w="6384" w:type="dxa"/>
            <w:shd w:val="clear" w:color="auto" w:fill="00B0F0"/>
            <w:vAlign w:val="center"/>
          </w:tcPr>
          <w:p w:rsidR="00864FA2" w:rsidRPr="007975C4" w:rsidRDefault="00A913EE" w:rsidP="00780407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7.</w:t>
            </w: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A szakkollégiumok személyi és infrastrukturális feltételei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733672" w:rsidRPr="00523B2A" w:rsidRDefault="00A913EE" w:rsidP="00624C89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864FA2" w:rsidRPr="00405FFD" w:rsidRDefault="00A913EE" w:rsidP="00780407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3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400F52" w:rsidRPr="00253FAD" w:rsidTr="00624C89">
        <w:tc>
          <w:tcPr>
            <w:tcW w:w="6384" w:type="dxa"/>
            <w:shd w:val="clear" w:color="auto" w:fill="auto"/>
            <w:vAlign w:val="center"/>
          </w:tcPr>
          <w:p w:rsidR="00400F52" w:rsidRPr="0042580E" w:rsidRDefault="00E216A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szakkollégiumok személyi feltételeinek vizsgálata. </w:t>
            </w:r>
          </w:p>
        </w:tc>
        <w:tc>
          <w:tcPr>
            <w:tcW w:w="4214" w:type="dxa"/>
            <w:shd w:val="clear" w:color="auto" w:fill="auto"/>
            <w:vAlign w:val="center"/>
          </w:tcPr>
          <w:p w:rsidR="00145910" w:rsidRPr="000F3F1B" w:rsidRDefault="00145910" w:rsidP="00624C89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Kötelező</w:t>
            </w:r>
            <w:r w:rsidR="00304C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elemek (</w:t>
            </w:r>
            <w:r w:rsidR="009A4DDC" w:rsidRPr="00300C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F57F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</w:t>
            </w:r>
            <w:r w:rsidR="00304C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):</w:t>
            </w:r>
          </w:p>
          <w:p w:rsidR="000E04DE" w:rsidRPr="00264DF4" w:rsidRDefault="00400F52" w:rsidP="00624C89">
            <w:pPr>
              <w:spacing w:before="240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Legalább 3 </w:t>
            </w:r>
            <w:r w:rsidR="00194897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szakmai </w:t>
            </w:r>
            <w:r w:rsidR="00DE00AC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státusz</w:t>
            </w:r>
            <w:r w:rsidR="00194897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kialakítása</w:t>
            </w:r>
            <w:r w:rsidR="00DE00AC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FA7BF3" w:rsidRPr="00D70F8C" w:rsidRDefault="0046665A" w:rsidP="00624C89">
            <w:pPr>
              <w:pStyle w:val="Listaszerbekezds"/>
              <w:numPr>
                <w:ilvl w:val="0"/>
                <w:numId w:val="51"/>
              </w:numPr>
              <w:spacing w:befor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igazgató/szakmai vezető</w:t>
            </w:r>
            <w:r w:rsidR="00FA7BF3" w:rsidRPr="00264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  <w:r w:rsidRPr="005E7C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D7C94" w:rsidRPr="005F4687" w:rsidRDefault="0046665A" w:rsidP="00624C89">
            <w:pPr>
              <w:pStyle w:val="Listaszerbekezds"/>
              <w:numPr>
                <w:ilvl w:val="0"/>
                <w:numId w:val="51"/>
              </w:numPr>
              <w:spacing w:befor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3B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tanulmányi/oktatási szervezési vezető/mentor k</w:t>
            </w:r>
            <w:r w:rsidR="00EE0042" w:rsidRPr="00523B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00405F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ordinátor</w:t>
            </w:r>
            <w:r w:rsidR="00FA7BF3"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4DDC" w:rsidRPr="00624C89" w:rsidRDefault="0046665A" w:rsidP="00624C89">
            <w:pPr>
              <w:pStyle w:val="Listaszerbekezds"/>
              <w:numPr>
                <w:ilvl w:val="0"/>
                <w:numId w:val="51"/>
              </w:numPr>
              <w:spacing w:before="24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titkár</w:t>
            </w:r>
            <w:r w:rsidR="009A4DDC" w:rsidRPr="003617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00F52" w:rsidRPr="000144E0" w:rsidRDefault="00400F52" w:rsidP="00624C89">
            <w:pPr>
              <w:spacing w:before="240"/>
              <w:ind w:left="36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3 fő </w:t>
            </w:r>
            <w:r w:rsidRPr="004258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biztosított: 3 pont</w:t>
            </w:r>
          </w:p>
          <w:p w:rsidR="002D4F73" w:rsidRPr="00F57F52" w:rsidRDefault="00400F52" w:rsidP="00624C89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29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Nem biztosított: 0 pont</w:t>
            </w:r>
          </w:p>
          <w:p w:rsidR="002D4F73" w:rsidRPr="00624C89" w:rsidRDefault="002D4F73" w:rsidP="00624C89">
            <w:pPr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A4DDC" w:rsidRPr="00802936" w:rsidRDefault="009A4DDC" w:rsidP="00624C89">
            <w:pPr>
              <w:spacing w:before="24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További megszerezhető</w:t>
            </w:r>
            <w:r w:rsidR="006424C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pontok</w:t>
            </w:r>
            <w:r w:rsidR="00AC77E3" w:rsidRPr="00425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01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pont</w:t>
            </w:r>
            <w:r w:rsidR="00055678" w:rsidRPr="00300C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9F3" w:rsidRPr="000F3F1B" w:rsidRDefault="009A4DDC" w:rsidP="00624C89">
            <w:pPr>
              <w:pStyle w:val="Listaszerbekezds"/>
              <w:spacing w:before="240"/>
              <w:ind w:left="3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7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B209F3" w:rsidRPr="007975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fő feletti személyi állomány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00F52" w:rsidRPr="00B97C4A" w:rsidRDefault="00400F52" w:rsidP="00624C89">
            <w:pPr>
              <w:pStyle w:val="Listaszerbekezds"/>
              <w:numPr>
                <w:ilvl w:val="0"/>
                <w:numId w:val="43"/>
              </w:numPr>
              <w:ind w:left="349" w:hanging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F1B">
              <w:rPr>
                <w:rFonts w:ascii="Times New Roman" w:eastAsia="Times New Roman" w:hAnsi="Times New Roman" w:cs="Times New Roman"/>
                <w:sz w:val="24"/>
                <w:szCs w:val="24"/>
              </w:rPr>
              <w:t>A szakemberek feladatkörének és tapasztalatának bemutatását szükséges vizsgálni.</w:t>
            </w:r>
            <w:r w:rsidR="007B59E9" w:rsidRPr="00B97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209F3" w:rsidRPr="00253FAD" w:rsidRDefault="00B209F3" w:rsidP="00624C89">
            <w:pPr>
              <w:pStyle w:val="Listaszerbekezds"/>
              <w:numPr>
                <w:ilvl w:val="0"/>
                <w:numId w:val="43"/>
              </w:numPr>
              <w:ind w:left="349" w:hanging="3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Munkaszerződések</w:t>
            </w:r>
            <w:r w:rsidR="00E216A2"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161BC"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216A2" w:rsidRPr="00523B2A">
              <w:rPr>
                <w:rFonts w:ascii="Times New Roman" w:eastAsia="Times New Roman" w:hAnsi="Times New Roman" w:cs="Times New Roman"/>
                <w:sz w:val="24"/>
                <w:szCs w:val="24"/>
              </w:rPr>
              <w:t>munkaköri leírások</w:t>
            </w:r>
            <w:r w:rsidR="001C5171" w:rsidRPr="00523B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(újonnan létesülő szakkollégiumok esetén nyilatkozat a</w:t>
            </w:r>
            <w:r w:rsidR="001C5171"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tervezett személyi állománnyal kapcso</w:t>
            </w:r>
            <w:r w:rsidR="001C5171" w:rsidRPr="0036178E"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 w:rsidR="001C5171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tban)</w:t>
            </w:r>
            <w:r w:rsidR="00E216A2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F3AD7" w:rsidRPr="00253FAD" w:rsidRDefault="007F3AD7" w:rsidP="00624C89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52" w:rsidRPr="00253FAD" w:rsidTr="00624C89">
        <w:tc>
          <w:tcPr>
            <w:tcW w:w="6384" w:type="dxa"/>
            <w:vAlign w:val="center"/>
          </w:tcPr>
          <w:p w:rsidR="00400F52" w:rsidRPr="0042580E" w:rsidRDefault="00D54C2B" w:rsidP="007975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Kollégiumi díj</w:t>
            </w:r>
          </w:p>
        </w:tc>
        <w:tc>
          <w:tcPr>
            <w:tcW w:w="4214" w:type="dxa"/>
            <w:vAlign w:val="center"/>
          </w:tcPr>
          <w:p w:rsidR="00D637B3" w:rsidRPr="00624C89" w:rsidRDefault="00534A1A" w:rsidP="00624C89">
            <w:pPr>
              <w:pStyle w:val="Listaszerbekezds"/>
              <w:spacing w:before="240"/>
              <w:ind w:left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24C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S</w:t>
            </w:r>
            <w:r w:rsidR="003601D3" w:rsidRPr="00624C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zabadon választható</w:t>
            </w:r>
            <w:r w:rsidR="006424C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elem</w:t>
            </w:r>
            <w:r w:rsidR="005E456A" w:rsidRPr="00624C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(</w:t>
            </w:r>
            <w:r w:rsidR="00934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</w:t>
            </w:r>
            <w:r w:rsidR="009344FB"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ovábbi megszerezhető</w:t>
            </w:r>
            <w:r w:rsidR="009344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pontok:</w:t>
            </w:r>
            <w:r w:rsidR="009344FB" w:rsidRPr="004258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456A" w:rsidRPr="00624C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 pont)</w:t>
            </w:r>
            <w:r w:rsidR="003601D3" w:rsidRPr="00624C8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: </w:t>
            </w:r>
          </w:p>
          <w:p w:rsidR="0014334A" w:rsidRPr="00B97C4A" w:rsidRDefault="0014334A" w:rsidP="00624C89">
            <w:pPr>
              <w:pStyle w:val="Listaszerbekezds"/>
              <w:spacing w:before="24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101E4" w:rsidRPr="00264DF4" w:rsidRDefault="007F3AD7" w:rsidP="00624C89">
            <w:pPr>
              <w:pStyle w:val="Listaszerbekezds"/>
              <w:spacing w:before="24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 </w:t>
            </w:r>
            <w:r w:rsidR="00B209F3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ezer Ft-nál kevesebb</w:t>
            </w:r>
            <w:r w:rsidR="004323B2" w:rsidRPr="00B97C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kollégiumi díj</w:t>
            </w:r>
            <w:r w:rsidR="00B209F3" w:rsidRPr="00563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 kollégiumi ellátásért</w:t>
            </w:r>
            <w:r w:rsidR="00A101E4" w:rsidRPr="00264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871F4" w:rsidRPr="00523B2A" w:rsidRDefault="00E871F4" w:rsidP="007975C4">
            <w:pPr>
              <w:pStyle w:val="Listaszerbekezds"/>
              <w:ind w:left="30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209F3" w:rsidRPr="00405FFD" w:rsidRDefault="00B209F3" w:rsidP="00AC48C7">
            <w:pPr>
              <w:pStyle w:val="Listaszerbekezds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96" w:type="dxa"/>
            <w:vAlign w:val="center"/>
          </w:tcPr>
          <w:p w:rsidR="000161BC" w:rsidRPr="005F4687" w:rsidRDefault="000161BC" w:rsidP="00264DF4">
            <w:pPr>
              <w:pStyle w:val="Listaszerbekezds"/>
              <w:numPr>
                <w:ilvl w:val="0"/>
                <w:numId w:val="47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>Ún. szociális szabályzat</w:t>
            </w:r>
          </w:p>
          <w:p w:rsidR="000161BC" w:rsidRPr="00253FAD" w:rsidRDefault="000161BC" w:rsidP="00523B2A">
            <w:pPr>
              <w:pStyle w:val="Listaszerbekezds"/>
              <w:numPr>
                <w:ilvl w:val="0"/>
                <w:numId w:val="47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>Tagsági szerződés</w:t>
            </w:r>
            <w:r w:rsidR="00E26995"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(ú</w:t>
            </w:r>
            <w:r w:rsidR="00E26995" w:rsidRPr="003617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jonnan létesülő roma szakkollégium esetén </w:t>
            </w:r>
            <w:r w:rsidR="00E26995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nyilatkozat a tervezett szakkollégiumi létszámról)</w:t>
            </w:r>
          </w:p>
          <w:p w:rsidR="00B209F3" w:rsidRPr="00253FAD" w:rsidRDefault="00B209F3" w:rsidP="00523B2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0F52" w:rsidRPr="00253FAD" w:rsidTr="00624C89">
        <w:tc>
          <w:tcPr>
            <w:tcW w:w="6384" w:type="dxa"/>
            <w:vAlign w:val="center"/>
          </w:tcPr>
          <w:p w:rsidR="00400F52" w:rsidRPr="00264DF4" w:rsidRDefault="00400F5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tanulmányi programban vállalt feladatok elvégzéséhez és a közösségi programok </w:t>
            </w:r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megvalósításához megfelelő </w:t>
            </w:r>
            <w:r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infrastrukturális háttér biztosítása a szakkollégium feladata.</w:t>
            </w:r>
          </w:p>
          <w:p w:rsidR="00400F52" w:rsidRPr="00523B2A" w:rsidRDefault="00400F52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  <w:vAlign w:val="center"/>
          </w:tcPr>
          <w:p w:rsidR="00400F52" w:rsidRPr="00624C89" w:rsidRDefault="00400F52" w:rsidP="00624C89">
            <w:pPr>
              <w:spacing w:after="20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624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Kötelező</w:t>
            </w:r>
            <w:r w:rsidR="00D637B3" w:rsidRPr="00624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elemek</w:t>
            </w:r>
            <w:r w:rsidRPr="00624C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: 2 pont</w:t>
            </w:r>
          </w:p>
          <w:p w:rsidR="00400F52" w:rsidRPr="005F4687" w:rsidRDefault="00A518EB" w:rsidP="00624C89">
            <w:pPr>
              <w:spacing w:after="2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Az alábbi </w:t>
            </w:r>
            <w:r w:rsidR="00400F52"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eszközök</w:t>
            </w:r>
            <w:r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biztosítása</w:t>
            </w:r>
            <w:r w:rsidR="00400F52" w:rsidRPr="005F46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00F52" w:rsidRPr="00253FAD" w:rsidRDefault="00400F52" w:rsidP="00624C89">
            <w:pPr>
              <w:pStyle w:val="Listaszerbekezds"/>
              <w:numPr>
                <w:ilvl w:val="0"/>
                <w:numId w:val="32"/>
              </w:numPr>
              <w:ind w:left="303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projektor, laptop, hangfal, fényképezőgép</w:t>
            </w:r>
          </w:p>
          <w:p w:rsidR="007347E9" w:rsidRPr="00253FAD" w:rsidRDefault="00400F52" w:rsidP="00624C89">
            <w:pPr>
              <w:pStyle w:val="Listaszerbekezds"/>
              <w:numPr>
                <w:ilvl w:val="0"/>
                <w:numId w:val="32"/>
              </w:numPr>
              <w:ind w:left="303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iroda, közösségi tér, honlap, </w:t>
            </w:r>
            <w:r w:rsidR="00B763F9" w:rsidRPr="00253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közösségi </w:t>
            </w:r>
            <w:r w:rsidRPr="00253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oldal</w:t>
            </w:r>
          </w:p>
        </w:tc>
        <w:tc>
          <w:tcPr>
            <w:tcW w:w="3396" w:type="dxa"/>
            <w:vAlign w:val="center"/>
          </w:tcPr>
          <w:p w:rsidR="00400F52" w:rsidRPr="00253FAD" w:rsidRDefault="00B57376" w:rsidP="00624C89">
            <w:pPr>
              <w:pStyle w:val="Listaszerbekezds"/>
              <w:numPr>
                <w:ilvl w:val="0"/>
                <w:numId w:val="48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</w:t>
            </w:r>
            <w:r w:rsidR="0060139F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asználati megállapodás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ok</w:t>
            </w:r>
          </w:p>
          <w:p w:rsidR="00B57376" w:rsidRPr="00253FAD" w:rsidRDefault="00B57376" w:rsidP="00624C89">
            <w:pPr>
              <w:pStyle w:val="Listaszerbekezds"/>
              <w:numPr>
                <w:ilvl w:val="0"/>
                <w:numId w:val="48"/>
              </w:numPr>
              <w:ind w:left="349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Leltári jegyzék</w:t>
            </w:r>
          </w:p>
        </w:tc>
      </w:tr>
      <w:tr w:rsidR="00DC2207" w:rsidRPr="00253FAD" w:rsidTr="00624C89">
        <w:tc>
          <w:tcPr>
            <w:tcW w:w="6384" w:type="dxa"/>
            <w:shd w:val="clear" w:color="auto" w:fill="00B0F0"/>
            <w:vAlign w:val="center"/>
          </w:tcPr>
          <w:p w:rsidR="00DC2207" w:rsidRPr="0042580E" w:rsidRDefault="00DC2207" w:rsidP="00B10158">
            <w:pPr>
              <w:numPr>
                <w:ilvl w:val="0"/>
                <w:numId w:val="3"/>
              </w:numPr>
              <w:spacing w:after="20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A hallgatói előrehaladás mérésére szolgáló rendszer</w:t>
            </w:r>
          </w:p>
        </w:tc>
        <w:tc>
          <w:tcPr>
            <w:tcW w:w="4214" w:type="dxa"/>
            <w:shd w:val="clear" w:color="auto" w:fill="00B0F0"/>
            <w:vAlign w:val="center"/>
          </w:tcPr>
          <w:p w:rsidR="00136108" w:rsidRPr="00264DF4" w:rsidRDefault="00136108" w:rsidP="00624C89">
            <w:pPr>
              <w:spacing w:after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5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Pontozás</w:t>
            </w:r>
          </w:p>
        </w:tc>
        <w:tc>
          <w:tcPr>
            <w:tcW w:w="3396" w:type="dxa"/>
            <w:shd w:val="clear" w:color="auto" w:fill="00B0F0"/>
            <w:vAlign w:val="center"/>
          </w:tcPr>
          <w:p w:rsidR="00DC2207" w:rsidRPr="00523B2A" w:rsidRDefault="00DC2207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Vizsgálandó dokumentumok</w:t>
            </w:r>
          </w:p>
        </w:tc>
      </w:tr>
      <w:tr w:rsidR="00864FA2" w:rsidRPr="00253FAD" w:rsidTr="00624C89">
        <w:tc>
          <w:tcPr>
            <w:tcW w:w="6384" w:type="dxa"/>
            <w:vAlign w:val="center"/>
          </w:tcPr>
          <w:p w:rsidR="00864FA2" w:rsidRPr="00523B2A" w:rsidRDefault="00A913EE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 a hallgató munkáját, teljesítményét differenciált eszközökkel értékeli</w:t>
            </w:r>
            <w:r w:rsidR="004C072B" w:rsidRPr="007975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E724C" w:rsidRPr="00AC4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7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egyéni fejlesztés sajátos eszközeit minden szakkollégiumnak ki kell dolgoznia. A szakkollégiumi munkát, a szabályzatokban </w:t>
            </w:r>
            <w:r w:rsidR="00D822F5" w:rsidRPr="0026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előre, nyilvánosan </w:t>
            </w:r>
            <w:r w:rsidRPr="00523B2A">
              <w:rPr>
                <w:rFonts w:ascii="Times New Roman" w:eastAsia="Times New Roman" w:hAnsi="Times New Roman" w:cs="Times New Roman"/>
                <w:sz w:val="24"/>
                <w:szCs w:val="24"/>
              </w:rPr>
              <w:t>meghatározott módon kell értékelni.</w:t>
            </w:r>
          </w:p>
          <w:p w:rsidR="00864FA2" w:rsidRPr="0036178E" w:rsidRDefault="00A913EE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AD3615"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egyéni fejlesztési terv meghatározása és megvalósulásának nyomon</w:t>
            </w:r>
            <w:r w:rsidR="00DE2BE7"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4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követése, felülvizsgálata </w:t>
            </w:r>
          </w:p>
          <w:p w:rsidR="00864FA2" w:rsidRPr="00253FAD" w:rsidRDefault="00A913EE" w:rsidP="00624C89">
            <w:pPr>
              <w:numPr>
                <w:ilvl w:val="0"/>
                <w:numId w:val="7"/>
              </w:num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egyéni fejlesztésben meghatározottak szerint sikeres diplomaszerzést támogató kompetenciafejlesztés, nyelvi képzések, tehetséggondozás </w:t>
            </w:r>
          </w:p>
          <w:p w:rsidR="00356C17" w:rsidRPr="00253FAD" w:rsidRDefault="00B023DD" w:rsidP="00624C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szakkollégiumi hallgatók előrehaladást külön dokumentumban szükséges vezetni. Ebből kiolvashatónak kell lennie a diák által választott/vállalt te</w:t>
            </w:r>
            <w:r w:rsidR="00415893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vékenységek sora, a diák részvétele ezekben a tevékenységekben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 ennek értékelési módja. A dokumentumnak lehetőséget kell biztosítania a diákok egyéni előrehaladásához illeszkedő tervezésre, értékelésre. Az értékelési rendszert </w:t>
            </w:r>
            <w:r w:rsidR="00415893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előzetesen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minden tag számára nyilvánossá és elérhetővé kell tenni. </w:t>
            </w:r>
            <w:r w:rsidR="00415893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Az értékelést előzetesen meghatározott időközönként szükséges elvégezni, melybe a diák betekintést kaphat.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14" w:type="dxa"/>
            <w:vAlign w:val="center"/>
          </w:tcPr>
          <w:p w:rsidR="00195C9E" w:rsidRPr="00BB2DFE" w:rsidRDefault="00195C9E" w:rsidP="00624C89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Kötelező</w:t>
            </w:r>
            <w:r w:rsidR="00B10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elemek</w:t>
            </w:r>
            <w:r w:rsidRPr="00B10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871AA" w:rsidRPr="00B10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0-5</w:t>
            </w:r>
            <w:r w:rsidRPr="00B101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pont</w:t>
            </w:r>
          </w:p>
          <w:p w:rsidR="007C39CE" w:rsidRPr="00253FAD" w:rsidRDefault="00F45135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E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pont, ha a rendszer biztosítja a világos célkitűzést, a cél felé haladás és beavatkozás nyomon követhetőségét, a cél elérésének értékelését, </w:t>
            </w:r>
            <w:r w:rsidR="00777123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majd 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 tovább fejlődés következő lépésé</w:t>
            </w:r>
            <w:r w:rsidR="00777123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nek meghatározására vonatkozó előírást.</w:t>
            </w:r>
          </w:p>
          <w:p w:rsidR="00777123" w:rsidRPr="00253FAD" w:rsidRDefault="00777123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1-4. pont, ha a fenti logika részben </w:t>
            </w:r>
            <w:proofErr w:type="gramStart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valósul(</w:t>
            </w:r>
            <w:proofErr w:type="gramEnd"/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hat) meg.</w:t>
            </w:r>
          </w:p>
          <w:p w:rsidR="007C39CE" w:rsidRPr="00253FAD" w:rsidRDefault="007C39CE" w:rsidP="00624C8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0 pont, ha nincs előre meghatározott, nyilvánossá tett sza</w:t>
            </w:r>
            <w:r w:rsidR="004C072B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ályozás</w:t>
            </w:r>
          </w:p>
        </w:tc>
        <w:tc>
          <w:tcPr>
            <w:tcW w:w="3396" w:type="dxa"/>
            <w:vAlign w:val="center"/>
          </w:tcPr>
          <w:p w:rsidR="004C072B" w:rsidRPr="00253FAD" w:rsidRDefault="004C072B" w:rsidP="00624C89">
            <w:pPr>
              <w:numPr>
                <w:ilvl w:val="0"/>
                <w:numId w:val="49"/>
              </w:numPr>
              <w:spacing w:line="276" w:lineRule="auto"/>
              <w:ind w:left="349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hAnsi="Times New Roman" w:cs="Times New Roman"/>
                <w:sz w:val="24"/>
                <w:szCs w:val="24"/>
              </w:rPr>
              <w:t>szakmai program</w:t>
            </w:r>
            <w:r w:rsidR="00195C9E" w:rsidRPr="00253FAD">
              <w:rPr>
                <w:rFonts w:ascii="Times New Roman" w:hAnsi="Times New Roman" w:cs="Times New Roman"/>
                <w:sz w:val="24"/>
                <w:szCs w:val="24"/>
              </w:rPr>
              <w:t xml:space="preserve"> és/vagy pedagógiai program</w:t>
            </w:r>
          </w:p>
          <w:p w:rsidR="00864FA2" w:rsidRPr="00253FAD" w:rsidRDefault="00A913EE" w:rsidP="00624C89">
            <w:pPr>
              <w:numPr>
                <w:ilvl w:val="0"/>
                <w:numId w:val="49"/>
              </w:numPr>
              <w:spacing w:line="276" w:lineRule="auto"/>
              <w:ind w:left="349" w:hanging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egyéni fejlesztési terv</w:t>
            </w:r>
            <w:r w:rsidR="0034182E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16FF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egyéni karrierterv</w:t>
            </w:r>
            <w:r w:rsidR="00195C9E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portfólió</w:t>
            </w:r>
          </w:p>
          <w:p w:rsidR="00864FA2" w:rsidRPr="00253FAD" w:rsidRDefault="009E5348" w:rsidP="00624C89">
            <w:pPr>
              <w:numPr>
                <w:ilvl w:val="0"/>
                <w:numId w:val="49"/>
              </w:numPr>
              <w:spacing w:line="276" w:lineRule="auto"/>
              <w:ind w:left="349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mentori </w:t>
            </w:r>
            <w:r w:rsidR="00516FF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konzultációs lap</w:t>
            </w:r>
            <w:r w:rsidR="00195C9E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6FF6" w:rsidRPr="00253FAD">
              <w:rPr>
                <w:rFonts w:ascii="Times New Roman" w:eastAsia="Times New Roman" w:hAnsi="Times New Roman" w:cs="Times New Roman"/>
                <w:sz w:val="24"/>
                <w:szCs w:val="24"/>
              </w:rPr>
              <w:t>az előre haladás értékelésével</w:t>
            </w:r>
          </w:p>
          <w:p w:rsidR="004043E8" w:rsidRPr="00253FAD" w:rsidRDefault="004043E8" w:rsidP="00624C89">
            <w:pPr>
              <w:spacing w:line="276" w:lineRule="auto"/>
              <w:ind w:left="34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3643" w:rsidRPr="00253FAD" w:rsidRDefault="000D3643" w:rsidP="00624C89">
      <w:pPr>
        <w:tabs>
          <w:tab w:val="left" w:pos="3795"/>
        </w:tabs>
        <w:jc w:val="both"/>
        <w:rPr>
          <w:rFonts w:ascii="Times New Roman" w:eastAsia="Times New Roman" w:hAnsi="Times New Roman" w:cs="Times New Roman"/>
        </w:rPr>
      </w:pPr>
    </w:p>
    <w:sectPr w:rsidR="000D3643" w:rsidRPr="00253FAD" w:rsidSect="00F4438E">
      <w:pgSz w:w="16838" w:h="11906" w:orient="landscape"/>
      <w:pgMar w:top="1440" w:right="1440" w:bottom="1440" w:left="180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55" w:rsidRDefault="009B6355">
      <w:pPr>
        <w:spacing w:after="0" w:line="240" w:lineRule="auto"/>
      </w:pPr>
      <w:r>
        <w:separator/>
      </w:r>
    </w:p>
  </w:endnote>
  <w:endnote w:type="continuationSeparator" w:id="0">
    <w:p w:rsidR="009B6355" w:rsidRDefault="009B6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810" w:rsidRPr="003C11D1" w:rsidRDefault="00506810" w:rsidP="000D364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</w:rPr>
    </w:pPr>
    <w:r w:rsidRPr="003C11D1">
      <w:rPr>
        <w:rFonts w:ascii="Times New Roman" w:hAnsi="Times New Roman" w:cs="Times New Roman"/>
      </w:rPr>
      <w:fldChar w:fldCharType="begin"/>
    </w:r>
    <w:r w:rsidRPr="003C11D1">
      <w:rPr>
        <w:rFonts w:ascii="Times New Roman" w:hAnsi="Times New Roman" w:cs="Times New Roman"/>
      </w:rPr>
      <w:instrText>PAGE</w:instrText>
    </w:r>
    <w:r w:rsidRPr="003C11D1">
      <w:rPr>
        <w:rFonts w:ascii="Times New Roman" w:hAnsi="Times New Roman" w:cs="Times New Roman"/>
      </w:rPr>
      <w:fldChar w:fldCharType="separate"/>
    </w:r>
    <w:r w:rsidR="00175642">
      <w:rPr>
        <w:rFonts w:ascii="Times New Roman" w:hAnsi="Times New Roman" w:cs="Times New Roman"/>
        <w:noProof/>
      </w:rPr>
      <w:t>4</w:t>
    </w:r>
    <w:r w:rsidRPr="003C11D1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55" w:rsidRDefault="009B6355">
      <w:pPr>
        <w:spacing w:after="0" w:line="240" w:lineRule="auto"/>
      </w:pPr>
      <w:r>
        <w:separator/>
      </w:r>
    </w:p>
  </w:footnote>
  <w:footnote w:type="continuationSeparator" w:id="0">
    <w:p w:rsidR="009B6355" w:rsidRDefault="009B6355">
      <w:pPr>
        <w:spacing w:after="0" w:line="240" w:lineRule="auto"/>
      </w:pPr>
      <w:r>
        <w:continuationSeparator/>
      </w:r>
    </w:p>
  </w:footnote>
  <w:footnote w:id="1">
    <w:p w:rsidR="00506810" w:rsidRPr="008D1C0A" w:rsidRDefault="00506810" w:rsidP="00FB5566">
      <w:pPr>
        <w:pStyle w:val="Jegyzetszveg"/>
        <w:jc w:val="both"/>
        <w:rPr>
          <w:rFonts w:ascii="Times New Roman" w:hAnsi="Times New Roman" w:cs="Times New Roman"/>
        </w:rPr>
      </w:pPr>
      <w:r w:rsidRPr="008D1C0A">
        <w:rPr>
          <w:rStyle w:val="Lbjegyzet-hivatkozs"/>
          <w:rFonts w:ascii="Times New Roman" w:hAnsi="Times New Roman" w:cs="Times New Roman"/>
        </w:rPr>
        <w:footnoteRef/>
      </w:r>
      <w:r w:rsidRPr="008D1C0A">
        <w:rPr>
          <w:rFonts w:ascii="Times New Roman" w:hAnsi="Times New Roman" w:cs="Times New Roman"/>
        </w:rPr>
        <w:t xml:space="preserve"> </w:t>
      </w:r>
      <w:r w:rsidRPr="008D1C0A">
        <w:rPr>
          <w:rFonts w:ascii="Times New Roman" w:hAnsi="Times New Roman" w:cs="Times New Roman"/>
          <w:sz w:val="18"/>
          <w:szCs w:val="18"/>
        </w:rPr>
        <w:t>A roma és cigány megnevezést egymás szinonimájaként használjuk.</w:t>
      </w:r>
    </w:p>
    <w:p w:rsidR="00506810" w:rsidRDefault="00506810" w:rsidP="00FB5566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255E"/>
    <w:multiLevelType w:val="hybridMultilevel"/>
    <w:tmpl w:val="62C0B6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F379D"/>
    <w:multiLevelType w:val="hybridMultilevel"/>
    <w:tmpl w:val="96663C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0032C0"/>
    <w:multiLevelType w:val="hybridMultilevel"/>
    <w:tmpl w:val="86F6363E"/>
    <w:lvl w:ilvl="0" w:tplc="ADAE7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B4275"/>
    <w:multiLevelType w:val="hybridMultilevel"/>
    <w:tmpl w:val="8D14A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74769"/>
    <w:multiLevelType w:val="hybridMultilevel"/>
    <w:tmpl w:val="87B82A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36FC3"/>
    <w:multiLevelType w:val="multilevel"/>
    <w:tmpl w:val="CDFCCFB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A4E21"/>
    <w:multiLevelType w:val="multilevel"/>
    <w:tmpl w:val="09F8E6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9F1DE4"/>
    <w:multiLevelType w:val="multilevel"/>
    <w:tmpl w:val="F4AE6A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8E25BE5"/>
    <w:multiLevelType w:val="multilevel"/>
    <w:tmpl w:val="76D079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964493E"/>
    <w:multiLevelType w:val="multilevel"/>
    <w:tmpl w:val="49548A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19A200A6"/>
    <w:multiLevelType w:val="multilevel"/>
    <w:tmpl w:val="3E6883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1A26627A"/>
    <w:multiLevelType w:val="multilevel"/>
    <w:tmpl w:val="5128B9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B0C6168"/>
    <w:multiLevelType w:val="multilevel"/>
    <w:tmpl w:val="5FDAB9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207F5EF8"/>
    <w:multiLevelType w:val="hybridMultilevel"/>
    <w:tmpl w:val="22A812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45BE8"/>
    <w:multiLevelType w:val="hybridMultilevel"/>
    <w:tmpl w:val="47BA41DA"/>
    <w:lvl w:ilvl="0" w:tplc="040E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>
    <w:nsid w:val="29167733"/>
    <w:multiLevelType w:val="multilevel"/>
    <w:tmpl w:val="45DC8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9A31EC9"/>
    <w:multiLevelType w:val="multilevel"/>
    <w:tmpl w:val="ADDAF1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C1259B3"/>
    <w:multiLevelType w:val="hybridMultilevel"/>
    <w:tmpl w:val="DBC0DB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B41CE8"/>
    <w:multiLevelType w:val="hybridMultilevel"/>
    <w:tmpl w:val="E99805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1D15F8"/>
    <w:multiLevelType w:val="multilevel"/>
    <w:tmpl w:val="0A0828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F6E44BB"/>
    <w:multiLevelType w:val="hybridMultilevel"/>
    <w:tmpl w:val="E08E60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76112"/>
    <w:multiLevelType w:val="hybridMultilevel"/>
    <w:tmpl w:val="5FD49BC2"/>
    <w:lvl w:ilvl="0" w:tplc="C51C5A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C922BE"/>
    <w:multiLevelType w:val="multilevel"/>
    <w:tmpl w:val="0A0828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2273C7C"/>
    <w:multiLevelType w:val="multilevel"/>
    <w:tmpl w:val="36745A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34903356"/>
    <w:multiLevelType w:val="hybridMultilevel"/>
    <w:tmpl w:val="96082FA6"/>
    <w:lvl w:ilvl="0" w:tplc="ADAE7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385C69"/>
    <w:multiLevelType w:val="hybridMultilevel"/>
    <w:tmpl w:val="FF04F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E90352"/>
    <w:multiLevelType w:val="multilevel"/>
    <w:tmpl w:val="1180D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3EA7549E"/>
    <w:multiLevelType w:val="multilevel"/>
    <w:tmpl w:val="072A35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3F224E8C"/>
    <w:multiLevelType w:val="multilevel"/>
    <w:tmpl w:val="1730E592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781930"/>
    <w:multiLevelType w:val="hybridMultilevel"/>
    <w:tmpl w:val="FB300D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7324D5"/>
    <w:multiLevelType w:val="hybridMultilevel"/>
    <w:tmpl w:val="97204FF4"/>
    <w:lvl w:ilvl="0" w:tplc="9BAC86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53558A"/>
    <w:multiLevelType w:val="multilevel"/>
    <w:tmpl w:val="AD2CF0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46A86D75"/>
    <w:multiLevelType w:val="multilevel"/>
    <w:tmpl w:val="EEC6DEC2"/>
    <w:lvl w:ilvl="0">
      <w:start w:val="1"/>
      <w:numFmt w:val="bullet"/>
      <w:lvlText w:val="✓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47AA7633"/>
    <w:multiLevelType w:val="hybridMultilevel"/>
    <w:tmpl w:val="BBE827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5A3C50"/>
    <w:multiLevelType w:val="hybridMultilevel"/>
    <w:tmpl w:val="3314E7C8"/>
    <w:lvl w:ilvl="0" w:tplc="ADAE7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C44203E"/>
    <w:multiLevelType w:val="hybridMultilevel"/>
    <w:tmpl w:val="3F447B6A"/>
    <w:lvl w:ilvl="0" w:tplc="55E8180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2F0CE7"/>
    <w:multiLevelType w:val="multilevel"/>
    <w:tmpl w:val="71124A6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53995C82"/>
    <w:multiLevelType w:val="multilevel"/>
    <w:tmpl w:val="75F48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A437A30"/>
    <w:multiLevelType w:val="hybridMultilevel"/>
    <w:tmpl w:val="96301A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A1F5F"/>
    <w:multiLevelType w:val="multilevel"/>
    <w:tmpl w:val="62246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60887BE0"/>
    <w:multiLevelType w:val="multilevel"/>
    <w:tmpl w:val="0E1EEF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274899"/>
    <w:multiLevelType w:val="multilevel"/>
    <w:tmpl w:val="0A0828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2AC2394"/>
    <w:multiLevelType w:val="multilevel"/>
    <w:tmpl w:val="2586F20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40A2266"/>
    <w:multiLevelType w:val="multilevel"/>
    <w:tmpl w:val="A254EDD4"/>
    <w:lvl w:ilvl="0">
      <w:start w:val="1"/>
      <w:numFmt w:val="decimal"/>
      <w:lvlText w:val="%1."/>
      <w:lvlJc w:val="left"/>
      <w:pPr>
        <w:ind w:left="1726" w:hanging="360"/>
      </w:pPr>
      <w:rPr>
        <w:sz w:val="24"/>
        <w:szCs w:val="24"/>
      </w:rPr>
    </w:lvl>
    <w:lvl w:ilvl="1">
      <w:start w:val="1"/>
      <w:numFmt w:val="bullet"/>
      <w:lvlText w:val="o"/>
      <w:lvlJc w:val="left"/>
      <w:pPr>
        <w:ind w:left="244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6" w:hanging="360"/>
      </w:pPr>
      <w:rPr>
        <w:rFonts w:ascii="Noto Sans Symbols" w:eastAsia="Noto Sans Symbols" w:hAnsi="Noto Sans Symbols" w:cs="Noto Sans Symbols"/>
      </w:rPr>
    </w:lvl>
  </w:abstractNum>
  <w:abstractNum w:abstractNumId="44">
    <w:nsid w:val="67311036"/>
    <w:multiLevelType w:val="multilevel"/>
    <w:tmpl w:val="3F68C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BE15CC"/>
    <w:multiLevelType w:val="hybridMultilevel"/>
    <w:tmpl w:val="A9EC66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D3C6C62"/>
    <w:multiLevelType w:val="hybridMultilevel"/>
    <w:tmpl w:val="6DCEFCC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681900"/>
    <w:multiLevelType w:val="hybridMultilevel"/>
    <w:tmpl w:val="B5805D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AB78B9"/>
    <w:multiLevelType w:val="hybridMultilevel"/>
    <w:tmpl w:val="4DA887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542568"/>
    <w:multiLevelType w:val="multilevel"/>
    <w:tmpl w:val="5B1460D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>
    <w:nsid w:val="7CCF6C1D"/>
    <w:multiLevelType w:val="hybridMultilevel"/>
    <w:tmpl w:val="AA3A09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80601C"/>
    <w:multiLevelType w:val="multilevel"/>
    <w:tmpl w:val="0A08281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7"/>
  </w:num>
  <w:num w:numId="3">
    <w:abstractNumId w:val="5"/>
  </w:num>
  <w:num w:numId="4">
    <w:abstractNumId w:val="27"/>
  </w:num>
  <w:num w:numId="5">
    <w:abstractNumId w:val="12"/>
  </w:num>
  <w:num w:numId="6">
    <w:abstractNumId w:val="10"/>
  </w:num>
  <w:num w:numId="7">
    <w:abstractNumId w:val="9"/>
  </w:num>
  <w:num w:numId="8">
    <w:abstractNumId w:val="44"/>
  </w:num>
  <w:num w:numId="9">
    <w:abstractNumId w:val="19"/>
  </w:num>
  <w:num w:numId="10">
    <w:abstractNumId w:val="6"/>
  </w:num>
  <w:num w:numId="11">
    <w:abstractNumId w:val="40"/>
  </w:num>
  <w:num w:numId="12">
    <w:abstractNumId w:val="37"/>
  </w:num>
  <w:num w:numId="13">
    <w:abstractNumId w:val="31"/>
  </w:num>
  <w:num w:numId="14">
    <w:abstractNumId w:val="28"/>
  </w:num>
  <w:num w:numId="15">
    <w:abstractNumId w:val="32"/>
  </w:num>
  <w:num w:numId="16">
    <w:abstractNumId w:val="25"/>
  </w:num>
  <w:num w:numId="17">
    <w:abstractNumId w:val="48"/>
  </w:num>
  <w:num w:numId="18">
    <w:abstractNumId w:val="14"/>
  </w:num>
  <w:num w:numId="19">
    <w:abstractNumId w:val="1"/>
  </w:num>
  <w:num w:numId="20">
    <w:abstractNumId w:val="3"/>
  </w:num>
  <w:num w:numId="21">
    <w:abstractNumId w:val="50"/>
  </w:num>
  <w:num w:numId="22">
    <w:abstractNumId w:val="17"/>
  </w:num>
  <w:num w:numId="23">
    <w:abstractNumId w:val="22"/>
  </w:num>
  <w:num w:numId="24">
    <w:abstractNumId w:val="41"/>
  </w:num>
  <w:num w:numId="25">
    <w:abstractNumId w:val="51"/>
  </w:num>
  <w:num w:numId="26">
    <w:abstractNumId w:val="2"/>
  </w:num>
  <w:num w:numId="27">
    <w:abstractNumId w:val="4"/>
  </w:num>
  <w:num w:numId="28">
    <w:abstractNumId w:val="35"/>
  </w:num>
  <w:num w:numId="29">
    <w:abstractNumId w:val="49"/>
  </w:num>
  <w:num w:numId="30">
    <w:abstractNumId w:val="34"/>
  </w:num>
  <w:num w:numId="31">
    <w:abstractNumId w:val="36"/>
  </w:num>
  <w:num w:numId="32">
    <w:abstractNumId w:val="21"/>
  </w:num>
  <w:num w:numId="33">
    <w:abstractNumId w:val="18"/>
  </w:num>
  <w:num w:numId="34">
    <w:abstractNumId w:val="38"/>
  </w:num>
  <w:num w:numId="35">
    <w:abstractNumId w:val="33"/>
  </w:num>
  <w:num w:numId="36">
    <w:abstractNumId w:val="24"/>
  </w:num>
  <w:num w:numId="37">
    <w:abstractNumId w:val="15"/>
  </w:num>
  <w:num w:numId="38">
    <w:abstractNumId w:val="26"/>
  </w:num>
  <w:num w:numId="39">
    <w:abstractNumId w:val="29"/>
  </w:num>
  <w:num w:numId="40">
    <w:abstractNumId w:val="30"/>
  </w:num>
  <w:num w:numId="41">
    <w:abstractNumId w:val="8"/>
  </w:num>
  <w:num w:numId="42">
    <w:abstractNumId w:val="39"/>
  </w:num>
  <w:num w:numId="43">
    <w:abstractNumId w:val="42"/>
  </w:num>
  <w:num w:numId="44">
    <w:abstractNumId w:val="23"/>
  </w:num>
  <w:num w:numId="45">
    <w:abstractNumId w:val="0"/>
  </w:num>
  <w:num w:numId="46">
    <w:abstractNumId w:val="47"/>
  </w:num>
  <w:num w:numId="47">
    <w:abstractNumId w:val="45"/>
  </w:num>
  <w:num w:numId="48">
    <w:abstractNumId w:val="13"/>
  </w:num>
  <w:num w:numId="49">
    <w:abstractNumId w:val="11"/>
  </w:num>
  <w:num w:numId="50">
    <w:abstractNumId w:val="43"/>
  </w:num>
  <w:num w:numId="51">
    <w:abstractNumId w:val="20"/>
  </w:num>
  <w:num w:numId="52">
    <w:abstractNumId w:val="46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ezentáció">
    <w15:presenceInfo w15:providerId="None" w15:userId="Prezentáci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FA2"/>
    <w:rsid w:val="00012604"/>
    <w:rsid w:val="000144E0"/>
    <w:rsid w:val="000161BC"/>
    <w:rsid w:val="000169D7"/>
    <w:rsid w:val="0002169E"/>
    <w:rsid w:val="0003003D"/>
    <w:rsid w:val="0003277A"/>
    <w:rsid w:val="00033AC6"/>
    <w:rsid w:val="000376A8"/>
    <w:rsid w:val="00043BC8"/>
    <w:rsid w:val="000440A8"/>
    <w:rsid w:val="000449D2"/>
    <w:rsid w:val="00055678"/>
    <w:rsid w:val="00057AC2"/>
    <w:rsid w:val="00061329"/>
    <w:rsid w:val="00066B15"/>
    <w:rsid w:val="00070DF7"/>
    <w:rsid w:val="00093647"/>
    <w:rsid w:val="000A096C"/>
    <w:rsid w:val="000B02DF"/>
    <w:rsid w:val="000B12FB"/>
    <w:rsid w:val="000B5F59"/>
    <w:rsid w:val="000C2385"/>
    <w:rsid w:val="000D103B"/>
    <w:rsid w:val="000D1600"/>
    <w:rsid w:val="000D27AA"/>
    <w:rsid w:val="000D3643"/>
    <w:rsid w:val="000D3709"/>
    <w:rsid w:val="000E04DE"/>
    <w:rsid w:val="000E3D72"/>
    <w:rsid w:val="000E674F"/>
    <w:rsid w:val="000F3F1B"/>
    <w:rsid w:val="00101B9F"/>
    <w:rsid w:val="00107791"/>
    <w:rsid w:val="00107BA9"/>
    <w:rsid w:val="0011161A"/>
    <w:rsid w:val="00127AD3"/>
    <w:rsid w:val="00136108"/>
    <w:rsid w:val="001372EE"/>
    <w:rsid w:val="00141C99"/>
    <w:rsid w:val="0014334A"/>
    <w:rsid w:val="00145910"/>
    <w:rsid w:val="00146DD3"/>
    <w:rsid w:val="00147360"/>
    <w:rsid w:val="001563A2"/>
    <w:rsid w:val="00160FC0"/>
    <w:rsid w:val="001644DC"/>
    <w:rsid w:val="0016596B"/>
    <w:rsid w:val="0016598E"/>
    <w:rsid w:val="0017226B"/>
    <w:rsid w:val="00175227"/>
    <w:rsid w:val="00175642"/>
    <w:rsid w:val="0018264A"/>
    <w:rsid w:val="001829A5"/>
    <w:rsid w:val="00190082"/>
    <w:rsid w:val="00192CD2"/>
    <w:rsid w:val="00193E86"/>
    <w:rsid w:val="001946D2"/>
    <w:rsid w:val="00194897"/>
    <w:rsid w:val="00195C9E"/>
    <w:rsid w:val="001A5BB2"/>
    <w:rsid w:val="001A5D9B"/>
    <w:rsid w:val="001A7865"/>
    <w:rsid w:val="001B1FBB"/>
    <w:rsid w:val="001B2A99"/>
    <w:rsid w:val="001B3E39"/>
    <w:rsid w:val="001C2794"/>
    <w:rsid w:val="001C39F1"/>
    <w:rsid w:val="001C5171"/>
    <w:rsid w:val="001C6D7D"/>
    <w:rsid w:val="001D76D6"/>
    <w:rsid w:val="001D7A09"/>
    <w:rsid w:val="001E3FF7"/>
    <w:rsid w:val="001E724C"/>
    <w:rsid w:val="001F0DE0"/>
    <w:rsid w:val="001F4A68"/>
    <w:rsid w:val="002139A0"/>
    <w:rsid w:val="00217F8A"/>
    <w:rsid w:val="0022194F"/>
    <w:rsid w:val="0022290E"/>
    <w:rsid w:val="00222A69"/>
    <w:rsid w:val="00224430"/>
    <w:rsid w:val="00230DE6"/>
    <w:rsid w:val="00236266"/>
    <w:rsid w:val="002426B5"/>
    <w:rsid w:val="0024271D"/>
    <w:rsid w:val="00244712"/>
    <w:rsid w:val="0024477E"/>
    <w:rsid w:val="00250F01"/>
    <w:rsid w:val="002517B0"/>
    <w:rsid w:val="00253FAD"/>
    <w:rsid w:val="00264DF4"/>
    <w:rsid w:val="00271A9F"/>
    <w:rsid w:val="00273CF7"/>
    <w:rsid w:val="00275AC4"/>
    <w:rsid w:val="00294042"/>
    <w:rsid w:val="002C4AF7"/>
    <w:rsid w:val="002C67C7"/>
    <w:rsid w:val="002D0BE5"/>
    <w:rsid w:val="002D1E41"/>
    <w:rsid w:val="002D4F73"/>
    <w:rsid w:val="002D5A09"/>
    <w:rsid w:val="002E2F94"/>
    <w:rsid w:val="002E3A79"/>
    <w:rsid w:val="002E57E9"/>
    <w:rsid w:val="002E6776"/>
    <w:rsid w:val="002F10D4"/>
    <w:rsid w:val="002F501E"/>
    <w:rsid w:val="0030037F"/>
    <w:rsid w:val="00300BA5"/>
    <w:rsid w:val="00300C2E"/>
    <w:rsid w:val="00304CF9"/>
    <w:rsid w:val="0030502D"/>
    <w:rsid w:val="003050A7"/>
    <w:rsid w:val="00317B1C"/>
    <w:rsid w:val="00326609"/>
    <w:rsid w:val="00332329"/>
    <w:rsid w:val="00336635"/>
    <w:rsid w:val="0034182E"/>
    <w:rsid w:val="00342C96"/>
    <w:rsid w:val="0034520B"/>
    <w:rsid w:val="00347F5E"/>
    <w:rsid w:val="00356C17"/>
    <w:rsid w:val="003601D3"/>
    <w:rsid w:val="0036178E"/>
    <w:rsid w:val="00365B04"/>
    <w:rsid w:val="00367C20"/>
    <w:rsid w:val="00370644"/>
    <w:rsid w:val="0037074C"/>
    <w:rsid w:val="00373408"/>
    <w:rsid w:val="0038149B"/>
    <w:rsid w:val="00385E8D"/>
    <w:rsid w:val="00387E79"/>
    <w:rsid w:val="00395F9C"/>
    <w:rsid w:val="003A7C26"/>
    <w:rsid w:val="003C11D1"/>
    <w:rsid w:val="003D545E"/>
    <w:rsid w:val="003E6CF6"/>
    <w:rsid w:val="003F08B1"/>
    <w:rsid w:val="003F460B"/>
    <w:rsid w:val="00400F52"/>
    <w:rsid w:val="004043E8"/>
    <w:rsid w:val="00405FFD"/>
    <w:rsid w:val="00407914"/>
    <w:rsid w:val="00414EF8"/>
    <w:rsid w:val="00415893"/>
    <w:rsid w:val="004167C4"/>
    <w:rsid w:val="00416EAF"/>
    <w:rsid w:val="0042580E"/>
    <w:rsid w:val="004323B2"/>
    <w:rsid w:val="00436FD6"/>
    <w:rsid w:val="004451F3"/>
    <w:rsid w:val="004543FE"/>
    <w:rsid w:val="00454D6D"/>
    <w:rsid w:val="00464404"/>
    <w:rsid w:val="0046665A"/>
    <w:rsid w:val="00467928"/>
    <w:rsid w:val="004702CC"/>
    <w:rsid w:val="00474F86"/>
    <w:rsid w:val="004766DF"/>
    <w:rsid w:val="0047705F"/>
    <w:rsid w:val="00486655"/>
    <w:rsid w:val="004874DB"/>
    <w:rsid w:val="00496FBA"/>
    <w:rsid w:val="00496FD8"/>
    <w:rsid w:val="004A3893"/>
    <w:rsid w:val="004B0774"/>
    <w:rsid w:val="004C072B"/>
    <w:rsid w:val="004D4EC3"/>
    <w:rsid w:val="004E087D"/>
    <w:rsid w:val="004E1A15"/>
    <w:rsid w:val="004E3D9E"/>
    <w:rsid w:val="004E5969"/>
    <w:rsid w:val="004F0B0A"/>
    <w:rsid w:val="004F37A3"/>
    <w:rsid w:val="004F52D2"/>
    <w:rsid w:val="00506810"/>
    <w:rsid w:val="0050728E"/>
    <w:rsid w:val="00507349"/>
    <w:rsid w:val="005125B0"/>
    <w:rsid w:val="00513917"/>
    <w:rsid w:val="00514FE4"/>
    <w:rsid w:val="00516FF6"/>
    <w:rsid w:val="00523B2A"/>
    <w:rsid w:val="00523E7F"/>
    <w:rsid w:val="0052506C"/>
    <w:rsid w:val="00526086"/>
    <w:rsid w:val="00534A1A"/>
    <w:rsid w:val="00541868"/>
    <w:rsid w:val="0054628C"/>
    <w:rsid w:val="0055732D"/>
    <w:rsid w:val="0056332C"/>
    <w:rsid w:val="00573F4C"/>
    <w:rsid w:val="00574295"/>
    <w:rsid w:val="00586383"/>
    <w:rsid w:val="0059029F"/>
    <w:rsid w:val="005913DC"/>
    <w:rsid w:val="005A0052"/>
    <w:rsid w:val="005A551B"/>
    <w:rsid w:val="005B02BE"/>
    <w:rsid w:val="005B6F99"/>
    <w:rsid w:val="005C38B9"/>
    <w:rsid w:val="005C483B"/>
    <w:rsid w:val="005C4BD4"/>
    <w:rsid w:val="005C5E9F"/>
    <w:rsid w:val="005D4E85"/>
    <w:rsid w:val="005E0398"/>
    <w:rsid w:val="005E0BA8"/>
    <w:rsid w:val="005E2DFF"/>
    <w:rsid w:val="005E456A"/>
    <w:rsid w:val="005E7450"/>
    <w:rsid w:val="005E7CEF"/>
    <w:rsid w:val="005F4687"/>
    <w:rsid w:val="006006AC"/>
    <w:rsid w:val="0060139F"/>
    <w:rsid w:val="00601652"/>
    <w:rsid w:val="006073E8"/>
    <w:rsid w:val="00607520"/>
    <w:rsid w:val="0061799A"/>
    <w:rsid w:val="00624C89"/>
    <w:rsid w:val="00626A80"/>
    <w:rsid w:val="00630C3C"/>
    <w:rsid w:val="006315A3"/>
    <w:rsid w:val="00632A38"/>
    <w:rsid w:val="00633012"/>
    <w:rsid w:val="0063474F"/>
    <w:rsid w:val="00641751"/>
    <w:rsid w:val="006424C6"/>
    <w:rsid w:val="0064341A"/>
    <w:rsid w:val="006449A7"/>
    <w:rsid w:val="00651DC0"/>
    <w:rsid w:val="00653E1D"/>
    <w:rsid w:val="006546DC"/>
    <w:rsid w:val="00654C55"/>
    <w:rsid w:val="0066120D"/>
    <w:rsid w:val="006626EA"/>
    <w:rsid w:val="006646D2"/>
    <w:rsid w:val="006654C0"/>
    <w:rsid w:val="00680424"/>
    <w:rsid w:val="00682E53"/>
    <w:rsid w:val="006846D5"/>
    <w:rsid w:val="006871AA"/>
    <w:rsid w:val="0069064E"/>
    <w:rsid w:val="006963E5"/>
    <w:rsid w:val="006A1998"/>
    <w:rsid w:val="006A3124"/>
    <w:rsid w:val="006B4815"/>
    <w:rsid w:val="006B5245"/>
    <w:rsid w:val="006B6754"/>
    <w:rsid w:val="006B7916"/>
    <w:rsid w:val="006C0B8F"/>
    <w:rsid w:val="006C6D65"/>
    <w:rsid w:val="006D34B9"/>
    <w:rsid w:val="006D7FE5"/>
    <w:rsid w:val="006E6396"/>
    <w:rsid w:val="007003DC"/>
    <w:rsid w:val="00702ADE"/>
    <w:rsid w:val="00703BF6"/>
    <w:rsid w:val="0070563E"/>
    <w:rsid w:val="0070572A"/>
    <w:rsid w:val="00710166"/>
    <w:rsid w:val="00716090"/>
    <w:rsid w:val="0072398E"/>
    <w:rsid w:val="00733672"/>
    <w:rsid w:val="007347E9"/>
    <w:rsid w:val="0073707D"/>
    <w:rsid w:val="00745D6B"/>
    <w:rsid w:val="007461D1"/>
    <w:rsid w:val="00753BE3"/>
    <w:rsid w:val="007628F8"/>
    <w:rsid w:val="00765B9B"/>
    <w:rsid w:val="00770B8D"/>
    <w:rsid w:val="00777123"/>
    <w:rsid w:val="00780407"/>
    <w:rsid w:val="00781CFB"/>
    <w:rsid w:val="00784606"/>
    <w:rsid w:val="007869D6"/>
    <w:rsid w:val="00793203"/>
    <w:rsid w:val="007975C4"/>
    <w:rsid w:val="00797DA2"/>
    <w:rsid w:val="007A1D53"/>
    <w:rsid w:val="007A3320"/>
    <w:rsid w:val="007A6E5B"/>
    <w:rsid w:val="007B47B7"/>
    <w:rsid w:val="007B59E9"/>
    <w:rsid w:val="007C0859"/>
    <w:rsid w:val="007C2209"/>
    <w:rsid w:val="007C39CE"/>
    <w:rsid w:val="007C4583"/>
    <w:rsid w:val="007D49FD"/>
    <w:rsid w:val="007E2E6C"/>
    <w:rsid w:val="007F166B"/>
    <w:rsid w:val="007F3AD7"/>
    <w:rsid w:val="00802936"/>
    <w:rsid w:val="00803877"/>
    <w:rsid w:val="008042EF"/>
    <w:rsid w:val="00811BC0"/>
    <w:rsid w:val="00821A02"/>
    <w:rsid w:val="0082207F"/>
    <w:rsid w:val="008223E9"/>
    <w:rsid w:val="00832F69"/>
    <w:rsid w:val="00834A7E"/>
    <w:rsid w:val="008356F5"/>
    <w:rsid w:val="008363F8"/>
    <w:rsid w:val="00837A17"/>
    <w:rsid w:val="00841EFA"/>
    <w:rsid w:val="0085528D"/>
    <w:rsid w:val="00856934"/>
    <w:rsid w:val="008569ED"/>
    <w:rsid w:val="00864FA2"/>
    <w:rsid w:val="00876C41"/>
    <w:rsid w:val="00886D53"/>
    <w:rsid w:val="00887EB9"/>
    <w:rsid w:val="008930B7"/>
    <w:rsid w:val="008941AF"/>
    <w:rsid w:val="008A245E"/>
    <w:rsid w:val="008A2D39"/>
    <w:rsid w:val="008A7BC8"/>
    <w:rsid w:val="008B03C8"/>
    <w:rsid w:val="008B0B4D"/>
    <w:rsid w:val="008B5672"/>
    <w:rsid w:val="008C3650"/>
    <w:rsid w:val="008D0D7F"/>
    <w:rsid w:val="008D1C0A"/>
    <w:rsid w:val="008D209E"/>
    <w:rsid w:val="008D42C0"/>
    <w:rsid w:val="008D76C7"/>
    <w:rsid w:val="008E2EDD"/>
    <w:rsid w:val="008E4B5E"/>
    <w:rsid w:val="008E4D5A"/>
    <w:rsid w:val="008E5823"/>
    <w:rsid w:val="008F323B"/>
    <w:rsid w:val="0090612F"/>
    <w:rsid w:val="00913A1D"/>
    <w:rsid w:val="0092044C"/>
    <w:rsid w:val="0092462E"/>
    <w:rsid w:val="009259ED"/>
    <w:rsid w:val="00926123"/>
    <w:rsid w:val="0092738F"/>
    <w:rsid w:val="00931612"/>
    <w:rsid w:val="00932039"/>
    <w:rsid w:val="009344FB"/>
    <w:rsid w:val="00935D88"/>
    <w:rsid w:val="00936F0F"/>
    <w:rsid w:val="00937D88"/>
    <w:rsid w:val="009428EE"/>
    <w:rsid w:val="009464B4"/>
    <w:rsid w:val="00947510"/>
    <w:rsid w:val="009509B7"/>
    <w:rsid w:val="00950A68"/>
    <w:rsid w:val="00950DE1"/>
    <w:rsid w:val="0095104C"/>
    <w:rsid w:val="00951567"/>
    <w:rsid w:val="00955CCD"/>
    <w:rsid w:val="00961D42"/>
    <w:rsid w:val="00964CF4"/>
    <w:rsid w:val="00971EC3"/>
    <w:rsid w:val="009725CC"/>
    <w:rsid w:val="00981851"/>
    <w:rsid w:val="00984900"/>
    <w:rsid w:val="00984F13"/>
    <w:rsid w:val="00992567"/>
    <w:rsid w:val="009965CC"/>
    <w:rsid w:val="009A4DDC"/>
    <w:rsid w:val="009A6C84"/>
    <w:rsid w:val="009B28A1"/>
    <w:rsid w:val="009B51F4"/>
    <w:rsid w:val="009B61F2"/>
    <w:rsid w:val="009B6355"/>
    <w:rsid w:val="009B7965"/>
    <w:rsid w:val="009B7BD3"/>
    <w:rsid w:val="009C1EB0"/>
    <w:rsid w:val="009C2D89"/>
    <w:rsid w:val="009C501D"/>
    <w:rsid w:val="009C579E"/>
    <w:rsid w:val="009D5861"/>
    <w:rsid w:val="009E5348"/>
    <w:rsid w:val="00A013E5"/>
    <w:rsid w:val="00A05317"/>
    <w:rsid w:val="00A076BC"/>
    <w:rsid w:val="00A101E4"/>
    <w:rsid w:val="00A1066D"/>
    <w:rsid w:val="00A22CBD"/>
    <w:rsid w:val="00A26199"/>
    <w:rsid w:val="00A36E0C"/>
    <w:rsid w:val="00A405F4"/>
    <w:rsid w:val="00A447C4"/>
    <w:rsid w:val="00A518EB"/>
    <w:rsid w:val="00A56710"/>
    <w:rsid w:val="00A645D3"/>
    <w:rsid w:val="00A74422"/>
    <w:rsid w:val="00A75742"/>
    <w:rsid w:val="00A82453"/>
    <w:rsid w:val="00A90A18"/>
    <w:rsid w:val="00A913EE"/>
    <w:rsid w:val="00AB0C68"/>
    <w:rsid w:val="00AB59C6"/>
    <w:rsid w:val="00AC18E6"/>
    <w:rsid w:val="00AC4246"/>
    <w:rsid w:val="00AC48C7"/>
    <w:rsid w:val="00AC5B5B"/>
    <w:rsid w:val="00AC6D16"/>
    <w:rsid w:val="00AC77E3"/>
    <w:rsid w:val="00AD3615"/>
    <w:rsid w:val="00AE0144"/>
    <w:rsid w:val="00AE5094"/>
    <w:rsid w:val="00AF07F4"/>
    <w:rsid w:val="00AF4BCF"/>
    <w:rsid w:val="00B001F4"/>
    <w:rsid w:val="00B013B6"/>
    <w:rsid w:val="00B023DD"/>
    <w:rsid w:val="00B10158"/>
    <w:rsid w:val="00B13375"/>
    <w:rsid w:val="00B17106"/>
    <w:rsid w:val="00B17C09"/>
    <w:rsid w:val="00B209F3"/>
    <w:rsid w:val="00B20ECC"/>
    <w:rsid w:val="00B240A6"/>
    <w:rsid w:val="00B253BE"/>
    <w:rsid w:val="00B25643"/>
    <w:rsid w:val="00B324AE"/>
    <w:rsid w:val="00B35171"/>
    <w:rsid w:val="00B354C0"/>
    <w:rsid w:val="00B36406"/>
    <w:rsid w:val="00B43C3C"/>
    <w:rsid w:val="00B56DFA"/>
    <w:rsid w:val="00B57376"/>
    <w:rsid w:val="00B719E3"/>
    <w:rsid w:val="00B763F9"/>
    <w:rsid w:val="00B7677B"/>
    <w:rsid w:val="00B76EF9"/>
    <w:rsid w:val="00B771C3"/>
    <w:rsid w:val="00B807AC"/>
    <w:rsid w:val="00B859D5"/>
    <w:rsid w:val="00B864DB"/>
    <w:rsid w:val="00B87460"/>
    <w:rsid w:val="00B91787"/>
    <w:rsid w:val="00B93EF4"/>
    <w:rsid w:val="00B97C4A"/>
    <w:rsid w:val="00BB07B7"/>
    <w:rsid w:val="00BB1D01"/>
    <w:rsid w:val="00BB2DFE"/>
    <w:rsid w:val="00BB33AE"/>
    <w:rsid w:val="00BB3DCA"/>
    <w:rsid w:val="00BB519D"/>
    <w:rsid w:val="00BB5270"/>
    <w:rsid w:val="00BC63C7"/>
    <w:rsid w:val="00BC7748"/>
    <w:rsid w:val="00BD16FA"/>
    <w:rsid w:val="00BD4AA1"/>
    <w:rsid w:val="00BD7904"/>
    <w:rsid w:val="00BE2553"/>
    <w:rsid w:val="00BF1778"/>
    <w:rsid w:val="00BF2C0B"/>
    <w:rsid w:val="00BF4ECC"/>
    <w:rsid w:val="00C04916"/>
    <w:rsid w:val="00C06DAA"/>
    <w:rsid w:val="00C11ADC"/>
    <w:rsid w:val="00C1558A"/>
    <w:rsid w:val="00C179FD"/>
    <w:rsid w:val="00C2125C"/>
    <w:rsid w:val="00C226A0"/>
    <w:rsid w:val="00C31414"/>
    <w:rsid w:val="00C34860"/>
    <w:rsid w:val="00C40137"/>
    <w:rsid w:val="00C4160E"/>
    <w:rsid w:val="00C4546B"/>
    <w:rsid w:val="00C46412"/>
    <w:rsid w:val="00C466B8"/>
    <w:rsid w:val="00C4741F"/>
    <w:rsid w:val="00C516C9"/>
    <w:rsid w:val="00C51DEC"/>
    <w:rsid w:val="00C5324B"/>
    <w:rsid w:val="00C6337B"/>
    <w:rsid w:val="00C779E9"/>
    <w:rsid w:val="00C82748"/>
    <w:rsid w:val="00C857DA"/>
    <w:rsid w:val="00C92AD5"/>
    <w:rsid w:val="00C94309"/>
    <w:rsid w:val="00C9698D"/>
    <w:rsid w:val="00C96993"/>
    <w:rsid w:val="00CA10EC"/>
    <w:rsid w:val="00CB53E5"/>
    <w:rsid w:val="00CB6905"/>
    <w:rsid w:val="00CC15A1"/>
    <w:rsid w:val="00CC69DE"/>
    <w:rsid w:val="00CC7CFA"/>
    <w:rsid w:val="00CD0D7F"/>
    <w:rsid w:val="00CE1656"/>
    <w:rsid w:val="00CE6166"/>
    <w:rsid w:val="00CF269A"/>
    <w:rsid w:val="00CF4992"/>
    <w:rsid w:val="00CF6828"/>
    <w:rsid w:val="00CF6F0B"/>
    <w:rsid w:val="00CF7890"/>
    <w:rsid w:val="00D01A7B"/>
    <w:rsid w:val="00D111FB"/>
    <w:rsid w:val="00D147BE"/>
    <w:rsid w:val="00D1578A"/>
    <w:rsid w:val="00D25E5A"/>
    <w:rsid w:val="00D3022F"/>
    <w:rsid w:val="00D5320C"/>
    <w:rsid w:val="00D54C2B"/>
    <w:rsid w:val="00D61A87"/>
    <w:rsid w:val="00D637B3"/>
    <w:rsid w:val="00D64584"/>
    <w:rsid w:val="00D70F8C"/>
    <w:rsid w:val="00D7324A"/>
    <w:rsid w:val="00D75D14"/>
    <w:rsid w:val="00D81940"/>
    <w:rsid w:val="00D822F5"/>
    <w:rsid w:val="00D90EE0"/>
    <w:rsid w:val="00D96281"/>
    <w:rsid w:val="00DA1896"/>
    <w:rsid w:val="00DB021E"/>
    <w:rsid w:val="00DC08AB"/>
    <w:rsid w:val="00DC2207"/>
    <w:rsid w:val="00DD4A61"/>
    <w:rsid w:val="00DD5741"/>
    <w:rsid w:val="00DD7C94"/>
    <w:rsid w:val="00DE00AC"/>
    <w:rsid w:val="00DE2BDB"/>
    <w:rsid w:val="00DE2BE7"/>
    <w:rsid w:val="00DE3DAE"/>
    <w:rsid w:val="00DE5167"/>
    <w:rsid w:val="00DF00AA"/>
    <w:rsid w:val="00E216A2"/>
    <w:rsid w:val="00E258BC"/>
    <w:rsid w:val="00E26995"/>
    <w:rsid w:val="00E35B95"/>
    <w:rsid w:val="00E37DBF"/>
    <w:rsid w:val="00E414FB"/>
    <w:rsid w:val="00E41F7F"/>
    <w:rsid w:val="00E5011B"/>
    <w:rsid w:val="00E50183"/>
    <w:rsid w:val="00E65A5C"/>
    <w:rsid w:val="00E73745"/>
    <w:rsid w:val="00E76EEA"/>
    <w:rsid w:val="00E810D1"/>
    <w:rsid w:val="00E871F4"/>
    <w:rsid w:val="00E87FC6"/>
    <w:rsid w:val="00E92B2D"/>
    <w:rsid w:val="00EB056D"/>
    <w:rsid w:val="00EB6596"/>
    <w:rsid w:val="00EB7AE0"/>
    <w:rsid w:val="00EB7F9B"/>
    <w:rsid w:val="00EC0292"/>
    <w:rsid w:val="00EC1833"/>
    <w:rsid w:val="00EC445D"/>
    <w:rsid w:val="00EC7C80"/>
    <w:rsid w:val="00ED707A"/>
    <w:rsid w:val="00EE0042"/>
    <w:rsid w:val="00EE4358"/>
    <w:rsid w:val="00EE4620"/>
    <w:rsid w:val="00EE5D2C"/>
    <w:rsid w:val="00EF29A5"/>
    <w:rsid w:val="00EF4627"/>
    <w:rsid w:val="00F008BF"/>
    <w:rsid w:val="00F033ED"/>
    <w:rsid w:val="00F05375"/>
    <w:rsid w:val="00F11A79"/>
    <w:rsid w:val="00F1688B"/>
    <w:rsid w:val="00F21F28"/>
    <w:rsid w:val="00F30CA3"/>
    <w:rsid w:val="00F314C2"/>
    <w:rsid w:val="00F34F91"/>
    <w:rsid w:val="00F37D02"/>
    <w:rsid w:val="00F4223C"/>
    <w:rsid w:val="00F428A1"/>
    <w:rsid w:val="00F4438E"/>
    <w:rsid w:val="00F45135"/>
    <w:rsid w:val="00F51F26"/>
    <w:rsid w:val="00F51FB4"/>
    <w:rsid w:val="00F53E6C"/>
    <w:rsid w:val="00F57F52"/>
    <w:rsid w:val="00F60841"/>
    <w:rsid w:val="00F608C0"/>
    <w:rsid w:val="00F611DE"/>
    <w:rsid w:val="00F621B2"/>
    <w:rsid w:val="00F90BF2"/>
    <w:rsid w:val="00F92FAA"/>
    <w:rsid w:val="00F95C76"/>
    <w:rsid w:val="00FA1162"/>
    <w:rsid w:val="00FA7BF3"/>
    <w:rsid w:val="00FB5566"/>
    <w:rsid w:val="00FC46AC"/>
    <w:rsid w:val="00FD004C"/>
    <w:rsid w:val="00FD2FD7"/>
    <w:rsid w:val="00FD3F9E"/>
    <w:rsid w:val="00FE4EA3"/>
    <w:rsid w:val="00FF0C04"/>
    <w:rsid w:val="00FF3CCB"/>
    <w:rsid w:val="00FF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224430"/>
  </w:style>
  <w:style w:type="paragraph" w:styleId="Cmsor1">
    <w:name w:val="heading 1"/>
    <w:basedOn w:val="Norml"/>
    <w:next w:val="Norml"/>
    <w:rsid w:val="002244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rsid w:val="002244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rsid w:val="002244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rsid w:val="002244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rsid w:val="00224430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rsid w:val="002244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rsid w:val="002244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rsid w:val="00224430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rsid w:val="002244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1"/>
    <w:rsid w:val="0022443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semiHidden/>
    <w:unhideWhenUsed/>
    <w:rsid w:val="00224430"/>
    <w:pPr>
      <w:spacing w:line="240" w:lineRule="auto"/>
    </w:pPr>
    <w:rPr>
      <w:sz w:val="24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24430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24430"/>
    <w:rPr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04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4042"/>
    <w:rPr>
      <w:rFonts w:ascii="Times New Roman" w:hAnsi="Times New Roman" w:cs="Times New Roman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4916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491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F0D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61D4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8245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245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8245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F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4627"/>
  </w:style>
  <w:style w:type="paragraph" w:styleId="llb">
    <w:name w:val="footer"/>
    <w:basedOn w:val="Norml"/>
    <w:link w:val="llbChar"/>
    <w:uiPriority w:val="99"/>
    <w:unhideWhenUsed/>
    <w:rsid w:val="00EF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4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hu-HU" w:eastAsia="hu-H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224430"/>
  </w:style>
  <w:style w:type="paragraph" w:styleId="Cmsor1">
    <w:name w:val="heading 1"/>
    <w:basedOn w:val="Norml"/>
    <w:next w:val="Norml"/>
    <w:rsid w:val="002244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rsid w:val="002244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rsid w:val="002244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rsid w:val="002244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rsid w:val="00224430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rsid w:val="002244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1">
    <w:name w:val="Table Normal1"/>
    <w:rsid w:val="002244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rsid w:val="00224430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rsid w:val="002244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1"/>
    <w:rsid w:val="0022443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Jegyzetszveg">
    <w:name w:val="annotation text"/>
    <w:basedOn w:val="Norml"/>
    <w:link w:val="JegyzetszvegChar"/>
    <w:uiPriority w:val="99"/>
    <w:semiHidden/>
    <w:unhideWhenUsed/>
    <w:rsid w:val="00224430"/>
    <w:pPr>
      <w:spacing w:line="240" w:lineRule="auto"/>
    </w:pPr>
    <w:rPr>
      <w:sz w:val="24"/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24430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224430"/>
    <w:rPr>
      <w:sz w:val="18"/>
      <w:szCs w:val="1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04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94042"/>
    <w:rPr>
      <w:rFonts w:ascii="Times New Roman" w:hAnsi="Times New Roman" w:cs="Times New Roman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4916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491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1F0D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61D4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8245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245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82453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F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F4627"/>
  </w:style>
  <w:style w:type="paragraph" w:styleId="llb">
    <w:name w:val="footer"/>
    <w:basedOn w:val="Norml"/>
    <w:link w:val="llbChar"/>
    <w:uiPriority w:val="99"/>
    <w:unhideWhenUsed/>
    <w:rsid w:val="00EF4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F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EC5DE-1EF2-4421-8386-7648F4978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2364</Words>
  <Characters>16316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Anetta</dc:creator>
  <cp:lastModifiedBy>Parrag Zsolt dr.</cp:lastModifiedBy>
  <cp:revision>5</cp:revision>
  <cp:lastPrinted>2018-08-06T12:50:00Z</cp:lastPrinted>
  <dcterms:created xsi:type="dcterms:W3CDTF">2018-08-08T12:54:00Z</dcterms:created>
  <dcterms:modified xsi:type="dcterms:W3CDTF">2018-08-22T12:15:00Z</dcterms:modified>
</cp:coreProperties>
</file>