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F0192" w14:textId="397AE22B" w:rsidR="005E3DB1" w:rsidRPr="00CC0016" w:rsidRDefault="40B3576B" w:rsidP="40B3576B">
      <w:pPr>
        <w:tabs>
          <w:tab w:val="left" w:pos="6379"/>
        </w:tabs>
        <w:ind w:left="-142" w:right="-1" w:firstLine="142"/>
        <w:jc w:val="left"/>
        <w:rPr>
          <w:b/>
          <w:bCs/>
          <w:smallCaps/>
          <w:sz w:val="32"/>
          <w:szCs w:val="32"/>
        </w:rPr>
      </w:pPr>
      <w:bookmarkStart w:id="0" w:name="_GoBack"/>
      <w:bookmarkEnd w:id="0"/>
      <w:r w:rsidRPr="40B3576B">
        <w:rPr>
          <w:b/>
          <w:bCs/>
          <w:smallCaps/>
          <w:sz w:val="32"/>
          <w:szCs w:val="32"/>
        </w:rPr>
        <w:t>Pénzügyminisztérium</w:t>
      </w:r>
    </w:p>
    <w:p w14:paraId="5D4F0193" w14:textId="77777777" w:rsidR="005E3DB1" w:rsidRPr="00CC0016" w:rsidRDefault="005E3DB1" w:rsidP="00BD2597">
      <w:pPr>
        <w:ind w:left="-142" w:firstLine="142"/>
      </w:pPr>
    </w:p>
    <w:p w14:paraId="5D4F0194" w14:textId="77777777" w:rsidR="005E3DB1" w:rsidRPr="00CC0016" w:rsidRDefault="005E3DB1" w:rsidP="000556FC">
      <w:pPr>
        <w:pStyle w:val="Cm"/>
        <w:ind w:right="0"/>
      </w:pPr>
    </w:p>
    <w:p w14:paraId="5D4F0195" w14:textId="77777777" w:rsidR="005E3DB1" w:rsidRPr="00CC0016" w:rsidRDefault="005E3DB1" w:rsidP="000556FC">
      <w:pPr>
        <w:pStyle w:val="Cm"/>
        <w:ind w:right="0"/>
      </w:pPr>
    </w:p>
    <w:p w14:paraId="5D4F0197" w14:textId="77777777" w:rsidR="005E3DB1" w:rsidRDefault="005E3DB1" w:rsidP="000556FC">
      <w:pPr>
        <w:pStyle w:val="Cm"/>
        <w:ind w:right="0"/>
      </w:pPr>
    </w:p>
    <w:p w14:paraId="79075E45" w14:textId="77777777" w:rsidR="00171DAF" w:rsidRPr="00CC0016" w:rsidRDefault="00171DAF" w:rsidP="000556FC">
      <w:pPr>
        <w:pStyle w:val="Cm"/>
        <w:ind w:right="0"/>
      </w:pPr>
    </w:p>
    <w:p w14:paraId="5D4F0198" w14:textId="77777777" w:rsidR="005E3DB1" w:rsidRPr="00CC0016" w:rsidRDefault="005E3DB1" w:rsidP="000556FC">
      <w:pPr>
        <w:pStyle w:val="Cm"/>
        <w:ind w:right="0"/>
      </w:pPr>
    </w:p>
    <w:p w14:paraId="5D4F0199" w14:textId="77777777" w:rsidR="008D430E" w:rsidRPr="00BE0A0E" w:rsidRDefault="008D430E" w:rsidP="000556FC">
      <w:pPr>
        <w:pStyle w:val="Cm"/>
        <w:ind w:right="0"/>
        <w:rPr>
          <w:sz w:val="26"/>
          <w:szCs w:val="26"/>
        </w:rPr>
      </w:pPr>
    </w:p>
    <w:p w14:paraId="5D4F019A" w14:textId="77777777" w:rsidR="005E3DB1" w:rsidRPr="00CC0016" w:rsidRDefault="005E3DB1" w:rsidP="000556FC">
      <w:pPr>
        <w:pStyle w:val="Cm"/>
        <w:ind w:right="0"/>
      </w:pPr>
    </w:p>
    <w:p w14:paraId="5D4F019B" w14:textId="77777777" w:rsidR="005E3DB1" w:rsidRPr="00CC0016" w:rsidRDefault="005E3DB1" w:rsidP="000556FC">
      <w:pPr>
        <w:pStyle w:val="Cm"/>
        <w:ind w:right="0"/>
      </w:pPr>
    </w:p>
    <w:p w14:paraId="5D4F019C" w14:textId="77777777" w:rsidR="005E3DB1" w:rsidRPr="00CC0016" w:rsidRDefault="005E3DB1" w:rsidP="000556FC">
      <w:pPr>
        <w:pStyle w:val="Cm"/>
        <w:ind w:right="0"/>
      </w:pPr>
    </w:p>
    <w:p w14:paraId="5D4F019D" w14:textId="77777777" w:rsidR="00F630A3" w:rsidRPr="00CC0016" w:rsidRDefault="00F630A3" w:rsidP="000556FC">
      <w:pPr>
        <w:pStyle w:val="Cm"/>
        <w:ind w:right="0"/>
      </w:pPr>
    </w:p>
    <w:p w14:paraId="5D4F019E" w14:textId="77777777" w:rsidR="000C5968" w:rsidRPr="00CC0016" w:rsidRDefault="000C5968" w:rsidP="000556FC">
      <w:pPr>
        <w:pStyle w:val="Cm"/>
        <w:ind w:right="0"/>
      </w:pPr>
    </w:p>
    <w:p w14:paraId="5D4F019F" w14:textId="77777777" w:rsidR="005E3DB1" w:rsidRPr="00CC0016" w:rsidRDefault="005E3DB1" w:rsidP="000556FC">
      <w:pPr>
        <w:pStyle w:val="Cm"/>
        <w:ind w:right="0"/>
      </w:pPr>
      <w:r w:rsidRPr="00CC0016">
        <w:t>Tájékoztató</w:t>
      </w:r>
      <w:r w:rsidRPr="00164FAC">
        <w:footnoteReference w:customMarkFollows="1" w:id="2"/>
        <w:t>*</w:t>
      </w:r>
    </w:p>
    <w:p w14:paraId="10F9DBE6" w14:textId="0D996C0F" w:rsidR="0083067D" w:rsidRPr="00FE4CEC" w:rsidRDefault="40B3576B" w:rsidP="40B3576B">
      <w:pPr>
        <w:pStyle w:val="Cmsor2"/>
        <w:tabs>
          <w:tab w:val="left" w:pos="2694"/>
        </w:tabs>
        <w:spacing w:before="0" w:after="120"/>
        <w:ind w:right="-1"/>
        <w:rPr>
          <w:i/>
          <w:caps w:val="0"/>
          <w:szCs w:val="26"/>
        </w:rPr>
      </w:pPr>
      <w:r w:rsidRPr="00FE4CEC">
        <w:rPr>
          <w:i/>
          <w:caps w:val="0"/>
          <w:szCs w:val="26"/>
        </w:rPr>
        <w:t>az államháztartás központi alrendszerének</w:t>
      </w:r>
      <w:r w:rsidR="5B83E8AE" w:rsidRPr="00FE4CEC">
        <w:rPr>
          <w:i/>
          <w:caps w:val="0"/>
          <w:szCs w:val="26"/>
        </w:rPr>
        <w:br/>
      </w:r>
      <w:r w:rsidRPr="00FE4CEC">
        <w:rPr>
          <w:i/>
          <w:caps w:val="0"/>
          <w:szCs w:val="26"/>
        </w:rPr>
        <w:t>2020. május végi helyzetéről</w:t>
      </w:r>
    </w:p>
    <w:p w14:paraId="5D4F01A0" w14:textId="31227DFC" w:rsidR="00B93477" w:rsidRPr="00623930" w:rsidRDefault="00B93477" w:rsidP="7710508F">
      <w:pPr>
        <w:pStyle w:val="Cmsor2"/>
        <w:tabs>
          <w:tab w:val="left" w:pos="2694"/>
        </w:tabs>
        <w:spacing w:before="0" w:after="120"/>
        <w:ind w:right="-1"/>
        <w:rPr>
          <w:i/>
        </w:rPr>
      </w:pPr>
    </w:p>
    <w:p w14:paraId="5D4F01A1" w14:textId="77777777" w:rsidR="005E3DB1" w:rsidRPr="00275D19" w:rsidRDefault="005E3DB1" w:rsidP="00275D19">
      <w:pPr>
        <w:pStyle w:val="Cmsor2"/>
        <w:tabs>
          <w:tab w:val="left" w:pos="2694"/>
        </w:tabs>
        <w:spacing w:before="0" w:after="120"/>
        <w:ind w:right="-1"/>
        <w:rPr>
          <w:i/>
          <w:caps w:val="0"/>
          <w:szCs w:val="26"/>
        </w:rPr>
      </w:pPr>
    </w:p>
    <w:p w14:paraId="5D4F01A2" w14:textId="77777777" w:rsidR="005E3DB1" w:rsidRPr="00CC0016" w:rsidRDefault="005E3DB1" w:rsidP="000556FC">
      <w:pPr>
        <w:tabs>
          <w:tab w:val="left" w:pos="2694"/>
        </w:tabs>
      </w:pPr>
    </w:p>
    <w:p w14:paraId="5D4F01A3" w14:textId="77777777" w:rsidR="005E3DB1" w:rsidRPr="00CC0016" w:rsidRDefault="005E3DB1" w:rsidP="000556FC">
      <w:pPr>
        <w:pStyle w:val="lfej"/>
        <w:tabs>
          <w:tab w:val="clear" w:pos="4153"/>
          <w:tab w:val="clear" w:pos="8306"/>
          <w:tab w:val="left" w:pos="2694"/>
        </w:tabs>
      </w:pPr>
    </w:p>
    <w:p w14:paraId="5D4F01A4" w14:textId="77777777" w:rsidR="005E3DB1" w:rsidRPr="00CC0016" w:rsidRDefault="005E3DB1" w:rsidP="000556FC">
      <w:pPr>
        <w:tabs>
          <w:tab w:val="left" w:pos="2694"/>
        </w:tabs>
      </w:pPr>
    </w:p>
    <w:p w14:paraId="5D4F01A5" w14:textId="77777777" w:rsidR="005E3DB1" w:rsidRPr="00CC0016" w:rsidRDefault="005E3DB1" w:rsidP="000556FC">
      <w:pPr>
        <w:tabs>
          <w:tab w:val="left" w:pos="2694"/>
        </w:tabs>
      </w:pPr>
    </w:p>
    <w:p w14:paraId="5D4F01A6" w14:textId="77777777" w:rsidR="005E3DB1" w:rsidRPr="00CC0016" w:rsidRDefault="005E3DB1" w:rsidP="000556FC">
      <w:pPr>
        <w:tabs>
          <w:tab w:val="left" w:pos="2694"/>
        </w:tabs>
      </w:pPr>
    </w:p>
    <w:p w14:paraId="5D4F01A7" w14:textId="77777777" w:rsidR="005E3DB1" w:rsidRPr="00CC0016" w:rsidRDefault="005E3DB1" w:rsidP="000556FC"/>
    <w:p w14:paraId="5D4F01A8" w14:textId="77777777" w:rsidR="00771455" w:rsidRPr="00CC0016" w:rsidRDefault="00771455" w:rsidP="000556FC"/>
    <w:p w14:paraId="5D4F01A9" w14:textId="77777777" w:rsidR="00C37774" w:rsidRPr="00CC0016" w:rsidRDefault="00C37774" w:rsidP="000556FC"/>
    <w:p w14:paraId="5D4F01AB" w14:textId="77777777" w:rsidR="00C37774" w:rsidRPr="00CC0016" w:rsidRDefault="00C37774" w:rsidP="000556FC"/>
    <w:p w14:paraId="5D4F01AD" w14:textId="3E48D3FD" w:rsidR="007E4053" w:rsidRDefault="00FA7AFF" w:rsidP="40B3576B">
      <w:pPr>
        <w:tabs>
          <w:tab w:val="left" w:pos="2694"/>
        </w:tabs>
        <w:jc w:val="center"/>
        <w:rPr>
          <w:b/>
          <w:bCs/>
          <w:sz w:val="22"/>
          <w:szCs w:val="22"/>
        </w:rPr>
      </w:pPr>
      <w:r w:rsidRPr="00994A5F">
        <w:rPr>
          <w:b/>
          <w:bCs/>
          <w:noProof/>
          <w:sz w:val="22"/>
          <w:szCs w:val="22"/>
        </w:rPr>
        <mc:AlternateContent>
          <mc:Choice Requires="wps">
            <w:drawing>
              <wp:anchor distT="0" distB="0" distL="114300" distR="114300" simplePos="0" relativeHeight="251658240" behindDoc="0" locked="0" layoutInCell="1" allowOverlap="1" wp14:anchorId="5D4F0455" wp14:editId="6DDE0D92">
                <wp:simplePos x="0" y="0"/>
                <wp:positionH relativeFrom="column">
                  <wp:posOffset>2336732</wp:posOffset>
                </wp:positionH>
                <wp:positionV relativeFrom="paragraph">
                  <wp:posOffset>980217</wp:posOffset>
                </wp:positionV>
                <wp:extent cx="971550" cy="393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2" style="position:absolute;margin-left:184pt;margin-top:77.2pt;width:76.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zD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"/>
            </w:pict>
          </mc:Fallback>
        </mc:AlternateContent>
      </w:r>
      <w:r w:rsidR="00A67C37" w:rsidRPr="00994A5F">
        <w:rPr>
          <w:b/>
          <w:bCs/>
          <w:sz w:val="22"/>
          <w:szCs w:val="22"/>
        </w:rPr>
        <w:t>20</w:t>
      </w:r>
      <w:r w:rsidR="00C90993">
        <w:rPr>
          <w:b/>
          <w:bCs/>
          <w:sz w:val="22"/>
          <w:szCs w:val="22"/>
        </w:rPr>
        <w:t>20</w:t>
      </w:r>
      <w:r w:rsidR="007E4053" w:rsidRPr="00994A5F">
        <w:rPr>
          <w:b/>
          <w:bCs/>
          <w:sz w:val="22"/>
          <w:szCs w:val="22"/>
        </w:rPr>
        <w:t>.</w:t>
      </w:r>
      <w:r w:rsidR="00F30C75">
        <w:rPr>
          <w:b/>
          <w:bCs/>
          <w:sz w:val="22"/>
          <w:szCs w:val="22"/>
        </w:rPr>
        <w:t xml:space="preserve"> </w:t>
      </w:r>
      <w:r w:rsidR="007979BA">
        <w:rPr>
          <w:b/>
          <w:bCs/>
          <w:sz w:val="22"/>
          <w:szCs w:val="22"/>
        </w:rPr>
        <w:t>június</w:t>
      </w:r>
    </w:p>
    <w:p w14:paraId="5839958A" w14:textId="77777777" w:rsidR="00552E0E" w:rsidRPr="00CC0016" w:rsidRDefault="00552E0E" w:rsidP="000556FC">
      <w:pPr>
        <w:tabs>
          <w:tab w:val="left" w:pos="2694"/>
        </w:tabs>
        <w:jc w:val="center"/>
        <w:rPr>
          <w:b/>
          <w:bCs/>
          <w:szCs w:val="28"/>
        </w:rPr>
        <w:sectPr w:rsidR="00552E0E" w:rsidRPr="00CC0016" w:rsidSect="00D46179">
          <w:footerReference w:type="default" r:id="rId12"/>
          <w:footerReference w:type="first" r:id="rId13"/>
          <w:footnotePr>
            <w:numRestart w:val="eachPage"/>
          </w:footnotePr>
          <w:pgSz w:w="11907" w:h="16840" w:code="9"/>
          <w:pgMar w:top="1418" w:right="1418" w:bottom="1418" w:left="1418" w:header="709" w:footer="709" w:gutter="0"/>
          <w:pgNumType w:fmt="numberInDash" w:start="0"/>
          <w:cols w:space="708"/>
          <w:titlePg/>
          <w:docGrid w:linePitch="354"/>
        </w:sectPr>
      </w:pPr>
    </w:p>
    <w:p w14:paraId="5D4F01AE" w14:textId="77777777" w:rsidR="00B93477" w:rsidRDefault="40B3576B" w:rsidP="40B3576B">
      <w:pPr>
        <w:pStyle w:val="Cmsor4"/>
        <w:jc w:val="center"/>
        <w:rPr>
          <w:caps/>
        </w:rPr>
      </w:pPr>
      <w:r w:rsidRPr="40B3576B">
        <w:rPr>
          <w:caps/>
        </w:rPr>
        <w:lastRenderedPageBreak/>
        <w:t>Összefoglalás</w:t>
      </w:r>
    </w:p>
    <w:p w14:paraId="5D4F01AF" w14:textId="77777777" w:rsidR="00841735" w:rsidRPr="00841735" w:rsidRDefault="00841735" w:rsidP="00841735">
      <w:pPr>
        <w:spacing w:after="0"/>
      </w:pPr>
    </w:p>
    <w:p w14:paraId="659C0AE4" w14:textId="77777777" w:rsidR="00E81AEA" w:rsidRPr="00E81AEA" w:rsidRDefault="40B3576B" w:rsidP="40B3576B">
      <w:pPr>
        <w:spacing w:before="100" w:beforeAutospacing="1" w:after="100" w:afterAutospacing="1"/>
        <w:rPr>
          <w:rFonts w:cs="Tahoma"/>
          <w:color w:val="000000" w:themeColor="text1"/>
        </w:rPr>
      </w:pPr>
      <w:r w:rsidRPr="40B3576B">
        <w:rPr>
          <w:rFonts w:cs="Tahoma"/>
          <w:color w:val="000000" w:themeColor="text1"/>
        </w:rPr>
        <w:t xml:space="preserve">A koronavírus gazdasági hatásainak mérséklésére elindított gazdaságvédelmi akcióterv célja az elért eredmények, a magyar családok, a nyugdíjasok, a munkahelyek és a vállalkozások megvédése. Ennek érdekében a kormány többek között munkahelyvédelmi és munkahelyteremtő bértámogatással, adókönnyítésekkel és a beruházások támogatásával is segíti a vállalkozásokat. </w:t>
      </w:r>
    </w:p>
    <w:p w14:paraId="2E5AB56E" w14:textId="77777777" w:rsidR="00E81AEA" w:rsidRPr="00E81AEA" w:rsidRDefault="40B3576B" w:rsidP="40B3576B">
      <w:pPr>
        <w:spacing w:before="100" w:beforeAutospacing="1" w:after="100" w:afterAutospacing="1"/>
        <w:rPr>
          <w:rFonts w:cs="Tahoma"/>
          <w:color w:val="000000" w:themeColor="text1"/>
        </w:rPr>
      </w:pPr>
      <w:r w:rsidRPr="40B3576B">
        <w:rPr>
          <w:rFonts w:cs="Tahoma"/>
          <w:color w:val="000000" w:themeColor="text1"/>
        </w:rPr>
        <w:t>Május végéig összesen 590 milliárd forintnyi járványügyi eszközbeszerzésről született döntés, ebből a védekezésre fordított kiadások május végére elérték a 450 milliárd forintot.</w:t>
      </w:r>
    </w:p>
    <w:p w14:paraId="68EF0650" w14:textId="11E7CBA5" w:rsidR="00E81AEA" w:rsidRPr="00E81AEA" w:rsidRDefault="40B3576B" w:rsidP="40B3576B">
      <w:pPr>
        <w:spacing w:before="100" w:beforeAutospacing="1" w:after="100" w:afterAutospacing="1"/>
        <w:rPr>
          <w:rFonts w:cs="Tahoma"/>
          <w:color w:val="000000" w:themeColor="text1"/>
        </w:rPr>
      </w:pPr>
      <w:r w:rsidRPr="40B3576B">
        <w:rPr>
          <w:rFonts w:cs="Tahoma"/>
          <w:color w:val="000000" w:themeColor="text1"/>
        </w:rPr>
        <w:t>2020. május végére az államháztartás központi alrendszere 1051,5 milliárd forintos hiánnyal zárt. Ezen belül a központi költségvetés 910</w:t>
      </w:r>
      <w:r w:rsidR="0021134C">
        <w:rPr>
          <w:rFonts w:cs="Tahoma"/>
          <w:color w:val="000000" w:themeColor="text1"/>
        </w:rPr>
        <w:t>,0</w:t>
      </w:r>
      <w:r w:rsidRPr="40B3576B">
        <w:rPr>
          <w:rFonts w:cs="Tahoma"/>
          <w:color w:val="000000" w:themeColor="text1"/>
        </w:rPr>
        <w:t> milliárd forintos deficitet, az elkülönített állami pénzalapok 12,8 milliárd forintos többletet, a társadalombiztosítás pénzügyi alapjai pedig 154,3 milliárd forintos hiányt értek el. Az előző év azonos időszakában a központi alrendszer hiánya 176,4 milliárd forintot tett ki. 2020 májusában a központi alrendszer 324,1 milliárd forintos hiánnyal zárt, a 2019. évi azonos havi hiány pedig 137,4 milliárd forintot tett ki.</w:t>
      </w:r>
    </w:p>
    <w:p w14:paraId="34D22499" w14:textId="04C43710" w:rsidR="00E81AEA" w:rsidRPr="00E81AEA" w:rsidRDefault="40B3576B" w:rsidP="40B3576B">
      <w:pPr>
        <w:spacing w:before="100" w:beforeAutospacing="1" w:after="100" w:afterAutospacing="1"/>
        <w:rPr>
          <w:rFonts w:cs="Tahoma"/>
          <w:color w:val="000000" w:themeColor="text1"/>
        </w:rPr>
      </w:pPr>
      <w:r w:rsidRPr="40B3576B">
        <w:rPr>
          <w:rFonts w:cs="Tahoma"/>
          <w:color w:val="000000" w:themeColor="text1"/>
        </w:rPr>
        <w:t>Idén május végéig 450 milliárd forintot meghaladó összeget tettek ki a koronavírus</w:t>
      </w:r>
      <w:r w:rsidR="00320C3A">
        <w:rPr>
          <w:rFonts w:cs="Tahoma"/>
          <w:color w:val="000000" w:themeColor="text1"/>
        </w:rPr>
        <w:t>-</w:t>
      </w:r>
      <w:r w:rsidRPr="40B3576B">
        <w:rPr>
          <w:rFonts w:cs="Tahoma"/>
          <w:color w:val="000000" w:themeColor="text1"/>
        </w:rPr>
        <w:t>járványhoz kapcsolódó egészségügyi eszközbeszerzések kifizetései (például védőmaszkok, további védőeszközök, lélegeztetőgépek beszerzése). 2020. május végéig összesen 486,7 milliárd forint uniós bevétel érkezett a költségvetésbe, a 2020. évi első öthavi uniós kiadások ugyanakkor meghaladták a 967,6 milliárd forintot. Emellett a hazai kiadások közül 2020. május végéig kiemelhetők a közúthálózat fenntartására és működtetésére (55,8 milliárd forint), a Falusi Útalapból (53,0 milliárd forint) a Modern Városok Program terhére (29,1 milliárd forint) kiadott források. Számottevők még a közúthálózat felújítására (26,3 milliárd forint) a Beruházás ösztönzési célelőirányzatból (24,4 milliárd forint) kifizetett összegek, továbbá jelentős összeg jutott a nagycsaládosok személygépkocsi-szerzési támogatására (22,6 milliárd forint) is.</w:t>
      </w:r>
    </w:p>
    <w:p w14:paraId="7CD2CCE2" w14:textId="77777777" w:rsidR="00E81AEA" w:rsidRPr="00E81AEA" w:rsidRDefault="40B3576B" w:rsidP="40B3576B">
      <w:pPr>
        <w:spacing w:before="100" w:beforeAutospacing="1" w:after="100" w:afterAutospacing="1"/>
        <w:rPr>
          <w:rFonts w:cs="Tahoma"/>
          <w:color w:val="000000" w:themeColor="text1"/>
        </w:rPr>
      </w:pPr>
      <w:r w:rsidRPr="40B3576B">
        <w:rPr>
          <w:rFonts w:cs="Tahoma"/>
          <w:color w:val="000000" w:themeColor="text1"/>
        </w:rPr>
        <w:t>A kormány - ahogyan a veszélyhelyzet alatt, úgy a járványügyi készültség során is - minden szükséges forrást biztosít a védekezéshez, miközben a GDP-arányos idei hiánycél továbbra is 3,8%-on tartható.</w:t>
      </w:r>
    </w:p>
    <w:p w14:paraId="5D4F01B7" w14:textId="75ED297F" w:rsidR="000D0735" w:rsidRDefault="40B3576B" w:rsidP="002E4237">
      <w:pPr>
        <w:keepNext/>
      </w:pPr>
      <w:r>
        <w:lastRenderedPageBreak/>
        <w:t>Az államháztartás központi alrendszerének 2020. május végi főbb pénzforgalmi adatai a következők:</w:t>
      </w:r>
    </w:p>
    <w:p w14:paraId="4D7279C0" w14:textId="3E436B59" w:rsidR="006D6891" w:rsidRDefault="006D6891" w:rsidP="002E4237">
      <w:pPr>
        <w:keepNext/>
      </w:pPr>
      <w:r>
        <w:rPr>
          <w:noProof/>
        </w:rPr>
        <w:drawing>
          <wp:inline distT="0" distB="0" distL="0" distR="0" wp14:anchorId="3B7A1A09" wp14:editId="4AE754DC">
            <wp:extent cx="5940425" cy="3956050"/>
            <wp:effectExtent l="0" t="0" r="3175"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enleg.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3956050"/>
                    </a:xfrm>
                    <a:prstGeom prst="rect">
                      <a:avLst/>
                    </a:prstGeom>
                  </pic:spPr>
                </pic:pic>
              </a:graphicData>
            </a:graphic>
          </wp:inline>
        </w:drawing>
      </w:r>
    </w:p>
    <w:p w14:paraId="13078C0D" w14:textId="77777777" w:rsidR="002E4237" w:rsidRDefault="002E4237" w:rsidP="002E4237">
      <w:pPr>
        <w:keepNext/>
      </w:pPr>
    </w:p>
    <w:tbl>
      <w:tblPr>
        <w:tblW w:w="9560" w:type="dxa"/>
        <w:tblInd w:w="55" w:type="dxa"/>
        <w:tblCellMar>
          <w:left w:w="70" w:type="dxa"/>
          <w:right w:w="70" w:type="dxa"/>
        </w:tblCellMar>
        <w:tblLook w:val="04A0" w:firstRow="1" w:lastRow="0" w:firstColumn="1" w:lastColumn="0" w:noHBand="0" w:noVBand="1"/>
      </w:tblPr>
      <w:tblGrid>
        <w:gridCol w:w="1841"/>
        <w:gridCol w:w="1180"/>
        <w:gridCol w:w="1180"/>
        <w:gridCol w:w="1020"/>
        <w:gridCol w:w="1180"/>
        <w:gridCol w:w="1180"/>
        <w:gridCol w:w="1042"/>
        <w:gridCol w:w="1000"/>
      </w:tblGrid>
      <w:tr w:rsidR="002E4237" w:rsidRPr="002E4237" w14:paraId="1A431921" w14:textId="77777777" w:rsidTr="40B3576B">
        <w:trPr>
          <w:trHeight w:val="14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31D2A" w14:textId="77777777" w:rsidR="002E4237" w:rsidRPr="002E4237" w:rsidRDefault="002E4237" w:rsidP="40B3576B">
            <w:pPr>
              <w:spacing w:after="0"/>
              <w:jc w:val="left"/>
              <w:rPr>
                <w:sz w:val="18"/>
                <w:szCs w:val="18"/>
              </w:rPr>
            </w:pPr>
            <w:bookmarkStart w:id="1" w:name="RANGE!A1:H13"/>
            <w:r w:rsidRPr="002E4237">
              <w:rPr>
                <w:sz w:val="18"/>
                <w:szCs w:val="18"/>
              </w:rPr>
              <w:t> </w:t>
            </w:r>
            <w:bookmarkEnd w:id="1"/>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5527D64" w14:textId="77777777" w:rsidR="002E4237" w:rsidRPr="002E4237" w:rsidRDefault="40B3576B" w:rsidP="40B3576B">
            <w:pPr>
              <w:spacing w:after="0"/>
              <w:jc w:val="center"/>
              <w:rPr>
                <w:sz w:val="18"/>
                <w:szCs w:val="18"/>
              </w:rPr>
            </w:pPr>
            <w:r w:rsidRPr="40B3576B">
              <w:rPr>
                <w:sz w:val="18"/>
                <w:szCs w:val="18"/>
              </w:rPr>
              <w:t xml:space="preserve">2019. évi előzetes </w:t>
            </w:r>
            <w:r w:rsidR="002E4237">
              <w:br/>
            </w:r>
            <w:r w:rsidRPr="40B3576B">
              <w:rPr>
                <w:sz w:val="18"/>
                <w:szCs w:val="18"/>
              </w:rPr>
              <w:t>tény</w:t>
            </w:r>
            <w:r w:rsidR="002E4237">
              <w:br/>
            </w:r>
            <w:r w:rsidRPr="40B3576B">
              <w:rPr>
                <w:sz w:val="18"/>
                <w:szCs w:val="18"/>
              </w:rPr>
              <w:t>milliárd forintban</w:t>
            </w:r>
            <w:r w:rsidR="002E4237">
              <w:br/>
            </w:r>
            <w:r w:rsidRPr="40B3576B">
              <w:rPr>
                <w:sz w:val="18"/>
                <w:szCs w:val="18"/>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8A15AD1" w14:textId="77777777" w:rsidR="002E4237" w:rsidRPr="002E4237" w:rsidRDefault="40B3576B" w:rsidP="40B3576B">
            <w:pPr>
              <w:spacing w:after="0"/>
              <w:jc w:val="center"/>
              <w:rPr>
                <w:sz w:val="18"/>
                <w:szCs w:val="18"/>
              </w:rPr>
            </w:pPr>
            <w:r w:rsidRPr="40B3576B">
              <w:rPr>
                <w:sz w:val="18"/>
                <w:szCs w:val="18"/>
              </w:rPr>
              <w:t>2019. I-V. hó tény</w:t>
            </w:r>
            <w:r w:rsidR="002E4237">
              <w:br/>
            </w:r>
            <w:r w:rsidRPr="40B3576B">
              <w:rPr>
                <w:sz w:val="18"/>
                <w:szCs w:val="18"/>
              </w:rPr>
              <w:t>milliárd forintban</w:t>
            </w:r>
            <w:r w:rsidR="002E4237">
              <w:br/>
            </w:r>
            <w:r w:rsidRPr="40B3576B">
              <w:rPr>
                <w:sz w:val="18"/>
                <w:szCs w:val="18"/>
              </w:rPr>
              <w:t>(2)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125E209" w14:textId="77777777" w:rsidR="002E4237" w:rsidRPr="002E4237" w:rsidRDefault="40B3576B" w:rsidP="40B3576B">
            <w:pPr>
              <w:spacing w:after="0"/>
              <w:jc w:val="center"/>
              <w:rPr>
                <w:sz w:val="18"/>
                <w:szCs w:val="18"/>
              </w:rPr>
            </w:pPr>
            <w:r w:rsidRPr="40B3576B">
              <w:rPr>
                <w:sz w:val="18"/>
                <w:szCs w:val="18"/>
              </w:rPr>
              <w:t>éves előzetes tény=100%</w:t>
            </w:r>
            <w:r w:rsidR="002E4237">
              <w:br/>
            </w:r>
            <w:r w:rsidRPr="40B3576B">
              <w:rPr>
                <w:sz w:val="18"/>
                <w:szCs w:val="18"/>
              </w:rPr>
              <w:t>Index (%)</w:t>
            </w:r>
            <w:r w:rsidR="002E4237">
              <w:br/>
            </w:r>
            <w:r w:rsidRPr="40B3576B">
              <w:rPr>
                <w:sz w:val="18"/>
                <w:szCs w:val="18"/>
              </w:rPr>
              <w:t>(2/1)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55D5280" w14:textId="77777777" w:rsidR="002E4237" w:rsidRPr="002E4237" w:rsidRDefault="40B3576B" w:rsidP="40B3576B">
            <w:pPr>
              <w:spacing w:after="0"/>
              <w:jc w:val="center"/>
              <w:rPr>
                <w:sz w:val="18"/>
                <w:szCs w:val="18"/>
              </w:rPr>
            </w:pPr>
            <w:r w:rsidRPr="40B3576B">
              <w:rPr>
                <w:sz w:val="18"/>
                <w:szCs w:val="18"/>
              </w:rPr>
              <w:t>2020. évi törvényi előirányzat</w:t>
            </w:r>
            <w:r w:rsidR="002E4237">
              <w:br/>
            </w:r>
            <w:r w:rsidRPr="40B3576B">
              <w:rPr>
                <w:sz w:val="18"/>
                <w:szCs w:val="18"/>
              </w:rPr>
              <w:t>milliárd forintban</w:t>
            </w:r>
            <w:r w:rsidR="002E4237">
              <w:br/>
            </w:r>
            <w:r w:rsidRPr="40B3576B">
              <w:rPr>
                <w:sz w:val="18"/>
                <w:szCs w:val="18"/>
              </w:rPr>
              <w:t>(3)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832F388" w14:textId="77777777" w:rsidR="002E4237" w:rsidRPr="002E4237" w:rsidRDefault="40B3576B" w:rsidP="40B3576B">
            <w:pPr>
              <w:spacing w:after="0"/>
              <w:jc w:val="center"/>
              <w:rPr>
                <w:sz w:val="18"/>
                <w:szCs w:val="18"/>
              </w:rPr>
            </w:pPr>
            <w:r w:rsidRPr="40B3576B">
              <w:rPr>
                <w:sz w:val="18"/>
                <w:szCs w:val="18"/>
              </w:rPr>
              <w:t>2020. I-V. hó tény</w:t>
            </w:r>
            <w:r w:rsidR="002E4237">
              <w:br/>
            </w:r>
            <w:r w:rsidRPr="40B3576B">
              <w:rPr>
                <w:sz w:val="18"/>
                <w:szCs w:val="18"/>
              </w:rPr>
              <w:t>milliárd forintban</w:t>
            </w:r>
            <w:r w:rsidR="002E4237">
              <w:br/>
            </w:r>
            <w:r w:rsidRPr="40B3576B">
              <w:rPr>
                <w:sz w:val="18"/>
                <w:szCs w:val="18"/>
              </w:rPr>
              <w:t>(4)</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5B58BFC" w14:textId="77777777" w:rsidR="002E4237" w:rsidRPr="002E4237" w:rsidRDefault="40B3576B" w:rsidP="40B3576B">
            <w:pPr>
              <w:spacing w:after="0"/>
              <w:jc w:val="center"/>
              <w:rPr>
                <w:sz w:val="18"/>
                <w:szCs w:val="18"/>
              </w:rPr>
            </w:pPr>
            <w:r w:rsidRPr="40B3576B">
              <w:rPr>
                <w:sz w:val="18"/>
                <w:szCs w:val="18"/>
              </w:rPr>
              <w:t>előirányzat=</w:t>
            </w:r>
            <w:r w:rsidR="002E4237">
              <w:br/>
            </w:r>
            <w:r w:rsidRPr="40B3576B">
              <w:rPr>
                <w:sz w:val="18"/>
                <w:szCs w:val="18"/>
              </w:rPr>
              <w:t>100%</w:t>
            </w:r>
            <w:r w:rsidR="002E4237">
              <w:br/>
            </w:r>
            <w:r w:rsidRPr="40B3576B">
              <w:rPr>
                <w:sz w:val="18"/>
                <w:szCs w:val="18"/>
              </w:rPr>
              <w:t>Index (%)</w:t>
            </w:r>
            <w:r w:rsidR="002E4237">
              <w:br/>
            </w:r>
            <w:r w:rsidRPr="40B3576B">
              <w:rPr>
                <w:sz w:val="18"/>
                <w:szCs w:val="18"/>
              </w:rPr>
              <w:t>(4/3)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0C82BC0" w14:textId="77777777" w:rsidR="002E4237" w:rsidRPr="002E4237" w:rsidRDefault="40B3576B" w:rsidP="40B3576B">
            <w:pPr>
              <w:spacing w:after="0"/>
              <w:jc w:val="center"/>
              <w:rPr>
                <w:sz w:val="18"/>
                <w:szCs w:val="18"/>
              </w:rPr>
            </w:pPr>
            <w:r w:rsidRPr="40B3576B">
              <w:rPr>
                <w:sz w:val="18"/>
                <w:szCs w:val="18"/>
              </w:rPr>
              <w:t>előző év=</w:t>
            </w:r>
            <w:r w:rsidR="002E4237">
              <w:br/>
            </w:r>
            <w:r w:rsidRPr="40B3576B">
              <w:rPr>
                <w:sz w:val="18"/>
                <w:szCs w:val="18"/>
              </w:rPr>
              <w:t>100%</w:t>
            </w:r>
            <w:r w:rsidR="002E4237">
              <w:br/>
            </w:r>
            <w:r w:rsidRPr="40B3576B">
              <w:rPr>
                <w:sz w:val="18"/>
                <w:szCs w:val="18"/>
              </w:rPr>
              <w:t>Index (%)</w:t>
            </w:r>
            <w:r w:rsidR="002E4237">
              <w:br/>
            </w:r>
            <w:r w:rsidRPr="40B3576B">
              <w:rPr>
                <w:sz w:val="18"/>
                <w:szCs w:val="18"/>
              </w:rPr>
              <w:t>(4/2)</w:t>
            </w:r>
          </w:p>
        </w:tc>
      </w:tr>
      <w:tr w:rsidR="002E4237" w:rsidRPr="002E4237" w14:paraId="43423CF2" w14:textId="77777777" w:rsidTr="40B3576B">
        <w:trPr>
          <w:trHeight w:val="72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1B27B932" w14:textId="77777777" w:rsidR="002E4237" w:rsidRPr="002E4237" w:rsidRDefault="40B3576B" w:rsidP="40B3576B">
            <w:pPr>
              <w:spacing w:after="0"/>
              <w:jc w:val="left"/>
              <w:rPr>
                <w:b/>
                <w:bCs/>
                <w:sz w:val="18"/>
                <w:szCs w:val="18"/>
              </w:rPr>
            </w:pPr>
            <w:r w:rsidRPr="40B3576B">
              <w:rPr>
                <w:b/>
                <w:bCs/>
                <w:sz w:val="18"/>
                <w:szCs w:val="18"/>
              </w:rPr>
              <w:t>Központi költségvetés egyenlege</w:t>
            </w:r>
          </w:p>
        </w:tc>
        <w:tc>
          <w:tcPr>
            <w:tcW w:w="1180" w:type="dxa"/>
            <w:tcBorders>
              <w:top w:val="nil"/>
              <w:left w:val="nil"/>
              <w:bottom w:val="single" w:sz="4" w:space="0" w:color="auto"/>
              <w:right w:val="single" w:sz="4" w:space="0" w:color="auto"/>
            </w:tcBorders>
            <w:shd w:val="clear" w:color="auto" w:fill="auto"/>
            <w:noWrap/>
            <w:vAlign w:val="bottom"/>
            <w:hideMark/>
          </w:tcPr>
          <w:p w14:paraId="5DF8669A" w14:textId="77777777" w:rsidR="002E4237" w:rsidRPr="002E4237" w:rsidRDefault="40B3576B" w:rsidP="40B3576B">
            <w:pPr>
              <w:spacing w:after="0"/>
              <w:jc w:val="right"/>
              <w:rPr>
                <w:b/>
                <w:bCs/>
                <w:sz w:val="18"/>
                <w:szCs w:val="18"/>
              </w:rPr>
            </w:pPr>
            <w:r w:rsidRPr="40B3576B">
              <w:rPr>
                <w:b/>
                <w:bCs/>
                <w:sz w:val="18"/>
                <w:szCs w:val="18"/>
              </w:rPr>
              <w:t xml:space="preserve">-1 023,8 </w:t>
            </w:r>
          </w:p>
        </w:tc>
        <w:tc>
          <w:tcPr>
            <w:tcW w:w="1180" w:type="dxa"/>
            <w:tcBorders>
              <w:top w:val="nil"/>
              <w:left w:val="nil"/>
              <w:bottom w:val="single" w:sz="4" w:space="0" w:color="auto"/>
              <w:right w:val="single" w:sz="4" w:space="0" w:color="auto"/>
            </w:tcBorders>
            <w:shd w:val="clear" w:color="auto" w:fill="auto"/>
            <w:noWrap/>
            <w:vAlign w:val="bottom"/>
            <w:hideMark/>
          </w:tcPr>
          <w:p w14:paraId="1D850351" w14:textId="77777777" w:rsidR="002E4237" w:rsidRPr="002E4237" w:rsidRDefault="40B3576B" w:rsidP="40B3576B">
            <w:pPr>
              <w:spacing w:after="0"/>
              <w:jc w:val="right"/>
              <w:rPr>
                <w:b/>
                <w:bCs/>
                <w:sz w:val="18"/>
                <w:szCs w:val="18"/>
              </w:rPr>
            </w:pPr>
            <w:r w:rsidRPr="40B3576B">
              <w:rPr>
                <w:b/>
                <w:bCs/>
                <w:sz w:val="18"/>
                <w:szCs w:val="18"/>
              </w:rPr>
              <w:t xml:space="preserve">-253,4 </w:t>
            </w:r>
          </w:p>
        </w:tc>
        <w:tc>
          <w:tcPr>
            <w:tcW w:w="1020" w:type="dxa"/>
            <w:tcBorders>
              <w:top w:val="nil"/>
              <w:left w:val="nil"/>
              <w:bottom w:val="single" w:sz="4" w:space="0" w:color="auto"/>
              <w:right w:val="single" w:sz="4" w:space="0" w:color="auto"/>
            </w:tcBorders>
            <w:shd w:val="clear" w:color="auto" w:fill="auto"/>
            <w:noWrap/>
            <w:vAlign w:val="bottom"/>
            <w:hideMark/>
          </w:tcPr>
          <w:p w14:paraId="12DD02A9" w14:textId="77777777" w:rsidR="002E4237" w:rsidRPr="002E4237" w:rsidRDefault="40B3576B" w:rsidP="40B3576B">
            <w:pPr>
              <w:spacing w:after="0"/>
              <w:jc w:val="right"/>
              <w:rPr>
                <w:sz w:val="18"/>
                <w:szCs w:val="18"/>
              </w:rPr>
            </w:pPr>
            <w:r w:rsidRPr="40B3576B">
              <w:rPr>
                <w:sz w:val="18"/>
                <w:szCs w:val="18"/>
              </w:rPr>
              <w:t xml:space="preserve">24,8 </w:t>
            </w:r>
          </w:p>
        </w:tc>
        <w:tc>
          <w:tcPr>
            <w:tcW w:w="1180" w:type="dxa"/>
            <w:tcBorders>
              <w:top w:val="nil"/>
              <w:left w:val="nil"/>
              <w:bottom w:val="single" w:sz="4" w:space="0" w:color="auto"/>
              <w:right w:val="single" w:sz="4" w:space="0" w:color="auto"/>
            </w:tcBorders>
            <w:shd w:val="clear" w:color="auto" w:fill="auto"/>
            <w:noWrap/>
            <w:vAlign w:val="bottom"/>
            <w:hideMark/>
          </w:tcPr>
          <w:p w14:paraId="43BBC4C4" w14:textId="77777777" w:rsidR="002E4237" w:rsidRPr="002E4237" w:rsidRDefault="40B3576B" w:rsidP="40B3576B">
            <w:pPr>
              <w:spacing w:after="0"/>
              <w:jc w:val="right"/>
              <w:rPr>
                <w:b/>
                <w:bCs/>
                <w:sz w:val="18"/>
                <w:szCs w:val="18"/>
              </w:rPr>
            </w:pPr>
            <w:r w:rsidRPr="40B3576B">
              <w:rPr>
                <w:b/>
                <w:bCs/>
                <w:sz w:val="18"/>
                <w:szCs w:val="18"/>
              </w:rPr>
              <w:t xml:space="preserve">-359,0 </w:t>
            </w:r>
          </w:p>
        </w:tc>
        <w:tc>
          <w:tcPr>
            <w:tcW w:w="1180" w:type="dxa"/>
            <w:tcBorders>
              <w:top w:val="nil"/>
              <w:left w:val="nil"/>
              <w:bottom w:val="single" w:sz="4" w:space="0" w:color="auto"/>
              <w:right w:val="single" w:sz="4" w:space="0" w:color="auto"/>
            </w:tcBorders>
            <w:shd w:val="clear" w:color="auto" w:fill="auto"/>
            <w:noWrap/>
            <w:vAlign w:val="bottom"/>
            <w:hideMark/>
          </w:tcPr>
          <w:p w14:paraId="157875F6" w14:textId="77777777" w:rsidR="002E4237" w:rsidRPr="002E4237" w:rsidRDefault="40B3576B" w:rsidP="40B3576B">
            <w:pPr>
              <w:spacing w:after="0"/>
              <w:jc w:val="right"/>
              <w:rPr>
                <w:b/>
                <w:bCs/>
                <w:sz w:val="18"/>
                <w:szCs w:val="18"/>
              </w:rPr>
            </w:pPr>
            <w:r w:rsidRPr="40B3576B">
              <w:rPr>
                <w:b/>
                <w:bCs/>
                <w:sz w:val="18"/>
                <w:szCs w:val="18"/>
              </w:rPr>
              <w:t xml:space="preserve">-910,0 </w:t>
            </w:r>
          </w:p>
        </w:tc>
        <w:tc>
          <w:tcPr>
            <w:tcW w:w="1020" w:type="dxa"/>
            <w:tcBorders>
              <w:top w:val="nil"/>
              <w:left w:val="nil"/>
              <w:bottom w:val="single" w:sz="4" w:space="0" w:color="auto"/>
              <w:right w:val="single" w:sz="4" w:space="0" w:color="auto"/>
            </w:tcBorders>
            <w:shd w:val="clear" w:color="auto" w:fill="auto"/>
            <w:noWrap/>
            <w:vAlign w:val="bottom"/>
            <w:hideMark/>
          </w:tcPr>
          <w:p w14:paraId="49522147" w14:textId="77777777" w:rsidR="002E4237" w:rsidRPr="002E4237" w:rsidRDefault="40B3576B" w:rsidP="40B3576B">
            <w:pPr>
              <w:spacing w:after="0"/>
              <w:jc w:val="right"/>
              <w:rPr>
                <w:sz w:val="18"/>
                <w:szCs w:val="18"/>
              </w:rPr>
            </w:pPr>
            <w:r w:rsidRPr="40B3576B">
              <w:rPr>
                <w:sz w:val="18"/>
                <w:szCs w:val="18"/>
              </w:rPr>
              <w:t xml:space="preserve">253,5 </w:t>
            </w:r>
          </w:p>
        </w:tc>
        <w:tc>
          <w:tcPr>
            <w:tcW w:w="1000" w:type="dxa"/>
            <w:tcBorders>
              <w:top w:val="nil"/>
              <w:left w:val="nil"/>
              <w:bottom w:val="single" w:sz="4" w:space="0" w:color="auto"/>
              <w:right w:val="single" w:sz="4" w:space="0" w:color="auto"/>
            </w:tcBorders>
            <w:shd w:val="clear" w:color="auto" w:fill="auto"/>
            <w:noWrap/>
            <w:vAlign w:val="bottom"/>
            <w:hideMark/>
          </w:tcPr>
          <w:p w14:paraId="6ED3827F" w14:textId="77777777" w:rsidR="002E4237" w:rsidRPr="002E4237" w:rsidRDefault="40B3576B" w:rsidP="40B3576B">
            <w:pPr>
              <w:spacing w:after="0"/>
              <w:jc w:val="right"/>
              <w:rPr>
                <w:sz w:val="18"/>
                <w:szCs w:val="18"/>
              </w:rPr>
            </w:pPr>
            <w:r w:rsidRPr="40B3576B">
              <w:rPr>
                <w:sz w:val="18"/>
                <w:szCs w:val="18"/>
              </w:rPr>
              <w:t xml:space="preserve">359,1 </w:t>
            </w:r>
          </w:p>
        </w:tc>
      </w:tr>
      <w:tr w:rsidR="002E4237" w:rsidRPr="002E4237" w14:paraId="5CB114ED" w14:textId="77777777" w:rsidTr="40B3576B">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F28DEAA" w14:textId="77777777" w:rsidR="002E4237" w:rsidRPr="002E4237" w:rsidRDefault="40B3576B" w:rsidP="40B3576B">
            <w:pPr>
              <w:spacing w:after="0"/>
              <w:jc w:val="right"/>
              <w:rPr>
                <w:sz w:val="18"/>
                <w:szCs w:val="18"/>
              </w:rPr>
            </w:pPr>
            <w:r w:rsidRPr="40B3576B">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3DF2F5ED" w14:textId="77777777" w:rsidR="002E4237" w:rsidRPr="002E4237" w:rsidRDefault="40B3576B" w:rsidP="40B3576B">
            <w:pPr>
              <w:spacing w:after="0"/>
              <w:jc w:val="right"/>
              <w:rPr>
                <w:sz w:val="18"/>
                <w:szCs w:val="18"/>
              </w:rPr>
            </w:pPr>
            <w:r w:rsidRPr="40B3576B">
              <w:rPr>
                <w:sz w:val="18"/>
                <w:szCs w:val="18"/>
              </w:rPr>
              <w:t xml:space="preserve">14 965,1 </w:t>
            </w:r>
          </w:p>
        </w:tc>
        <w:tc>
          <w:tcPr>
            <w:tcW w:w="1180" w:type="dxa"/>
            <w:tcBorders>
              <w:top w:val="nil"/>
              <w:left w:val="nil"/>
              <w:bottom w:val="single" w:sz="4" w:space="0" w:color="auto"/>
              <w:right w:val="single" w:sz="4" w:space="0" w:color="auto"/>
            </w:tcBorders>
            <w:shd w:val="clear" w:color="auto" w:fill="auto"/>
            <w:noWrap/>
            <w:vAlign w:val="bottom"/>
            <w:hideMark/>
          </w:tcPr>
          <w:p w14:paraId="2CD15A98" w14:textId="77777777" w:rsidR="002E4237" w:rsidRPr="002E4237" w:rsidRDefault="40B3576B" w:rsidP="40B3576B">
            <w:pPr>
              <w:spacing w:after="0"/>
              <w:jc w:val="right"/>
              <w:rPr>
                <w:sz w:val="18"/>
                <w:szCs w:val="18"/>
              </w:rPr>
            </w:pPr>
            <w:r w:rsidRPr="40B3576B">
              <w:rPr>
                <w:sz w:val="18"/>
                <w:szCs w:val="18"/>
              </w:rPr>
              <w:t xml:space="preserve">5 718,9 </w:t>
            </w:r>
          </w:p>
        </w:tc>
        <w:tc>
          <w:tcPr>
            <w:tcW w:w="1020" w:type="dxa"/>
            <w:tcBorders>
              <w:top w:val="nil"/>
              <w:left w:val="nil"/>
              <w:bottom w:val="single" w:sz="4" w:space="0" w:color="auto"/>
              <w:right w:val="single" w:sz="4" w:space="0" w:color="auto"/>
            </w:tcBorders>
            <w:shd w:val="clear" w:color="auto" w:fill="auto"/>
            <w:noWrap/>
            <w:vAlign w:val="bottom"/>
            <w:hideMark/>
          </w:tcPr>
          <w:p w14:paraId="768D365B" w14:textId="77777777" w:rsidR="002E4237" w:rsidRPr="002E4237" w:rsidRDefault="40B3576B" w:rsidP="40B3576B">
            <w:pPr>
              <w:spacing w:after="0"/>
              <w:jc w:val="right"/>
              <w:rPr>
                <w:sz w:val="18"/>
                <w:szCs w:val="18"/>
              </w:rPr>
            </w:pPr>
            <w:r w:rsidRPr="40B3576B">
              <w:rPr>
                <w:sz w:val="18"/>
                <w:szCs w:val="18"/>
              </w:rPr>
              <w:t xml:space="preserve">38,2 </w:t>
            </w:r>
          </w:p>
        </w:tc>
        <w:tc>
          <w:tcPr>
            <w:tcW w:w="1180" w:type="dxa"/>
            <w:tcBorders>
              <w:top w:val="nil"/>
              <w:left w:val="nil"/>
              <w:bottom w:val="single" w:sz="4" w:space="0" w:color="auto"/>
              <w:right w:val="single" w:sz="4" w:space="0" w:color="auto"/>
            </w:tcBorders>
            <w:shd w:val="clear" w:color="auto" w:fill="auto"/>
            <w:noWrap/>
            <w:vAlign w:val="bottom"/>
            <w:hideMark/>
          </w:tcPr>
          <w:p w14:paraId="226B49A8" w14:textId="77777777" w:rsidR="002E4237" w:rsidRPr="002E4237" w:rsidRDefault="40B3576B" w:rsidP="40B3576B">
            <w:pPr>
              <w:spacing w:after="0"/>
              <w:jc w:val="right"/>
              <w:rPr>
                <w:sz w:val="18"/>
                <w:szCs w:val="18"/>
              </w:rPr>
            </w:pPr>
            <w:r w:rsidRPr="40B3576B">
              <w:rPr>
                <w:sz w:val="18"/>
                <w:szCs w:val="18"/>
              </w:rPr>
              <w:t xml:space="preserve">14 522,8 </w:t>
            </w:r>
          </w:p>
        </w:tc>
        <w:tc>
          <w:tcPr>
            <w:tcW w:w="1180" w:type="dxa"/>
            <w:tcBorders>
              <w:top w:val="nil"/>
              <w:left w:val="nil"/>
              <w:bottom w:val="single" w:sz="4" w:space="0" w:color="auto"/>
              <w:right w:val="single" w:sz="4" w:space="0" w:color="auto"/>
            </w:tcBorders>
            <w:shd w:val="clear" w:color="auto" w:fill="auto"/>
            <w:noWrap/>
            <w:vAlign w:val="bottom"/>
            <w:hideMark/>
          </w:tcPr>
          <w:p w14:paraId="08F56A9B" w14:textId="77777777" w:rsidR="002E4237" w:rsidRPr="002E4237" w:rsidRDefault="40B3576B" w:rsidP="40B3576B">
            <w:pPr>
              <w:spacing w:after="0"/>
              <w:jc w:val="right"/>
              <w:rPr>
                <w:sz w:val="18"/>
                <w:szCs w:val="18"/>
              </w:rPr>
            </w:pPr>
            <w:r w:rsidRPr="40B3576B">
              <w:rPr>
                <w:sz w:val="18"/>
                <w:szCs w:val="18"/>
              </w:rPr>
              <w:t xml:space="preserve">6 286,0 </w:t>
            </w:r>
          </w:p>
        </w:tc>
        <w:tc>
          <w:tcPr>
            <w:tcW w:w="1020" w:type="dxa"/>
            <w:tcBorders>
              <w:top w:val="nil"/>
              <w:left w:val="nil"/>
              <w:bottom w:val="single" w:sz="4" w:space="0" w:color="auto"/>
              <w:right w:val="single" w:sz="4" w:space="0" w:color="auto"/>
            </w:tcBorders>
            <w:shd w:val="clear" w:color="auto" w:fill="auto"/>
            <w:noWrap/>
            <w:vAlign w:val="bottom"/>
            <w:hideMark/>
          </w:tcPr>
          <w:p w14:paraId="4A07751B" w14:textId="77777777" w:rsidR="002E4237" w:rsidRPr="002E4237" w:rsidRDefault="40B3576B" w:rsidP="40B3576B">
            <w:pPr>
              <w:spacing w:after="0"/>
              <w:jc w:val="right"/>
              <w:rPr>
                <w:sz w:val="18"/>
                <w:szCs w:val="18"/>
              </w:rPr>
            </w:pPr>
            <w:r w:rsidRPr="40B3576B">
              <w:rPr>
                <w:sz w:val="18"/>
                <w:szCs w:val="18"/>
              </w:rPr>
              <w:t xml:space="preserve">43,3 </w:t>
            </w:r>
          </w:p>
        </w:tc>
        <w:tc>
          <w:tcPr>
            <w:tcW w:w="1000" w:type="dxa"/>
            <w:tcBorders>
              <w:top w:val="nil"/>
              <w:left w:val="nil"/>
              <w:bottom w:val="single" w:sz="4" w:space="0" w:color="auto"/>
              <w:right w:val="single" w:sz="4" w:space="0" w:color="auto"/>
            </w:tcBorders>
            <w:shd w:val="clear" w:color="auto" w:fill="auto"/>
            <w:noWrap/>
            <w:vAlign w:val="bottom"/>
            <w:hideMark/>
          </w:tcPr>
          <w:p w14:paraId="1B245A83" w14:textId="77777777" w:rsidR="002E4237" w:rsidRPr="002E4237" w:rsidRDefault="40B3576B" w:rsidP="40B3576B">
            <w:pPr>
              <w:spacing w:after="0"/>
              <w:jc w:val="right"/>
              <w:rPr>
                <w:sz w:val="18"/>
                <w:szCs w:val="18"/>
              </w:rPr>
            </w:pPr>
            <w:r w:rsidRPr="40B3576B">
              <w:rPr>
                <w:sz w:val="18"/>
                <w:szCs w:val="18"/>
              </w:rPr>
              <w:t xml:space="preserve">109,9 </w:t>
            </w:r>
          </w:p>
        </w:tc>
      </w:tr>
      <w:tr w:rsidR="002E4237" w:rsidRPr="002E4237" w14:paraId="5A12A3ED" w14:textId="77777777" w:rsidTr="40B3576B">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07CB0ED" w14:textId="77777777" w:rsidR="002E4237" w:rsidRPr="002E4237" w:rsidRDefault="40B3576B" w:rsidP="40B3576B">
            <w:pPr>
              <w:spacing w:after="0"/>
              <w:jc w:val="right"/>
              <w:rPr>
                <w:sz w:val="18"/>
                <w:szCs w:val="18"/>
              </w:rPr>
            </w:pPr>
            <w:r w:rsidRPr="40B3576B">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1A9C2BFF" w14:textId="77777777" w:rsidR="002E4237" w:rsidRPr="002E4237" w:rsidRDefault="40B3576B" w:rsidP="40B3576B">
            <w:pPr>
              <w:spacing w:after="0"/>
              <w:jc w:val="right"/>
              <w:rPr>
                <w:sz w:val="18"/>
                <w:szCs w:val="18"/>
              </w:rPr>
            </w:pPr>
            <w:r w:rsidRPr="40B3576B">
              <w:rPr>
                <w:sz w:val="18"/>
                <w:szCs w:val="18"/>
              </w:rPr>
              <w:t xml:space="preserve">15 988,9 </w:t>
            </w:r>
          </w:p>
        </w:tc>
        <w:tc>
          <w:tcPr>
            <w:tcW w:w="1180" w:type="dxa"/>
            <w:tcBorders>
              <w:top w:val="nil"/>
              <w:left w:val="nil"/>
              <w:bottom w:val="single" w:sz="4" w:space="0" w:color="auto"/>
              <w:right w:val="single" w:sz="4" w:space="0" w:color="auto"/>
            </w:tcBorders>
            <w:shd w:val="clear" w:color="auto" w:fill="auto"/>
            <w:noWrap/>
            <w:vAlign w:val="bottom"/>
            <w:hideMark/>
          </w:tcPr>
          <w:p w14:paraId="74509C71" w14:textId="77777777" w:rsidR="002E4237" w:rsidRPr="002E4237" w:rsidRDefault="40B3576B" w:rsidP="40B3576B">
            <w:pPr>
              <w:spacing w:after="0"/>
              <w:jc w:val="right"/>
              <w:rPr>
                <w:sz w:val="18"/>
                <w:szCs w:val="18"/>
              </w:rPr>
            </w:pPr>
            <w:r w:rsidRPr="40B3576B">
              <w:rPr>
                <w:sz w:val="18"/>
                <w:szCs w:val="18"/>
              </w:rPr>
              <w:t xml:space="preserve">5 972,3 </w:t>
            </w:r>
          </w:p>
        </w:tc>
        <w:tc>
          <w:tcPr>
            <w:tcW w:w="1020" w:type="dxa"/>
            <w:tcBorders>
              <w:top w:val="nil"/>
              <w:left w:val="nil"/>
              <w:bottom w:val="single" w:sz="4" w:space="0" w:color="auto"/>
              <w:right w:val="single" w:sz="4" w:space="0" w:color="auto"/>
            </w:tcBorders>
            <w:shd w:val="clear" w:color="auto" w:fill="auto"/>
            <w:noWrap/>
            <w:vAlign w:val="bottom"/>
            <w:hideMark/>
          </w:tcPr>
          <w:p w14:paraId="538E8DD7" w14:textId="77777777" w:rsidR="002E4237" w:rsidRPr="002E4237" w:rsidRDefault="40B3576B" w:rsidP="40B3576B">
            <w:pPr>
              <w:spacing w:after="0"/>
              <w:jc w:val="right"/>
              <w:rPr>
                <w:sz w:val="18"/>
                <w:szCs w:val="18"/>
              </w:rPr>
            </w:pPr>
            <w:r w:rsidRPr="40B3576B">
              <w:rPr>
                <w:sz w:val="18"/>
                <w:szCs w:val="18"/>
              </w:rPr>
              <w:t xml:space="preserve">37,4 </w:t>
            </w:r>
          </w:p>
        </w:tc>
        <w:tc>
          <w:tcPr>
            <w:tcW w:w="1180" w:type="dxa"/>
            <w:tcBorders>
              <w:top w:val="nil"/>
              <w:left w:val="nil"/>
              <w:bottom w:val="single" w:sz="4" w:space="0" w:color="auto"/>
              <w:right w:val="single" w:sz="4" w:space="0" w:color="auto"/>
            </w:tcBorders>
            <w:shd w:val="clear" w:color="auto" w:fill="auto"/>
            <w:noWrap/>
            <w:vAlign w:val="bottom"/>
            <w:hideMark/>
          </w:tcPr>
          <w:p w14:paraId="1EE45570" w14:textId="77777777" w:rsidR="002E4237" w:rsidRPr="002E4237" w:rsidRDefault="40B3576B" w:rsidP="40B3576B">
            <w:pPr>
              <w:spacing w:after="0"/>
              <w:jc w:val="right"/>
              <w:rPr>
                <w:sz w:val="18"/>
                <w:szCs w:val="18"/>
              </w:rPr>
            </w:pPr>
            <w:r w:rsidRPr="40B3576B">
              <w:rPr>
                <w:sz w:val="18"/>
                <w:szCs w:val="18"/>
              </w:rPr>
              <w:t xml:space="preserve">14 881,8 </w:t>
            </w:r>
          </w:p>
        </w:tc>
        <w:tc>
          <w:tcPr>
            <w:tcW w:w="1180" w:type="dxa"/>
            <w:tcBorders>
              <w:top w:val="nil"/>
              <w:left w:val="nil"/>
              <w:bottom w:val="single" w:sz="4" w:space="0" w:color="auto"/>
              <w:right w:val="single" w:sz="4" w:space="0" w:color="auto"/>
            </w:tcBorders>
            <w:shd w:val="clear" w:color="auto" w:fill="auto"/>
            <w:noWrap/>
            <w:vAlign w:val="bottom"/>
            <w:hideMark/>
          </w:tcPr>
          <w:p w14:paraId="38AE657B" w14:textId="77777777" w:rsidR="002E4237" w:rsidRPr="002E4237" w:rsidRDefault="40B3576B" w:rsidP="40B3576B">
            <w:pPr>
              <w:spacing w:after="0"/>
              <w:jc w:val="right"/>
              <w:rPr>
                <w:sz w:val="18"/>
                <w:szCs w:val="18"/>
              </w:rPr>
            </w:pPr>
            <w:r w:rsidRPr="40B3576B">
              <w:rPr>
                <w:sz w:val="18"/>
                <w:szCs w:val="18"/>
              </w:rPr>
              <w:t xml:space="preserve">7 196,0 </w:t>
            </w:r>
          </w:p>
        </w:tc>
        <w:tc>
          <w:tcPr>
            <w:tcW w:w="1020" w:type="dxa"/>
            <w:tcBorders>
              <w:top w:val="nil"/>
              <w:left w:val="nil"/>
              <w:bottom w:val="single" w:sz="4" w:space="0" w:color="auto"/>
              <w:right w:val="single" w:sz="4" w:space="0" w:color="auto"/>
            </w:tcBorders>
            <w:shd w:val="clear" w:color="auto" w:fill="auto"/>
            <w:noWrap/>
            <w:vAlign w:val="bottom"/>
            <w:hideMark/>
          </w:tcPr>
          <w:p w14:paraId="1577F794" w14:textId="77777777" w:rsidR="002E4237" w:rsidRPr="002E4237" w:rsidRDefault="40B3576B" w:rsidP="40B3576B">
            <w:pPr>
              <w:spacing w:after="0"/>
              <w:jc w:val="right"/>
              <w:rPr>
                <w:sz w:val="18"/>
                <w:szCs w:val="18"/>
              </w:rPr>
            </w:pPr>
            <w:r w:rsidRPr="40B3576B">
              <w:rPr>
                <w:sz w:val="18"/>
                <w:szCs w:val="18"/>
              </w:rPr>
              <w:t xml:space="preserve">48,4 </w:t>
            </w:r>
          </w:p>
        </w:tc>
        <w:tc>
          <w:tcPr>
            <w:tcW w:w="1000" w:type="dxa"/>
            <w:tcBorders>
              <w:top w:val="nil"/>
              <w:left w:val="nil"/>
              <w:bottom w:val="single" w:sz="4" w:space="0" w:color="auto"/>
              <w:right w:val="single" w:sz="4" w:space="0" w:color="auto"/>
            </w:tcBorders>
            <w:shd w:val="clear" w:color="auto" w:fill="auto"/>
            <w:noWrap/>
            <w:vAlign w:val="bottom"/>
            <w:hideMark/>
          </w:tcPr>
          <w:p w14:paraId="36619EB7" w14:textId="77777777" w:rsidR="002E4237" w:rsidRPr="002E4237" w:rsidRDefault="40B3576B" w:rsidP="40B3576B">
            <w:pPr>
              <w:spacing w:after="0"/>
              <w:jc w:val="right"/>
              <w:rPr>
                <w:sz w:val="18"/>
                <w:szCs w:val="18"/>
              </w:rPr>
            </w:pPr>
            <w:r w:rsidRPr="40B3576B">
              <w:rPr>
                <w:sz w:val="18"/>
                <w:szCs w:val="18"/>
              </w:rPr>
              <w:t xml:space="preserve">120,5 </w:t>
            </w:r>
          </w:p>
        </w:tc>
      </w:tr>
      <w:tr w:rsidR="002E4237" w:rsidRPr="002E4237" w14:paraId="7669B38A" w14:textId="77777777" w:rsidTr="40B3576B">
        <w:trPr>
          <w:trHeight w:val="72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1827A5F3" w14:textId="77777777" w:rsidR="002E4237" w:rsidRPr="002E4237" w:rsidRDefault="40B3576B" w:rsidP="40B3576B">
            <w:pPr>
              <w:spacing w:after="0"/>
              <w:jc w:val="left"/>
              <w:rPr>
                <w:b/>
                <w:bCs/>
                <w:sz w:val="18"/>
                <w:szCs w:val="18"/>
              </w:rPr>
            </w:pPr>
            <w:r w:rsidRPr="40B3576B">
              <w:rPr>
                <w:b/>
                <w:bCs/>
                <w:sz w:val="18"/>
                <w:szCs w:val="18"/>
              </w:rPr>
              <w:t>Elkülönített állami pénzalapok egyenlege</w:t>
            </w:r>
          </w:p>
        </w:tc>
        <w:tc>
          <w:tcPr>
            <w:tcW w:w="1180" w:type="dxa"/>
            <w:tcBorders>
              <w:top w:val="nil"/>
              <w:left w:val="nil"/>
              <w:bottom w:val="single" w:sz="4" w:space="0" w:color="auto"/>
              <w:right w:val="single" w:sz="4" w:space="0" w:color="auto"/>
            </w:tcBorders>
            <w:shd w:val="clear" w:color="auto" w:fill="auto"/>
            <w:noWrap/>
            <w:vAlign w:val="bottom"/>
            <w:hideMark/>
          </w:tcPr>
          <w:p w14:paraId="44160F81" w14:textId="77777777" w:rsidR="002E4237" w:rsidRPr="002E4237" w:rsidRDefault="40B3576B" w:rsidP="40B3576B">
            <w:pPr>
              <w:spacing w:after="0"/>
              <w:jc w:val="right"/>
              <w:rPr>
                <w:b/>
                <w:bCs/>
                <w:sz w:val="18"/>
                <w:szCs w:val="18"/>
              </w:rPr>
            </w:pPr>
            <w:r w:rsidRPr="40B3576B">
              <w:rPr>
                <w:b/>
                <w:bCs/>
                <w:sz w:val="18"/>
                <w:szCs w:val="18"/>
              </w:rPr>
              <w:t xml:space="preserve">39,6 </w:t>
            </w:r>
          </w:p>
        </w:tc>
        <w:tc>
          <w:tcPr>
            <w:tcW w:w="1180" w:type="dxa"/>
            <w:tcBorders>
              <w:top w:val="nil"/>
              <w:left w:val="nil"/>
              <w:bottom w:val="single" w:sz="4" w:space="0" w:color="auto"/>
              <w:right w:val="single" w:sz="4" w:space="0" w:color="auto"/>
            </w:tcBorders>
            <w:shd w:val="clear" w:color="auto" w:fill="auto"/>
            <w:noWrap/>
            <w:vAlign w:val="bottom"/>
            <w:hideMark/>
          </w:tcPr>
          <w:p w14:paraId="1D5D927F" w14:textId="77777777" w:rsidR="002E4237" w:rsidRPr="002E4237" w:rsidRDefault="40B3576B" w:rsidP="40B3576B">
            <w:pPr>
              <w:spacing w:after="0"/>
              <w:jc w:val="right"/>
              <w:rPr>
                <w:b/>
                <w:bCs/>
                <w:sz w:val="18"/>
                <w:szCs w:val="18"/>
              </w:rPr>
            </w:pPr>
            <w:r w:rsidRPr="40B3576B">
              <w:rPr>
                <w:b/>
                <w:bCs/>
                <w:sz w:val="18"/>
                <w:szCs w:val="18"/>
              </w:rPr>
              <w:t xml:space="preserve">51,5 </w:t>
            </w:r>
          </w:p>
        </w:tc>
        <w:tc>
          <w:tcPr>
            <w:tcW w:w="1020" w:type="dxa"/>
            <w:tcBorders>
              <w:top w:val="nil"/>
              <w:left w:val="nil"/>
              <w:bottom w:val="single" w:sz="4" w:space="0" w:color="auto"/>
              <w:right w:val="single" w:sz="4" w:space="0" w:color="auto"/>
            </w:tcBorders>
            <w:shd w:val="clear" w:color="auto" w:fill="auto"/>
            <w:noWrap/>
            <w:vAlign w:val="bottom"/>
            <w:hideMark/>
          </w:tcPr>
          <w:p w14:paraId="29C9C251" w14:textId="77777777" w:rsidR="002E4237" w:rsidRPr="002E4237" w:rsidRDefault="40B3576B" w:rsidP="40B3576B">
            <w:pPr>
              <w:spacing w:after="0"/>
              <w:jc w:val="right"/>
              <w:rPr>
                <w:sz w:val="18"/>
                <w:szCs w:val="18"/>
              </w:rPr>
            </w:pPr>
            <w:r w:rsidRPr="40B3576B">
              <w:rPr>
                <w:sz w:val="18"/>
                <w:szCs w:val="18"/>
              </w:rPr>
              <w:t xml:space="preserve">130,1 </w:t>
            </w:r>
          </w:p>
        </w:tc>
        <w:tc>
          <w:tcPr>
            <w:tcW w:w="1180" w:type="dxa"/>
            <w:tcBorders>
              <w:top w:val="nil"/>
              <w:left w:val="nil"/>
              <w:bottom w:val="single" w:sz="4" w:space="0" w:color="auto"/>
              <w:right w:val="single" w:sz="4" w:space="0" w:color="auto"/>
            </w:tcBorders>
            <w:shd w:val="clear" w:color="auto" w:fill="auto"/>
            <w:noWrap/>
            <w:vAlign w:val="bottom"/>
            <w:hideMark/>
          </w:tcPr>
          <w:p w14:paraId="3C306F66" w14:textId="77777777" w:rsidR="002E4237" w:rsidRPr="002E4237" w:rsidRDefault="40B3576B" w:rsidP="40B3576B">
            <w:pPr>
              <w:spacing w:after="0"/>
              <w:jc w:val="right"/>
              <w:rPr>
                <w:b/>
                <w:bCs/>
                <w:sz w:val="18"/>
                <w:szCs w:val="18"/>
              </w:rPr>
            </w:pPr>
            <w:r w:rsidRPr="40B3576B">
              <w:rPr>
                <w:b/>
                <w:bCs/>
                <w:sz w:val="18"/>
                <w:szCs w:val="18"/>
              </w:rPr>
              <w:t xml:space="preserve">-8,0 </w:t>
            </w:r>
          </w:p>
        </w:tc>
        <w:tc>
          <w:tcPr>
            <w:tcW w:w="1180" w:type="dxa"/>
            <w:tcBorders>
              <w:top w:val="nil"/>
              <w:left w:val="nil"/>
              <w:bottom w:val="single" w:sz="4" w:space="0" w:color="auto"/>
              <w:right w:val="single" w:sz="4" w:space="0" w:color="auto"/>
            </w:tcBorders>
            <w:shd w:val="clear" w:color="auto" w:fill="auto"/>
            <w:noWrap/>
            <w:vAlign w:val="bottom"/>
            <w:hideMark/>
          </w:tcPr>
          <w:p w14:paraId="292E6AF5" w14:textId="77777777" w:rsidR="002E4237" w:rsidRPr="002E4237" w:rsidRDefault="40B3576B" w:rsidP="40B3576B">
            <w:pPr>
              <w:spacing w:after="0"/>
              <w:jc w:val="right"/>
              <w:rPr>
                <w:b/>
                <w:bCs/>
                <w:sz w:val="18"/>
                <w:szCs w:val="18"/>
              </w:rPr>
            </w:pPr>
            <w:r w:rsidRPr="40B3576B">
              <w:rPr>
                <w:b/>
                <w:bCs/>
                <w:sz w:val="18"/>
                <w:szCs w:val="18"/>
              </w:rPr>
              <w:t xml:space="preserve">12,8 </w:t>
            </w:r>
          </w:p>
        </w:tc>
        <w:tc>
          <w:tcPr>
            <w:tcW w:w="1020" w:type="dxa"/>
            <w:tcBorders>
              <w:top w:val="nil"/>
              <w:left w:val="nil"/>
              <w:bottom w:val="single" w:sz="4" w:space="0" w:color="auto"/>
              <w:right w:val="single" w:sz="4" w:space="0" w:color="auto"/>
            </w:tcBorders>
            <w:shd w:val="clear" w:color="auto" w:fill="auto"/>
            <w:noWrap/>
            <w:vAlign w:val="bottom"/>
            <w:hideMark/>
          </w:tcPr>
          <w:p w14:paraId="74C9F6BE" w14:textId="77777777" w:rsidR="002E4237" w:rsidRPr="002E4237" w:rsidRDefault="40B3576B" w:rsidP="40B3576B">
            <w:pPr>
              <w:spacing w:after="0"/>
              <w:jc w:val="left"/>
              <w:rPr>
                <w:sz w:val="18"/>
                <w:szCs w:val="18"/>
              </w:rPr>
            </w:pPr>
            <w:r w:rsidRPr="40B3576B">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030BCAA4" w14:textId="77777777" w:rsidR="002E4237" w:rsidRPr="002E4237" w:rsidRDefault="40B3576B" w:rsidP="40B3576B">
            <w:pPr>
              <w:spacing w:after="0"/>
              <w:jc w:val="right"/>
              <w:rPr>
                <w:sz w:val="18"/>
                <w:szCs w:val="18"/>
              </w:rPr>
            </w:pPr>
            <w:r w:rsidRPr="40B3576B">
              <w:rPr>
                <w:sz w:val="18"/>
                <w:szCs w:val="18"/>
              </w:rPr>
              <w:t xml:space="preserve">24,9 </w:t>
            </w:r>
          </w:p>
        </w:tc>
      </w:tr>
      <w:tr w:rsidR="002E4237" w:rsidRPr="002E4237" w14:paraId="47C43DA2" w14:textId="77777777" w:rsidTr="40B3576B">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019BDA7" w14:textId="77777777" w:rsidR="002E4237" w:rsidRPr="002E4237" w:rsidRDefault="40B3576B" w:rsidP="40B3576B">
            <w:pPr>
              <w:spacing w:after="0"/>
              <w:jc w:val="right"/>
              <w:rPr>
                <w:sz w:val="18"/>
                <w:szCs w:val="18"/>
              </w:rPr>
            </w:pPr>
            <w:r w:rsidRPr="40B3576B">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068D9EA4" w14:textId="77777777" w:rsidR="002E4237" w:rsidRPr="002E4237" w:rsidRDefault="40B3576B" w:rsidP="40B3576B">
            <w:pPr>
              <w:spacing w:after="0"/>
              <w:jc w:val="right"/>
              <w:rPr>
                <w:sz w:val="18"/>
                <w:szCs w:val="18"/>
              </w:rPr>
            </w:pPr>
            <w:r w:rsidRPr="40B3576B">
              <w:rPr>
                <w:sz w:val="18"/>
                <w:szCs w:val="18"/>
              </w:rPr>
              <w:t xml:space="preserve">658,4 </w:t>
            </w:r>
          </w:p>
        </w:tc>
        <w:tc>
          <w:tcPr>
            <w:tcW w:w="1180" w:type="dxa"/>
            <w:tcBorders>
              <w:top w:val="nil"/>
              <w:left w:val="nil"/>
              <w:bottom w:val="single" w:sz="4" w:space="0" w:color="auto"/>
              <w:right w:val="single" w:sz="4" w:space="0" w:color="auto"/>
            </w:tcBorders>
            <w:shd w:val="clear" w:color="auto" w:fill="auto"/>
            <w:noWrap/>
            <w:vAlign w:val="bottom"/>
            <w:hideMark/>
          </w:tcPr>
          <w:p w14:paraId="020BAD6F" w14:textId="77777777" w:rsidR="002E4237" w:rsidRPr="002E4237" w:rsidRDefault="40B3576B" w:rsidP="40B3576B">
            <w:pPr>
              <w:spacing w:after="0"/>
              <w:jc w:val="right"/>
              <w:rPr>
                <w:sz w:val="18"/>
                <w:szCs w:val="18"/>
              </w:rPr>
            </w:pPr>
            <w:r w:rsidRPr="40B3576B">
              <w:rPr>
                <w:sz w:val="18"/>
                <w:szCs w:val="18"/>
              </w:rPr>
              <w:t xml:space="preserve">257,9 </w:t>
            </w:r>
          </w:p>
        </w:tc>
        <w:tc>
          <w:tcPr>
            <w:tcW w:w="1020" w:type="dxa"/>
            <w:tcBorders>
              <w:top w:val="nil"/>
              <w:left w:val="nil"/>
              <w:bottom w:val="single" w:sz="4" w:space="0" w:color="auto"/>
              <w:right w:val="single" w:sz="4" w:space="0" w:color="auto"/>
            </w:tcBorders>
            <w:shd w:val="clear" w:color="auto" w:fill="auto"/>
            <w:noWrap/>
            <w:vAlign w:val="bottom"/>
            <w:hideMark/>
          </w:tcPr>
          <w:p w14:paraId="1509231D" w14:textId="77777777" w:rsidR="002E4237" w:rsidRPr="002E4237" w:rsidRDefault="40B3576B" w:rsidP="40B3576B">
            <w:pPr>
              <w:spacing w:after="0"/>
              <w:jc w:val="right"/>
              <w:rPr>
                <w:sz w:val="18"/>
                <w:szCs w:val="18"/>
              </w:rPr>
            </w:pPr>
            <w:r w:rsidRPr="40B3576B">
              <w:rPr>
                <w:sz w:val="18"/>
                <w:szCs w:val="18"/>
              </w:rPr>
              <w:t xml:space="preserve">39,2 </w:t>
            </w:r>
          </w:p>
        </w:tc>
        <w:tc>
          <w:tcPr>
            <w:tcW w:w="1180" w:type="dxa"/>
            <w:tcBorders>
              <w:top w:val="nil"/>
              <w:left w:val="nil"/>
              <w:bottom w:val="single" w:sz="4" w:space="0" w:color="auto"/>
              <w:right w:val="single" w:sz="4" w:space="0" w:color="auto"/>
            </w:tcBorders>
            <w:shd w:val="clear" w:color="auto" w:fill="auto"/>
            <w:noWrap/>
            <w:vAlign w:val="bottom"/>
            <w:hideMark/>
          </w:tcPr>
          <w:p w14:paraId="1A94D453" w14:textId="77777777" w:rsidR="002E4237" w:rsidRPr="002E4237" w:rsidRDefault="40B3576B" w:rsidP="40B3576B">
            <w:pPr>
              <w:spacing w:after="0"/>
              <w:jc w:val="right"/>
              <w:rPr>
                <w:sz w:val="18"/>
                <w:szCs w:val="18"/>
              </w:rPr>
            </w:pPr>
            <w:r w:rsidRPr="40B3576B">
              <w:rPr>
                <w:sz w:val="18"/>
                <w:szCs w:val="18"/>
              </w:rPr>
              <w:t xml:space="preserve">633,6 </w:t>
            </w:r>
          </w:p>
        </w:tc>
        <w:tc>
          <w:tcPr>
            <w:tcW w:w="1180" w:type="dxa"/>
            <w:tcBorders>
              <w:top w:val="nil"/>
              <w:left w:val="nil"/>
              <w:bottom w:val="single" w:sz="4" w:space="0" w:color="auto"/>
              <w:right w:val="single" w:sz="4" w:space="0" w:color="auto"/>
            </w:tcBorders>
            <w:shd w:val="clear" w:color="auto" w:fill="auto"/>
            <w:noWrap/>
            <w:vAlign w:val="bottom"/>
            <w:hideMark/>
          </w:tcPr>
          <w:p w14:paraId="5AA234E4" w14:textId="77777777" w:rsidR="002E4237" w:rsidRPr="002E4237" w:rsidRDefault="40B3576B" w:rsidP="40B3576B">
            <w:pPr>
              <w:spacing w:after="0"/>
              <w:jc w:val="right"/>
              <w:rPr>
                <w:sz w:val="18"/>
                <w:szCs w:val="18"/>
              </w:rPr>
            </w:pPr>
            <w:r w:rsidRPr="40B3576B">
              <w:rPr>
                <w:sz w:val="18"/>
                <w:szCs w:val="18"/>
              </w:rPr>
              <w:t xml:space="preserve">243,7 </w:t>
            </w:r>
          </w:p>
        </w:tc>
        <w:tc>
          <w:tcPr>
            <w:tcW w:w="1020" w:type="dxa"/>
            <w:tcBorders>
              <w:top w:val="nil"/>
              <w:left w:val="nil"/>
              <w:bottom w:val="single" w:sz="4" w:space="0" w:color="auto"/>
              <w:right w:val="single" w:sz="4" w:space="0" w:color="auto"/>
            </w:tcBorders>
            <w:shd w:val="clear" w:color="auto" w:fill="auto"/>
            <w:noWrap/>
            <w:vAlign w:val="bottom"/>
            <w:hideMark/>
          </w:tcPr>
          <w:p w14:paraId="1BD3E646" w14:textId="77777777" w:rsidR="002E4237" w:rsidRPr="002E4237" w:rsidRDefault="40B3576B" w:rsidP="40B3576B">
            <w:pPr>
              <w:spacing w:after="0"/>
              <w:jc w:val="right"/>
              <w:rPr>
                <w:sz w:val="18"/>
                <w:szCs w:val="18"/>
              </w:rPr>
            </w:pPr>
            <w:r w:rsidRPr="40B3576B">
              <w:rPr>
                <w:sz w:val="18"/>
                <w:szCs w:val="18"/>
              </w:rPr>
              <w:t xml:space="preserve">38,5 </w:t>
            </w:r>
          </w:p>
        </w:tc>
        <w:tc>
          <w:tcPr>
            <w:tcW w:w="1000" w:type="dxa"/>
            <w:tcBorders>
              <w:top w:val="nil"/>
              <w:left w:val="nil"/>
              <w:bottom w:val="single" w:sz="4" w:space="0" w:color="auto"/>
              <w:right w:val="single" w:sz="4" w:space="0" w:color="auto"/>
            </w:tcBorders>
            <w:shd w:val="clear" w:color="auto" w:fill="auto"/>
            <w:noWrap/>
            <w:vAlign w:val="bottom"/>
            <w:hideMark/>
          </w:tcPr>
          <w:p w14:paraId="2B35BDEF" w14:textId="77777777" w:rsidR="002E4237" w:rsidRPr="002E4237" w:rsidRDefault="40B3576B" w:rsidP="40B3576B">
            <w:pPr>
              <w:spacing w:after="0"/>
              <w:jc w:val="right"/>
              <w:rPr>
                <w:sz w:val="18"/>
                <w:szCs w:val="18"/>
              </w:rPr>
            </w:pPr>
            <w:r w:rsidRPr="40B3576B">
              <w:rPr>
                <w:sz w:val="18"/>
                <w:szCs w:val="18"/>
              </w:rPr>
              <w:t xml:space="preserve">94,5 </w:t>
            </w:r>
          </w:p>
        </w:tc>
      </w:tr>
      <w:tr w:rsidR="002E4237" w:rsidRPr="002E4237" w14:paraId="4E094AEA" w14:textId="77777777" w:rsidTr="40B3576B">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E7D5873" w14:textId="77777777" w:rsidR="002E4237" w:rsidRPr="002E4237" w:rsidRDefault="40B3576B" w:rsidP="40B3576B">
            <w:pPr>
              <w:spacing w:after="0"/>
              <w:jc w:val="right"/>
              <w:rPr>
                <w:sz w:val="18"/>
                <w:szCs w:val="18"/>
              </w:rPr>
            </w:pPr>
            <w:r w:rsidRPr="40B3576B">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39B7237F" w14:textId="77777777" w:rsidR="002E4237" w:rsidRPr="002E4237" w:rsidRDefault="40B3576B" w:rsidP="40B3576B">
            <w:pPr>
              <w:spacing w:after="0"/>
              <w:jc w:val="right"/>
              <w:rPr>
                <w:sz w:val="18"/>
                <w:szCs w:val="18"/>
              </w:rPr>
            </w:pPr>
            <w:r w:rsidRPr="40B3576B">
              <w:rPr>
                <w:sz w:val="18"/>
                <w:szCs w:val="18"/>
              </w:rPr>
              <w:t xml:space="preserve">618,8 </w:t>
            </w:r>
          </w:p>
        </w:tc>
        <w:tc>
          <w:tcPr>
            <w:tcW w:w="1180" w:type="dxa"/>
            <w:tcBorders>
              <w:top w:val="nil"/>
              <w:left w:val="nil"/>
              <w:bottom w:val="single" w:sz="4" w:space="0" w:color="auto"/>
              <w:right w:val="single" w:sz="4" w:space="0" w:color="auto"/>
            </w:tcBorders>
            <w:shd w:val="clear" w:color="auto" w:fill="auto"/>
            <w:noWrap/>
            <w:vAlign w:val="bottom"/>
            <w:hideMark/>
          </w:tcPr>
          <w:p w14:paraId="41D9924F" w14:textId="77777777" w:rsidR="002E4237" w:rsidRPr="002E4237" w:rsidRDefault="40B3576B" w:rsidP="40B3576B">
            <w:pPr>
              <w:spacing w:after="0"/>
              <w:jc w:val="right"/>
              <w:rPr>
                <w:sz w:val="18"/>
                <w:szCs w:val="18"/>
              </w:rPr>
            </w:pPr>
            <w:r w:rsidRPr="40B3576B">
              <w:rPr>
                <w:sz w:val="18"/>
                <w:szCs w:val="18"/>
              </w:rPr>
              <w:t xml:space="preserve">206,4 </w:t>
            </w:r>
          </w:p>
        </w:tc>
        <w:tc>
          <w:tcPr>
            <w:tcW w:w="1020" w:type="dxa"/>
            <w:tcBorders>
              <w:top w:val="nil"/>
              <w:left w:val="nil"/>
              <w:bottom w:val="single" w:sz="4" w:space="0" w:color="auto"/>
              <w:right w:val="single" w:sz="4" w:space="0" w:color="auto"/>
            </w:tcBorders>
            <w:shd w:val="clear" w:color="auto" w:fill="auto"/>
            <w:noWrap/>
            <w:vAlign w:val="bottom"/>
            <w:hideMark/>
          </w:tcPr>
          <w:p w14:paraId="52CEAC00" w14:textId="77777777" w:rsidR="002E4237" w:rsidRPr="002E4237" w:rsidRDefault="40B3576B" w:rsidP="40B3576B">
            <w:pPr>
              <w:spacing w:after="0"/>
              <w:jc w:val="right"/>
              <w:rPr>
                <w:sz w:val="18"/>
                <w:szCs w:val="18"/>
              </w:rPr>
            </w:pPr>
            <w:r w:rsidRPr="40B3576B">
              <w:rPr>
                <w:sz w:val="18"/>
                <w:szCs w:val="18"/>
              </w:rPr>
              <w:t xml:space="preserve">33,4 </w:t>
            </w:r>
          </w:p>
        </w:tc>
        <w:tc>
          <w:tcPr>
            <w:tcW w:w="1180" w:type="dxa"/>
            <w:tcBorders>
              <w:top w:val="nil"/>
              <w:left w:val="nil"/>
              <w:bottom w:val="single" w:sz="4" w:space="0" w:color="auto"/>
              <w:right w:val="single" w:sz="4" w:space="0" w:color="auto"/>
            </w:tcBorders>
            <w:shd w:val="clear" w:color="auto" w:fill="auto"/>
            <w:noWrap/>
            <w:vAlign w:val="bottom"/>
            <w:hideMark/>
          </w:tcPr>
          <w:p w14:paraId="5DA96AE4" w14:textId="77777777" w:rsidR="002E4237" w:rsidRPr="002E4237" w:rsidRDefault="40B3576B" w:rsidP="40B3576B">
            <w:pPr>
              <w:spacing w:after="0"/>
              <w:jc w:val="right"/>
              <w:rPr>
                <w:sz w:val="18"/>
                <w:szCs w:val="18"/>
              </w:rPr>
            </w:pPr>
            <w:r w:rsidRPr="40B3576B">
              <w:rPr>
                <w:sz w:val="18"/>
                <w:szCs w:val="18"/>
              </w:rPr>
              <w:t xml:space="preserve">641,6 </w:t>
            </w:r>
          </w:p>
        </w:tc>
        <w:tc>
          <w:tcPr>
            <w:tcW w:w="1180" w:type="dxa"/>
            <w:tcBorders>
              <w:top w:val="nil"/>
              <w:left w:val="nil"/>
              <w:bottom w:val="single" w:sz="4" w:space="0" w:color="auto"/>
              <w:right w:val="single" w:sz="4" w:space="0" w:color="auto"/>
            </w:tcBorders>
            <w:shd w:val="clear" w:color="auto" w:fill="auto"/>
            <w:noWrap/>
            <w:vAlign w:val="bottom"/>
            <w:hideMark/>
          </w:tcPr>
          <w:p w14:paraId="4776A670" w14:textId="77777777" w:rsidR="002E4237" w:rsidRPr="002E4237" w:rsidRDefault="40B3576B" w:rsidP="40B3576B">
            <w:pPr>
              <w:spacing w:after="0"/>
              <w:jc w:val="right"/>
              <w:rPr>
                <w:sz w:val="18"/>
                <w:szCs w:val="18"/>
              </w:rPr>
            </w:pPr>
            <w:r w:rsidRPr="40B3576B">
              <w:rPr>
                <w:sz w:val="18"/>
                <w:szCs w:val="18"/>
              </w:rPr>
              <w:t xml:space="preserve">230,9 </w:t>
            </w:r>
          </w:p>
        </w:tc>
        <w:tc>
          <w:tcPr>
            <w:tcW w:w="1020" w:type="dxa"/>
            <w:tcBorders>
              <w:top w:val="nil"/>
              <w:left w:val="nil"/>
              <w:bottom w:val="single" w:sz="4" w:space="0" w:color="auto"/>
              <w:right w:val="single" w:sz="4" w:space="0" w:color="auto"/>
            </w:tcBorders>
            <w:shd w:val="clear" w:color="auto" w:fill="auto"/>
            <w:noWrap/>
            <w:vAlign w:val="bottom"/>
            <w:hideMark/>
          </w:tcPr>
          <w:p w14:paraId="2DDBE8F6" w14:textId="77777777" w:rsidR="002E4237" w:rsidRPr="002E4237" w:rsidRDefault="40B3576B" w:rsidP="40B3576B">
            <w:pPr>
              <w:spacing w:after="0"/>
              <w:jc w:val="right"/>
              <w:rPr>
                <w:sz w:val="18"/>
                <w:szCs w:val="18"/>
              </w:rPr>
            </w:pPr>
            <w:r w:rsidRPr="40B3576B">
              <w:rPr>
                <w:sz w:val="18"/>
                <w:szCs w:val="18"/>
              </w:rPr>
              <w:t xml:space="preserve">36,0 </w:t>
            </w:r>
          </w:p>
        </w:tc>
        <w:tc>
          <w:tcPr>
            <w:tcW w:w="1000" w:type="dxa"/>
            <w:tcBorders>
              <w:top w:val="nil"/>
              <w:left w:val="nil"/>
              <w:bottom w:val="single" w:sz="4" w:space="0" w:color="auto"/>
              <w:right w:val="single" w:sz="4" w:space="0" w:color="auto"/>
            </w:tcBorders>
            <w:shd w:val="clear" w:color="auto" w:fill="auto"/>
            <w:noWrap/>
            <w:vAlign w:val="bottom"/>
            <w:hideMark/>
          </w:tcPr>
          <w:p w14:paraId="6884E9C6" w14:textId="77777777" w:rsidR="002E4237" w:rsidRPr="002E4237" w:rsidRDefault="40B3576B" w:rsidP="40B3576B">
            <w:pPr>
              <w:spacing w:after="0"/>
              <w:jc w:val="right"/>
              <w:rPr>
                <w:sz w:val="18"/>
                <w:szCs w:val="18"/>
              </w:rPr>
            </w:pPr>
            <w:r w:rsidRPr="40B3576B">
              <w:rPr>
                <w:sz w:val="18"/>
                <w:szCs w:val="18"/>
              </w:rPr>
              <w:t xml:space="preserve">111,9 </w:t>
            </w:r>
          </w:p>
        </w:tc>
      </w:tr>
      <w:tr w:rsidR="002E4237" w:rsidRPr="002E4237" w14:paraId="60F019B9" w14:textId="77777777" w:rsidTr="40B3576B">
        <w:trPr>
          <w:trHeight w:val="48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558BC1C2" w14:textId="77777777" w:rsidR="002E4237" w:rsidRPr="002E4237" w:rsidRDefault="40B3576B" w:rsidP="40B3576B">
            <w:pPr>
              <w:spacing w:after="0"/>
              <w:jc w:val="left"/>
              <w:rPr>
                <w:b/>
                <w:bCs/>
                <w:sz w:val="18"/>
                <w:szCs w:val="18"/>
              </w:rPr>
            </w:pPr>
            <w:r w:rsidRPr="40B3576B">
              <w:rPr>
                <w:b/>
                <w:bCs/>
                <w:sz w:val="18"/>
                <w:szCs w:val="18"/>
              </w:rPr>
              <w:t>Társadalombiztosítási alapok egyenlege</w:t>
            </w:r>
          </w:p>
        </w:tc>
        <w:tc>
          <w:tcPr>
            <w:tcW w:w="1180" w:type="dxa"/>
            <w:tcBorders>
              <w:top w:val="nil"/>
              <w:left w:val="nil"/>
              <w:bottom w:val="single" w:sz="4" w:space="0" w:color="auto"/>
              <w:right w:val="single" w:sz="4" w:space="0" w:color="auto"/>
            </w:tcBorders>
            <w:shd w:val="clear" w:color="auto" w:fill="auto"/>
            <w:noWrap/>
            <w:vAlign w:val="bottom"/>
            <w:hideMark/>
          </w:tcPr>
          <w:p w14:paraId="6D9505A4" w14:textId="77777777" w:rsidR="002E4237" w:rsidRPr="002E4237" w:rsidRDefault="40B3576B" w:rsidP="40B3576B">
            <w:pPr>
              <w:spacing w:after="0"/>
              <w:jc w:val="right"/>
              <w:rPr>
                <w:b/>
                <w:bCs/>
                <w:sz w:val="18"/>
                <w:szCs w:val="18"/>
              </w:rPr>
            </w:pPr>
            <w:r w:rsidRPr="40B3576B">
              <w:rPr>
                <w:b/>
                <w:bCs/>
                <w:sz w:val="18"/>
                <w:szCs w:val="18"/>
              </w:rPr>
              <w:t xml:space="preserve">-234,8 </w:t>
            </w:r>
          </w:p>
        </w:tc>
        <w:tc>
          <w:tcPr>
            <w:tcW w:w="1180" w:type="dxa"/>
            <w:tcBorders>
              <w:top w:val="nil"/>
              <w:left w:val="nil"/>
              <w:bottom w:val="single" w:sz="4" w:space="0" w:color="auto"/>
              <w:right w:val="single" w:sz="4" w:space="0" w:color="auto"/>
            </w:tcBorders>
            <w:shd w:val="clear" w:color="auto" w:fill="auto"/>
            <w:noWrap/>
            <w:vAlign w:val="bottom"/>
            <w:hideMark/>
          </w:tcPr>
          <w:p w14:paraId="09066070" w14:textId="77777777" w:rsidR="002E4237" w:rsidRPr="002E4237" w:rsidRDefault="40B3576B" w:rsidP="40B3576B">
            <w:pPr>
              <w:spacing w:after="0"/>
              <w:jc w:val="right"/>
              <w:rPr>
                <w:b/>
                <w:bCs/>
                <w:sz w:val="18"/>
                <w:szCs w:val="18"/>
              </w:rPr>
            </w:pPr>
            <w:r w:rsidRPr="40B3576B">
              <w:rPr>
                <w:b/>
                <w:bCs/>
                <w:sz w:val="18"/>
                <w:szCs w:val="18"/>
              </w:rPr>
              <w:t xml:space="preserve">25,5 </w:t>
            </w:r>
          </w:p>
        </w:tc>
        <w:tc>
          <w:tcPr>
            <w:tcW w:w="1020" w:type="dxa"/>
            <w:tcBorders>
              <w:top w:val="nil"/>
              <w:left w:val="nil"/>
              <w:bottom w:val="single" w:sz="4" w:space="0" w:color="auto"/>
              <w:right w:val="single" w:sz="4" w:space="0" w:color="auto"/>
            </w:tcBorders>
            <w:shd w:val="clear" w:color="auto" w:fill="auto"/>
            <w:noWrap/>
            <w:vAlign w:val="bottom"/>
            <w:hideMark/>
          </w:tcPr>
          <w:p w14:paraId="54AE65E7" w14:textId="77777777" w:rsidR="002E4237" w:rsidRPr="002E4237" w:rsidRDefault="40B3576B" w:rsidP="40B3576B">
            <w:pPr>
              <w:spacing w:after="0"/>
              <w:jc w:val="left"/>
              <w:rPr>
                <w:sz w:val="18"/>
                <w:szCs w:val="18"/>
              </w:rPr>
            </w:pPr>
            <w:r w:rsidRPr="40B3576B">
              <w:rPr>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188381E" w14:textId="77777777" w:rsidR="002E4237" w:rsidRPr="002E4237" w:rsidRDefault="40B3576B" w:rsidP="40B3576B">
            <w:pPr>
              <w:spacing w:after="0"/>
              <w:jc w:val="right"/>
              <w:rPr>
                <w:b/>
                <w:bCs/>
                <w:sz w:val="18"/>
                <w:szCs w:val="18"/>
              </w:rPr>
            </w:pPr>
            <w:r w:rsidRPr="40B3576B">
              <w:rPr>
                <w:b/>
                <w:bCs/>
                <w:sz w:val="18"/>
                <w:szCs w:val="18"/>
              </w:rPr>
              <w:t xml:space="preserve">0,0 </w:t>
            </w:r>
          </w:p>
        </w:tc>
        <w:tc>
          <w:tcPr>
            <w:tcW w:w="1180" w:type="dxa"/>
            <w:tcBorders>
              <w:top w:val="nil"/>
              <w:left w:val="nil"/>
              <w:bottom w:val="single" w:sz="4" w:space="0" w:color="auto"/>
              <w:right w:val="single" w:sz="4" w:space="0" w:color="auto"/>
            </w:tcBorders>
            <w:shd w:val="clear" w:color="auto" w:fill="auto"/>
            <w:noWrap/>
            <w:vAlign w:val="bottom"/>
            <w:hideMark/>
          </w:tcPr>
          <w:p w14:paraId="21DDB1A4" w14:textId="77777777" w:rsidR="002E4237" w:rsidRPr="002E4237" w:rsidRDefault="40B3576B" w:rsidP="40B3576B">
            <w:pPr>
              <w:spacing w:after="0"/>
              <w:jc w:val="right"/>
              <w:rPr>
                <w:b/>
                <w:bCs/>
                <w:sz w:val="18"/>
                <w:szCs w:val="18"/>
              </w:rPr>
            </w:pPr>
            <w:r w:rsidRPr="40B3576B">
              <w:rPr>
                <w:b/>
                <w:bCs/>
                <w:sz w:val="18"/>
                <w:szCs w:val="18"/>
              </w:rPr>
              <w:t xml:space="preserve">-154,3 </w:t>
            </w:r>
          </w:p>
        </w:tc>
        <w:tc>
          <w:tcPr>
            <w:tcW w:w="1020" w:type="dxa"/>
            <w:tcBorders>
              <w:top w:val="nil"/>
              <w:left w:val="nil"/>
              <w:bottom w:val="single" w:sz="4" w:space="0" w:color="auto"/>
              <w:right w:val="single" w:sz="4" w:space="0" w:color="auto"/>
            </w:tcBorders>
            <w:shd w:val="clear" w:color="auto" w:fill="auto"/>
            <w:noWrap/>
            <w:vAlign w:val="bottom"/>
            <w:hideMark/>
          </w:tcPr>
          <w:p w14:paraId="50F492C8" w14:textId="77777777" w:rsidR="002E4237" w:rsidRPr="002E4237" w:rsidRDefault="40B3576B" w:rsidP="40B3576B">
            <w:pPr>
              <w:spacing w:after="0"/>
              <w:jc w:val="right"/>
              <w:rPr>
                <w:sz w:val="18"/>
                <w:szCs w:val="18"/>
              </w:rPr>
            </w:pPr>
            <w:r w:rsidRPr="40B3576B">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51AFD0F5" w14:textId="77777777" w:rsidR="002E4237" w:rsidRPr="002E4237" w:rsidRDefault="40B3576B" w:rsidP="40B3576B">
            <w:pPr>
              <w:spacing w:after="0"/>
              <w:jc w:val="left"/>
              <w:rPr>
                <w:sz w:val="18"/>
                <w:szCs w:val="18"/>
              </w:rPr>
            </w:pPr>
            <w:r w:rsidRPr="40B3576B">
              <w:rPr>
                <w:sz w:val="18"/>
                <w:szCs w:val="18"/>
              </w:rPr>
              <w:t> </w:t>
            </w:r>
          </w:p>
        </w:tc>
      </w:tr>
      <w:tr w:rsidR="002E4237" w:rsidRPr="002E4237" w14:paraId="61BF3D4A" w14:textId="77777777" w:rsidTr="40B3576B">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617BC6C" w14:textId="77777777" w:rsidR="002E4237" w:rsidRPr="002E4237" w:rsidRDefault="40B3576B" w:rsidP="40B3576B">
            <w:pPr>
              <w:spacing w:after="0"/>
              <w:jc w:val="right"/>
              <w:rPr>
                <w:sz w:val="18"/>
                <w:szCs w:val="18"/>
              </w:rPr>
            </w:pPr>
            <w:r w:rsidRPr="40B3576B">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07A482DC" w14:textId="77777777" w:rsidR="002E4237" w:rsidRPr="002E4237" w:rsidRDefault="40B3576B" w:rsidP="40B3576B">
            <w:pPr>
              <w:spacing w:after="0"/>
              <w:jc w:val="right"/>
              <w:rPr>
                <w:sz w:val="18"/>
                <w:szCs w:val="18"/>
              </w:rPr>
            </w:pPr>
            <w:r w:rsidRPr="40B3576B">
              <w:rPr>
                <w:sz w:val="18"/>
                <w:szCs w:val="18"/>
              </w:rPr>
              <w:t xml:space="preserve">5 816,6 </w:t>
            </w:r>
          </w:p>
        </w:tc>
        <w:tc>
          <w:tcPr>
            <w:tcW w:w="1180" w:type="dxa"/>
            <w:tcBorders>
              <w:top w:val="nil"/>
              <w:left w:val="nil"/>
              <w:bottom w:val="single" w:sz="4" w:space="0" w:color="auto"/>
              <w:right w:val="single" w:sz="4" w:space="0" w:color="auto"/>
            </w:tcBorders>
            <w:shd w:val="clear" w:color="auto" w:fill="auto"/>
            <w:noWrap/>
            <w:vAlign w:val="bottom"/>
            <w:hideMark/>
          </w:tcPr>
          <w:p w14:paraId="4D3CDCB5" w14:textId="77777777" w:rsidR="002E4237" w:rsidRPr="002E4237" w:rsidRDefault="40B3576B" w:rsidP="40B3576B">
            <w:pPr>
              <w:spacing w:after="0"/>
              <w:jc w:val="right"/>
              <w:rPr>
                <w:sz w:val="18"/>
                <w:szCs w:val="18"/>
              </w:rPr>
            </w:pPr>
            <w:r w:rsidRPr="40B3576B">
              <w:rPr>
                <w:sz w:val="18"/>
                <w:szCs w:val="18"/>
              </w:rPr>
              <w:t xml:space="preserve">2 450,9 </w:t>
            </w:r>
          </w:p>
        </w:tc>
        <w:tc>
          <w:tcPr>
            <w:tcW w:w="1020" w:type="dxa"/>
            <w:tcBorders>
              <w:top w:val="nil"/>
              <w:left w:val="nil"/>
              <w:bottom w:val="single" w:sz="4" w:space="0" w:color="auto"/>
              <w:right w:val="single" w:sz="4" w:space="0" w:color="auto"/>
            </w:tcBorders>
            <w:shd w:val="clear" w:color="auto" w:fill="auto"/>
            <w:noWrap/>
            <w:vAlign w:val="bottom"/>
            <w:hideMark/>
          </w:tcPr>
          <w:p w14:paraId="32EBDABB" w14:textId="77777777" w:rsidR="002E4237" w:rsidRPr="002E4237" w:rsidRDefault="40B3576B" w:rsidP="40B3576B">
            <w:pPr>
              <w:spacing w:after="0"/>
              <w:jc w:val="right"/>
              <w:rPr>
                <w:sz w:val="18"/>
                <w:szCs w:val="18"/>
              </w:rPr>
            </w:pPr>
            <w:r w:rsidRPr="40B3576B">
              <w:rPr>
                <w:sz w:val="18"/>
                <w:szCs w:val="18"/>
              </w:rPr>
              <w:t xml:space="preserve">42,1 </w:t>
            </w:r>
          </w:p>
        </w:tc>
        <w:tc>
          <w:tcPr>
            <w:tcW w:w="1180" w:type="dxa"/>
            <w:tcBorders>
              <w:top w:val="nil"/>
              <w:left w:val="nil"/>
              <w:bottom w:val="single" w:sz="4" w:space="0" w:color="auto"/>
              <w:right w:val="single" w:sz="4" w:space="0" w:color="auto"/>
            </w:tcBorders>
            <w:shd w:val="clear" w:color="auto" w:fill="auto"/>
            <w:noWrap/>
            <w:vAlign w:val="bottom"/>
            <w:hideMark/>
          </w:tcPr>
          <w:p w14:paraId="1D32FCA5" w14:textId="77777777" w:rsidR="002E4237" w:rsidRPr="002E4237" w:rsidRDefault="40B3576B" w:rsidP="40B3576B">
            <w:pPr>
              <w:spacing w:after="0"/>
              <w:jc w:val="right"/>
              <w:rPr>
                <w:sz w:val="18"/>
                <w:szCs w:val="18"/>
              </w:rPr>
            </w:pPr>
            <w:r w:rsidRPr="40B3576B">
              <w:rPr>
                <w:sz w:val="18"/>
                <w:szCs w:val="18"/>
              </w:rPr>
              <w:t xml:space="preserve">6 269,5 </w:t>
            </w:r>
          </w:p>
        </w:tc>
        <w:tc>
          <w:tcPr>
            <w:tcW w:w="1180" w:type="dxa"/>
            <w:tcBorders>
              <w:top w:val="nil"/>
              <w:left w:val="nil"/>
              <w:bottom w:val="single" w:sz="4" w:space="0" w:color="auto"/>
              <w:right w:val="single" w:sz="4" w:space="0" w:color="auto"/>
            </w:tcBorders>
            <w:shd w:val="clear" w:color="auto" w:fill="auto"/>
            <w:noWrap/>
            <w:vAlign w:val="bottom"/>
            <w:hideMark/>
          </w:tcPr>
          <w:p w14:paraId="48130F12" w14:textId="77777777" w:rsidR="002E4237" w:rsidRPr="002E4237" w:rsidRDefault="40B3576B" w:rsidP="40B3576B">
            <w:pPr>
              <w:spacing w:after="0"/>
              <w:jc w:val="right"/>
              <w:rPr>
                <w:sz w:val="18"/>
                <w:szCs w:val="18"/>
              </w:rPr>
            </w:pPr>
            <w:r w:rsidRPr="40B3576B">
              <w:rPr>
                <w:sz w:val="18"/>
                <w:szCs w:val="18"/>
              </w:rPr>
              <w:t xml:space="preserve">2 510,3 </w:t>
            </w:r>
          </w:p>
        </w:tc>
        <w:tc>
          <w:tcPr>
            <w:tcW w:w="1020" w:type="dxa"/>
            <w:tcBorders>
              <w:top w:val="nil"/>
              <w:left w:val="nil"/>
              <w:bottom w:val="single" w:sz="4" w:space="0" w:color="auto"/>
              <w:right w:val="single" w:sz="4" w:space="0" w:color="auto"/>
            </w:tcBorders>
            <w:shd w:val="clear" w:color="auto" w:fill="auto"/>
            <w:noWrap/>
            <w:vAlign w:val="bottom"/>
            <w:hideMark/>
          </w:tcPr>
          <w:p w14:paraId="1E360A2C" w14:textId="77777777" w:rsidR="002E4237" w:rsidRPr="002E4237" w:rsidRDefault="40B3576B" w:rsidP="40B3576B">
            <w:pPr>
              <w:spacing w:after="0"/>
              <w:jc w:val="right"/>
              <w:rPr>
                <w:sz w:val="18"/>
                <w:szCs w:val="18"/>
              </w:rPr>
            </w:pPr>
            <w:r w:rsidRPr="40B3576B">
              <w:rPr>
                <w:sz w:val="18"/>
                <w:szCs w:val="18"/>
              </w:rPr>
              <w:t xml:space="preserve">40,0 </w:t>
            </w:r>
          </w:p>
        </w:tc>
        <w:tc>
          <w:tcPr>
            <w:tcW w:w="1000" w:type="dxa"/>
            <w:tcBorders>
              <w:top w:val="nil"/>
              <w:left w:val="nil"/>
              <w:bottom w:val="single" w:sz="4" w:space="0" w:color="auto"/>
              <w:right w:val="single" w:sz="4" w:space="0" w:color="auto"/>
            </w:tcBorders>
            <w:shd w:val="clear" w:color="auto" w:fill="auto"/>
            <w:noWrap/>
            <w:vAlign w:val="bottom"/>
            <w:hideMark/>
          </w:tcPr>
          <w:p w14:paraId="1A30EB4A" w14:textId="77777777" w:rsidR="002E4237" w:rsidRPr="002E4237" w:rsidRDefault="40B3576B" w:rsidP="40B3576B">
            <w:pPr>
              <w:spacing w:after="0"/>
              <w:jc w:val="right"/>
              <w:rPr>
                <w:sz w:val="18"/>
                <w:szCs w:val="18"/>
              </w:rPr>
            </w:pPr>
            <w:r w:rsidRPr="40B3576B">
              <w:rPr>
                <w:sz w:val="18"/>
                <w:szCs w:val="18"/>
              </w:rPr>
              <w:t xml:space="preserve">102,4 </w:t>
            </w:r>
          </w:p>
        </w:tc>
      </w:tr>
      <w:tr w:rsidR="002E4237" w:rsidRPr="002E4237" w14:paraId="640C87CC" w14:textId="77777777" w:rsidTr="40B3576B">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09F1DB2" w14:textId="77777777" w:rsidR="002E4237" w:rsidRPr="002E4237" w:rsidRDefault="40B3576B" w:rsidP="40B3576B">
            <w:pPr>
              <w:spacing w:after="0"/>
              <w:jc w:val="right"/>
              <w:rPr>
                <w:sz w:val="18"/>
                <w:szCs w:val="18"/>
              </w:rPr>
            </w:pPr>
            <w:r w:rsidRPr="40B3576B">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7342F906" w14:textId="77777777" w:rsidR="002E4237" w:rsidRPr="002E4237" w:rsidRDefault="40B3576B" w:rsidP="40B3576B">
            <w:pPr>
              <w:spacing w:after="0"/>
              <w:jc w:val="right"/>
              <w:rPr>
                <w:sz w:val="18"/>
                <w:szCs w:val="18"/>
              </w:rPr>
            </w:pPr>
            <w:r w:rsidRPr="40B3576B">
              <w:rPr>
                <w:sz w:val="18"/>
                <w:szCs w:val="18"/>
              </w:rPr>
              <w:t xml:space="preserve">6 051,4 </w:t>
            </w:r>
          </w:p>
        </w:tc>
        <w:tc>
          <w:tcPr>
            <w:tcW w:w="1180" w:type="dxa"/>
            <w:tcBorders>
              <w:top w:val="nil"/>
              <w:left w:val="nil"/>
              <w:bottom w:val="single" w:sz="4" w:space="0" w:color="auto"/>
              <w:right w:val="single" w:sz="4" w:space="0" w:color="auto"/>
            </w:tcBorders>
            <w:shd w:val="clear" w:color="auto" w:fill="auto"/>
            <w:noWrap/>
            <w:vAlign w:val="bottom"/>
            <w:hideMark/>
          </w:tcPr>
          <w:p w14:paraId="6B584055" w14:textId="77777777" w:rsidR="002E4237" w:rsidRPr="002E4237" w:rsidRDefault="40B3576B" w:rsidP="40B3576B">
            <w:pPr>
              <w:spacing w:after="0"/>
              <w:jc w:val="right"/>
              <w:rPr>
                <w:sz w:val="18"/>
                <w:szCs w:val="18"/>
              </w:rPr>
            </w:pPr>
            <w:r w:rsidRPr="40B3576B">
              <w:rPr>
                <w:sz w:val="18"/>
                <w:szCs w:val="18"/>
              </w:rPr>
              <w:t xml:space="preserve">2 425,4 </w:t>
            </w:r>
          </w:p>
        </w:tc>
        <w:tc>
          <w:tcPr>
            <w:tcW w:w="1020" w:type="dxa"/>
            <w:tcBorders>
              <w:top w:val="nil"/>
              <w:left w:val="nil"/>
              <w:bottom w:val="single" w:sz="4" w:space="0" w:color="auto"/>
              <w:right w:val="single" w:sz="4" w:space="0" w:color="auto"/>
            </w:tcBorders>
            <w:shd w:val="clear" w:color="auto" w:fill="auto"/>
            <w:noWrap/>
            <w:vAlign w:val="bottom"/>
            <w:hideMark/>
          </w:tcPr>
          <w:p w14:paraId="33A8EA80" w14:textId="77777777" w:rsidR="002E4237" w:rsidRPr="002E4237" w:rsidRDefault="40B3576B" w:rsidP="40B3576B">
            <w:pPr>
              <w:spacing w:after="0"/>
              <w:jc w:val="right"/>
              <w:rPr>
                <w:sz w:val="18"/>
                <w:szCs w:val="18"/>
              </w:rPr>
            </w:pPr>
            <w:r w:rsidRPr="40B3576B">
              <w:rPr>
                <w:sz w:val="18"/>
                <w:szCs w:val="18"/>
              </w:rPr>
              <w:t xml:space="preserve">40,1 </w:t>
            </w:r>
          </w:p>
        </w:tc>
        <w:tc>
          <w:tcPr>
            <w:tcW w:w="1180" w:type="dxa"/>
            <w:tcBorders>
              <w:top w:val="nil"/>
              <w:left w:val="nil"/>
              <w:bottom w:val="single" w:sz="4" w:space="0" w:color="auto"/>
              <w:right w:val="single" w:sz="4" w:space="0" w:color="auto"/>
            </w:tcBorders>
            <w:shd w:val="clear" w:color="auto" w:fill="auto"/>
            <w:noWrap/>
            <w:vAlign w:val="bottom"/>
            <w:hideMark/>
          </w:tcPr>
          <w:p w14:paraId="72390072" w14:textId="77777777" w:rsidR="002E4237" w:rsidRPr="002E4237" w:rsidRDefault="40B3576B" w:rsidP="40B3576B">
            <w:pPr>
              <w:spacing w:after="0"/>
              <w:jc w:val="right"/>
              <w:rPr>
                <w:sz w:val="18"/>
                <w:szCs w:val="18"/>
              </w:rPr>
            </w:pPr>
            <w:r w:rsidRPr="40B3576B">
              <w:rPr>
                <w:sz w:val="18"/>
                <w:szCs w:val="18"/>
              </w:rPr>
              <w:t xml:space="preserve">6 269,5 </w:t>
            </w:r>
          </w:p>
        </w:tc>
        <w:tc>
          <w:tcPr>
            <w:tcW w:w="1180" w:type="dxa"/>
            <w:tcBorders>
              <w:top w:val="nil"/>
              <w:left w:val="nil"/>
              <w:bottom w:val="single" w:sz="4" w:space="0" w:color="auto"/>
              <w:right w:val="single" w:sz="4" w:space="0" w:color="auto"/>
            </w:tcBorders>
            <w:shd w:val="clear" w:color="auto" w:fill="auto"/>
            <w:noWrap/>
            <w:vAlign w:val="bottom"/>
            <w:hideMark/>
          </w:tcPr>
          <w:p w14:paraId="0FD30E5A" w14:textId="77777777" w:rsidR="002E4237" w:rsidRPr="002E4237" w:rsidRDefault="40B3576B" w:rsidP="40B3576B">
            <w:pPr>
              <w:spacing w:after="0"/>
              <w:jc w:val="right"/>
              <w:rPr>
                <w:sz w:val="18"/>
                <w:szCs w:val="18"/>
              </w:rPr>
            </w:pPr>
            <w:r w:rsidRPr="40B3576B">
              <w:rPr>
                <w:sz w:val="18"/>
                <w:szCs w:val="18"/>
              </w:rPr>
              <w:t xml:space="preserve">2 664,6 </w:t>
            </w:r>
          </w:p>
        </w:tc>
        <w:tc>
          <w:tcPr>
            <w:tcW w:w="1020" w:type="dxa"/>
            <w:tcBorders>
              <w:top w:val="nil"/>
              <w:left w:val="nil"/>
              <w:bottom w:val="single" w:sz="4" w:space="0" w:color="auto"/>
              <w:right w:val="single" w:sz="4" w:space="0" w:color="auto"/>
            </w:tcBorders>
            <w:shd w:val="clear" w:color="auto" w:fill="auto"/>
            <w:noWrap/>
            <w:vAlign w:val="bottom"/>
            <w:hideMark/>
          </w:tcPr>
          <w:p w14:paraId="2EDA4CC4" w14:textId="77777777" w:rsidR="002E4237" w:rsidRPr="002E4237" w:rsidRDefault="40B3576B" w:rsidP="40B3576B">
            <w:pPr>
              <w:spacing w:after="0"/>
              <w:jc w:val="right"/>
              <w:rPr>
                <w:sz w:val="18"/>
                <w:szCs w:val="18"/>
              </w:rPr>
            </w:pPr>
            <w:r w:rsidRPr="40B3576B">
              <w:rPr>
                <w:sz w:val="18"/>
                <w:szCs w:val="18"/>
              </w:rPr>
              <w:t xml:space="preserve">42,5 </w:t>
            </w:r>
          </w:p>
        </w:tc>
        <w:tc>
          <w:tcPr>
            <w:tcW w:w="1000" w:type="dxa"/>
            <w:tcBorders>
              <w:top w:val="nil"/>
              <w:left w:val="nil"/>
              <w:bottom w:val="single" w:sz="4" w:space="0" w:color="auto"/>
              <w:right w:val="single" w:sz="4" w:space="0" w:color="auto"/>
            </w:tcBorders>
            <w:shd w:val="clear" w:color="auto" w:fill="auto"/>
            <w:noWrap/>
            <w:vAlign w:val="bottom"/>
            <w:hideMark/>
          </w:tcPr>
          <w:p w14:paraId="07BFCC48" w14:textId="77777777" w:rsidR="002E4237" w:rsidRPr="002E4237" w:rsidRDefault="40B3576B" w:rsidP="40B3576B">
            <w:pPr>
              <w:spacing w:after="0"/>
              <w:jc w:val="right"/>
              <w:rPr>
                <w:sz w:val="18"/>
                <w:szCs w:val="18"/>
              </w:rPr>
            </w:pPr>
            <w:r w:rsidRPr="40B3576B">
              <w:rPr>
                <w:sz w:val="18"/>
                <w:szCs w:val="18"/>
              </w:rPr>
              <w:t xml:space="preserve">109,9 </w:t>
            </w:r>
          </w:p>
        </w:tc>
      </w:tr>
      <w:tr w:rsidR="002E4237" w:rsidRPr="002E4237" w14:paraId="1846FFE4" w14:textId="77777777" w:rsidTr="40B3576B">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FC28C4D" w14:textId="77777777" w:rsidR="002E4237" w:rsidRPr="002E4237" w:rsidRDefault="40B3576B" w:rsidP="40B3576B">
            <w:pPr>
              <w:spacing w:after="0"/>
              <w:jc w:val="left"/>
              <w:rPr>
                <w:b/>
                <w:bCs/>
                <w:sz w:val="18"/>
                <w:szCs w:val="18"/>
              </w:rPr>
            </w:pPr>
            <w:r w:rsidRPr="40B3576B">
              <w:rPr>
                <w:b/>
                <w:bCs/>
                <w:sz w:val="18"/>
                <w:szCs w:val="18"/>
              </w:rPr>
              <w:t>Egyenleg összesen</w:t>
            </w:r>
          </w:p>
        </w:tc>
        <w:tc>
          <w:tcPr>
            <w:tcW w:w="1180" w:type="dxa"/>
            <w:tcBorders>
              <w:top w:val="nil"/>
              <w:left w:val="nil"/>
              <w:bottom w:val="single" w:sz="4" w:space="0" w:color="auto"/>
              <w:right w:val="single" w:sz="4" w:space="0" w:color="auto"/>
            </w:tcBorders>
            <w:shd w:val="clear" w:color="auto" w:fill="auto"/>
            <w:noWrap/>
            <w:vAlign w:val="bottom"/>
            <w:hideMark/>
          </w:tcPr>
          <w:p w14:paraId="758D5517" w14:textId="77777777" w:rsidR="002E4237" w:rsidRPr="002E4237" w:rsidRDefault="40B3576B" w:rsidP="40B3576B">
            <w:pPr>
              <w:spacing w:after="0"/>
              <w:jc w:val="right"/>
              <w:rPr>
                <w:b/>
                <w:bCs/>
                <w:sz w:val="18"/>
                <w:szCs w:val="18"/>
              </w:rPr>
            </w:pPr>
            <w:r w:rsidRPr="40B3576B">
              <w:rPr>
                <w:b/>
                <w:bCs/>
                <w:sz w:val="18"/>
                <w:szCs w:val="18"/>
              </w:rPr>
              <w:t xml:space="preserve">-1 219,0 </w:t>
            </w:r>
          </w:p>
        </w:tc>
        <w:tc>
          <w:tcPr>
            <w:tcW w:w="1180" w:type="dxa"/>
            <w:tcBorders>
              <w:top w:val="nil"/>
              <w:left w:val="nil"/>
              <w:bottom w:val="single" w:sz="4" w:space="0" w:color="auto"/>
              <w:right w:val="single" w:sz="4" w:space="0" w:color="auto"/>
            </w:tcBorders>
            <w:shd w:val="clear" w:color="auto" w:fill="auto"/>
            <w:noWrap/>
            <w:vAlign w:val="bottom"/>
            <w:hideMark/>
          </w:tcPr>
          <w:p w14:paraId="4A063B81" w14:textId="77777777" w:rsidR="002E4237" w:rsidRPr="002E4237" w:rsidRDefault="40B3576B" w:rsidP="40B3576B">
            <w:pPr>
              <w:spacing w:after="0"/>
              <w:jc w:val="right"/>
              <w:rPr>
                <w:b/>
                <w:bCs/>
                <w:sz w:val="18"/>
                <w:szCs w:val="18"/>
              </w:rPr>
            </w:pPr>
            <w:r w:rsidRPr="40B3576B">
              <w:rPr>
                <w:b/>
                <w:bCs/>
                <w:sz w:val="18"/>
                <w:szCs w:val="18"/>
              </w:rPr>
              <w:t xml:space="preserve">-176,4 </w:t>
            </w:r>
          </w:p>
        </w:tc>
        <w:tc>
          <w:tcPr>
            <w:tcW w:w="1020" w:type="dxa"/>
            <w:tcBorders>
              <w:top w:val="nil"/>
              <w:left w:val="nil"/>
              <w:bottom w:val="single" w:sz="4" w:space="0" w:color="auto"/>
              <w:right w:val="single" w:sz="4" w:space="0" w:color="auto"/>
            </w:tcBorders>
            <w:shd w:val="clear" w:color="auto" w:fill="auto"/>
            <w:noWrap/>
            <w:vAlign w:val="bottom"/>
            <w:hideMark/>
          </w:tcPr>
          <w:p w14:paraId="6C25B048" w14:textId="77777777" w:rsidR="002E4237" w:rsidRPr="002E4237" w:rsidRDefault="40B3576B" w:rsidP="40B3576B">
            <w:pPr>
              <w:spacing w:after="0"/>
              <w:jc w:val="right"/>
              <w:rPr>
                <w:sz w:val="18"/>
                <w:szCs w:val="18"/>
              </w:rPr>
            </w:pPr>
            <w:r w:rsidRPr="40B3576B">
              <w:rPr>
                <w:sz w:val="18"/>
                <w:szCs w:val="18"/>
              </w:rPr>
              <w:t xml:space="preserve">14,5 </w:t>
            </w:r>
          </w:p>
        </w:tc>
        <w:tc>
          <w:tcPr>
            <w:tcW w:w="1180" w:type="dxa"/>
            <w:tcBorders>
              <w:top w:val="nil"/>
              <w:left w:val="nil"/>
              <w:bottom w:val="single" w:sz="4" w:space="0" w:color="auto"/>
              <w:right w:val="single" w:sz="4" w:space="0" w:color="auto"/>
            </w:tcBorders>
            <w:shd w:val="clear" w:color="auto" w:fill="auto"/>
            <w:noWrap/>
            <w:vAlign w:val="bottom"/>
            <w:hideMark/>
          </w:tcPr>
          <w:p w14:paraId="7CE8B3FC" w14:textId="77777777" w:rsidR="002E4237" w:rsidRPr="002E4237" w:rsidRDefault="40B3576B" w:rsidP="40B3576B">
            <w:pPr>
              <w:spacing w:after="0"/>
              <w:jc w:val="right"/>
              <w:rPr>
                <w:b/>
                <w:bCs/>
                <w:sz w:val="18"/>
                <w:szCs w:val="18"/>
              </w:rPr>
            </w:pPr>
            <w:r w:rsidRPr="40B3576B">
              <w:rPr>
                <w:b/>
                <w:bCs/>
                <w:sz w:val="18"/>
                <w:szCs w:val="18"/>
              </w:rPr>
              <w:t xml:space="preserve">-367,0 </w:t>
            </w:r>
          </w:p>
        </w:tc>
        <w:tc>
          <w:tcPr>
            <w:tcW w:w="1180" w:type="dxa"/>
            <w:tcBorders>
              <w:top w:val="nil"/>
              <w:left w:val="nil"/>
              <w:bottom w:val="single" w:sz="4" w:space="0" w:color="auto"/>
              <w:right w:val="single" w:sz="4" w:space="0" w:color="auto"/>
            </w:tcBorders>
            <w:shd w:val="clear" w:color="auto" w:fill="auto"/>
            <w:noWrap/>
            <w:vAlign w:val="bottom"/>
            <w:hideMark/>
          </w:tcPr>
          <w:p w14:paraId="064DD83D" w14:textId="77777777" w:rsidR="002E4237" w:rsidRPr="002E4237" w:rsidRDefault="40B3576B" w:rsidP="40B3576B">
            <w:pPr>
              <w:spacing w:after="0"/>
              <w:jc w:val="right"/>
              <w:rPr>
                <w:b/>
                <w:bCs/>
                <w:sz w:val="18"/>
                <w:szCs w:val="18"/>
              </w:rPr>
            </w:pPr>
            <w:r w:rsidRPr="40B3576B">
              <w:rPr>
                <w:b/>
                <w:bCs/>
                <w:sz w:val="18"/>
                <w:szCs w:val="18"/>
              </w:rPr>
              <w:t xml:space="preserve">-1 051,5 </w:t>
            </w:r>
          </w:p>
        </w:tc>
        <w:tc>
          <w:tcPr>
            <w:tcW w:w="1020" w:type="dxa"/>
            <w:tcBorders>
              <w:top w:val="nil"/>
              <w:left w:val="nil"/>
              <w:bottom w:val="single" w:sz="4" w:space="0" w:color="auto"/>
              <w:right w:val="single" w:sz="4" w:space="0" w:color="auto"/>
            </w:tcBorders>
            <w:shd w:val="clear" w:color="auto" w:fill="auto"/>
            <w:noWrap/>
            <w:vAlign w:val="bottom"/>
            <w:hideMark/>
          </w:tcPr>
          <w:p w14:paraId="736D6237" w14:textId="77777777" w:rsidR="002E4237" w:rsidRPr="002E4237" w:rsidRDefault="40B3576B" w:rsidP="40B3576B">
            <w:pPr>
              <w:spacing w:after="0"/>
              <w:jc w:val="right"/>
              <w:rPr>
                <w:sz w:val="18"/>
                <w:szCs w:val="18"/>
              </w:rPr>
            </w:pPr>
            <w:r w:rsidRPr="40B3576B">
              <w:rPr>
                <w:sz w:val="18"/>
                <w:szCs w:val="18"/>
              </w:rPr>
              <w:t xml:space="preserve">286,5 </w:t>
            </w:r>
          </w:p>
        </w:tc>
        <w:tc>
          <w:tcPr>
            <w:tcW w:w="1000" w:type="dxa"/>
            <w:tcBorders>
              <w:top w:val="nil"/>
              <w:left w:val="nil"/>
              <w:bottom w:val="single" w:sz="4" w:space="0" w:color="auto"/>
              <w:right w:val="single" w:sz="4" w:space="0" w:color="auto"/>
            </w:tcBorders>
            <w:shd w:val="clear" w:color="auto" w:fill="auto"/>
            <w:noWrap/>
            <w:vAlign w:val="bottom"/>
            <w:hideMark/>
          </w:tcPr>
          <w:p w14:paraId="465DD1D0" w14:textId="77777777" w:rsidR="002E4237" w:rsidRPr="002E4237" w:rsidRDefault="40B3576B" w:rsidP="40B3576B">
            <w:pPr>
              <w:spacing w:after="0"/>
              <w:jc w:val="right"/>
              <w:rPr>
                <w:sz w:val="18"/>
                <w:szCs w:val="18"/>
              </w:rPr>
            </w:pPr>
            <w:r w:rsidRPr="40B3576B">
              <w:rPr>
                <w:sz w:val="18"/>
                <w:szCs w:val="18"/>
              </w:rPr>
              <w:t xml:space="preserve">596,1 </w:t>
            </w:r>
          </w:p>
        </w:tc>
      </w:tr>
      <w:tr w:rsidR="002E4237" w:rsidRPr="002E4237" w14:paraId="00FD5EB4" w14:textId="77777777" w:rsidTr="40B3576B">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6D393CF" w14:textId="77777777" w:rsidR="002E4237" w:rsidRPr="002E4237" w:rsidRDefault="40B3576B" w:rsidP="40B3576B">
            <w:pPr>
              <w:spacing w:after="0"/>
              <w:jc w:val="right"/>
              <w:rPr>
                <w:sz w:val="18"/>
                <w:szCs w:val="18"/>
              </w:rPr>
            </w:pPr>
            <w:r w:rsidRPr="40B3576B">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2DDA5F11" w14:textId="77777777" w:rsidR="002E4237" w:rsidRPr="002E4237" w:rsidRDefault="40B3576B" w:rsidP="40B3576B">
            <w:pPr>
              <w:spacing w:after="0"/>
              <w:jc w:val="right"/>
              <w:rPr>
                <w:sz w:val="18"/>
                <w:szCs w:val="18"/>
              </w:rPr>
            </w:pPr>
            <w:r w:rsidRPr="40B3576B">
              <w:rPr>
                <w:sz w:val="18"/>
                <w:szCs w:val="18"/>
              </w:rPr>
              <w:t xml:space="preserve">21 440,1 </w:t>
            </w:r>
          </w:p>
        </w:tc>
        <w:tc>
          <w:tcPr>
            <w:tcW w:w="1180" w:type="dxa"/>
            <w:tcBorders>
              <w:top w:val="nil"/>
              <w:left w:val="nil"/>
              <w:bottom w:val="single" w:sz="4" w:space="0" w:color="auto"/>
              <w:right w:val="single" w:sz="4" w:space="0" w:color="auto"/>
            </w:tcBorders>
            <w:shd w:val="clear" w:color="auto" w:fill="auto"/>
            <w:noWrap/>
            <w:vAlign w:val="bottom"/>
            <w:hideMark/>
          </w:tcPr>
          <w:p w14:paraId="2D7DD430" w14:textId="77777777" w:rsidR="002E4237" w:rsidRPr="002E4237" w:rsidRDefault="40B3576B" w:rsidP="40B3576B">
            <w:pPr>
              <w:spacing w:after="0"/>
              <w:jc w:val="right"/>
              <w:rPr>
                <w:sz w:val="18"/>
                <w:szCs w:val="18"/>
              </w:rPr>
            </w:pPr>
            <w:r w:rsidRPr="40B3576B">
              <w:rPr>
                <w:sz w:val="18"/>
                <w:szCs w:val="18"/>
              </w:rPr>
              <w:t xml:space="preserve">8 427,7 </w:t>
            </w:r>
          </w:p>
        </w:tc>
        <w:tc>
          <w:tcPr>
            <w:tcW w:w="1020" w:type="dxa"/>
            <w:tcBorders>
              <w:top w:val="nil"/>
              <w:left w:val="nil"/>
              <w:bottom w:val="single" w:sz="4" w:space="0" w:color="auto"/>
              <w:right w:val="single" w:sz="4" w:space="0" w:color="auto"/>
            </w:tcBorders>
            <w:shd w:val="clear" w:color="auto" w:fill="auto"/>
            <w:noWrap/>
            <w:vAlign w:val="bottom"/>
            <w:hideMark/>
          </w:tcPr>
          <w:p w14:paraId="4F41F414" w14:textId="77777777" w:rsidR="002E4237" w:rsidRPr="002E4237" w:rsidRDefault="40B3576B" w:rsidP="40B3576B">
            <w:pPr>
              <w:spacing w:after="0"/>
              <w:jc w:val="right"/>
              <w:rPr>
                <w:sz w:val="18"/>
                <w:szCs w:val="18"/>
              </w:rPr>
            </w:pPr>
            <w:r w:rsidRPr="40B3576B">
              <w:rPr>
                <w:sz w:val="18"/>
                <w:szCs w:val="18"/>
              </w:rPr>
              <w:t xml:space="preserve">39,3 </w:t>
            </w:r>
          </w:p>
        </w:tc>
        <w:tc>
          <w:tcPr>
            <w:tcW w:w="1180" w:type="dxa"/>
            <w:tcBorders>
              <w:top w:val="nil"/>
              <w:left w:val="nil"/>
              <w:bottom w:val="single" w:sz="4" w:space="0" w:color="auto"/>
              <w:right w:val="single" w:sz="4" w:space="0" w:color="auto"/>
            </w:tcBorders>
            <w:shd w:val="clear" w:color="auto" w:fill="auto"/>
            <w:noWrap/>
            <w:vAlign w:val="bottom"/>
            <w:hideMark/>
          </w:tcPr>
          <w:p w14:paraId="303D7769" w14:textId="77777777" w:rsidR="002E4237" w:rsidRPr="002E4237" w:rsidRDefault="40B3576B" w:rsidP="40B3576B">
            <w:pPr>
              <w:spacing w:after="0"/>
              <w:jc w:val="right"/>
              <w:rPr>
                <w:sz w:val="18"/>
                <w:szCs w:val="18"/>
              </w:rPr>
            </w:pPr>
            <w:r w:rsidRPr="40B3576B">
              <w:rPr>
                <w:sz w:val="18"/>
                <w:szCs w:val="18"/>
              </w:rPr>
              <w:t xml:space="preserve">21 425,9 </w:t>
            </w:r>
          </w:p>
        </w:tc>
        <w:tc>
          <w:tcPr>
            <w:tcW w:w="1180" w:type="dxa"/>
            <w:tcBorders>
              <w:top w:val="nil"/>
              <w:left w:val="nil"/>
              <w:bottom w:val="single" w:sz="4" w:space="0" w:color="auto"/>
              <w:right w:val="single" w:sz="4" w:space="0" w:color="auto"/>
            </w:tcBorders>
            <w:shd w:val="clear" w:color="auto" w:fill="auto"/>
            <w:noWrap/>
            <w:vAlign w:val="bottom"/>
            <w:hideMark/>
          </w:tcPr>
          <w:p w14:paraId="411AD04F" w14:textId="77777777" w:rsidR="002E4237" w:rsidRPr="002E4237" w:rsidRDefault="40B3576B" w:rsidP="40B3576B">
            <w:pPr>
              <w:spacing w:after="0"/>
              <w:jc w:val="right"/>
              <w:rPr>
                <w:sz w:val="18"/>
                <w:szCs w:val="18"/>
              </w:rPr>
            </w:pPr>
            <w:r w:rsidRPr="40B3576B">
              <w:rPr>
                <w:sz w:val="18"/>
                <w:szCs w:val="18"/>
              </w:rPr>
              <w:t xml:space="preserve">9 040,0 </w:t>
            </w:r>
          </w:p>
        </w:tc>
        <w:tc>
          <w:tcPr>
            <w:tcW w:w="1020" w:type="dxa"/>
            <w:tcBorders>
              <w:top w:val="nil"/>
              <w:left w:val="nil"/>
              <w:bottom w:val="single" w:sz="4" w:space="0" w:color="auto"/>
              <w:right w:val="single" w:sz="4" w:space="0" w:color="auto"/>
            </w:tcBorders>
            <w:shd w:val="clear" w:color="auto" w:fill="auto"/>
            <w:noWrap/>
            <w:vAlign w:val="bottom"/>
            <w:hideMark/>
          </w:tcPr>
          <w:p w14:paraId="3CB64662" w14:textId="77777777" w:rsidR="002E4237" w:rsidRPr="002E4237" w:rsidRDefault="40B3576B" w:rsidP="40B3576B">
            <w:pPr>
              <w:spacing w:after="0"/>
              <w:jc w:val="right"/>
              <w:rPr>
                <w:sz w:val="18"/>
                <w:szCs w:val="18"/>
              </w:rPr>
            </w:pPr>
            <w:r w:rsidRPr="40B3576B">
              <w:rPr>
                <w:sz w:val="18"/>
                <w:szCs w:val="18"/>
              </w:rPr>
              <w:t xml:space="preserve">42,2 </w:t>
            </w:r>
          </w:p>
        </w:tc>
        <w:tc>
          <w:tcPr>
            <w:tcW w:w="1000" w:type="dxa"/>
            <w:tcBorders>
              <w:top w:val="nil"/>
              <w:left w:val="nil"/>
              <w:bottom w:val="single" w:sz="4" w:space="0" w:color="auto"/>
              <w:right w:val="single" w:sz="4" w:space="0" w:color="auto"/>
            </w:tcBorders>
            <w:shd w:val="clear" w:color="auto" w:fill="auto"/>
            <w:noWrap/>
            <w:vAlign w:val="bottom"/>
            <w:hideMark/>
          </w:tcPr>
          <w:p w14:paraId="37B6F5B8" w14:textId="77777777" w:rsidR="002E4237" w:rsidRPr="002E4237" w:rsidRDefault="40B3576B" w:rsidP="40B3576B">
            <w:pPr>
              <w:spacing w:after="0"/>
              <w:jc w:val="right"/>
              <w:rPr>
                <w:sz w:val="18"/>
                <w:szCs w:val="18"/>
              </w:rPr>
            </w:pPr>
            <w:r w:rsidRPr="40B3576B">
              <w:rPr>
                <w:sz w:val="18"/>
                <w:szCs w:val="18"/>
              </w:rPr>
              <w:t xml:space="preserve">107,3 </w:t>
            </w:r>
          </w:p>
        </w:tc>
      </w:tr>
      <w:tr w:rsidR="002E4237" w:rsidRPr="002E4237" w14:paraId="38CB022C" w14:textId="77777777" w:rsidTr="40B3576B">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326BE1D" w14:textId="77777777" w:rsidR="002E4237" w:rsidRPr="002E4237" w:rsidRDefault="40B3576B" w:rsidP="40B3576B">
            <w:pPr>
              <w:spacing w:after="0"/>
              <w:jc w:val="right"/>
              <w:rPr>
                <w:sz w:val="18"/>
                <w:szCs w:val="18"/>
              </w:rPr>
            </w:pPr>
            <w:r w:rsidRPr="40B3576B">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50582425" w14:textId="77777777" w:rsidR="002E4237" w:rsidRPr="002E4237" w:rsidRDefault="40B3576B" w:rsidP="40B3576B">
            <w:pPr>
              <w:spacing w:after="0"/>
              <w:jc w:val="right"/>
              <w:rPr>
                <w:sz w:val="18"/>
                <w:szCs w:val="18"/>
              </w:rPr>
            </w:pPr>
            <w:r w:rsidRPr="40B3576B">
              <w:rPr>
                <w:sz w:val="18"/>
                <w:szCs w:val="18"/>
              </w:rPr>
              <w:t xml:space="preserve">22 659,1 </w:t>
            </w:r>
          </w:p>
        </w:tc>
        <w:tc>
          <w:tcPr>
            <w:tcW w:w="1180" w:type="dxa"/>
            <w:tcBorders>
              <w:top w:val="nil"/>
              <w:left w:val="nil"/>
              <w:bottom w:val="single" w:sz="4" w:space="0" w:color="auto"/>
              <w:right w:val="single" w:sz="4" w:space="0" w:color="auto"/>
            </w:tcBorders>
            <w:shd w:val="clear" w:color="auto" w:fill="auto"/>
            <w:noWrap/>
            <w:vAlign w:val="bottom"/>
            <w:hideMark/>
          </w:tcPr>
          <w:p w14:paraId="606F7AF7" w14:textId="77777777" w:rsidR="002E4237" w:rsidRPr="002E4237" w:rsidRDefault="40B3576B" w:rsidP="40B3576B">
            <w:pPr>
              <w:spacing w:after="0"/>
              <w:jc w:val="right"/>
              <w:rPr>
                <w:sz w:val="18"/>
                <w:szCs w:val="18"/>
              </w:rPr>
            </w:pPr>
            <w:r w:rsidRPr="40B3576B">
              <w:rPr>
                <w:sz w:val="18"/>
                <w:szCs w:val="18"/>
              </w:rPr>
              <w:t xml:space="preserve">8 604,1 </w:t>
            </w:r>
          </w:p>
        </w:tc>
        <w:tc>
          <w:tcPr>
            <w:tcW w:w="1020" w:type="dxa"/>
            <w:tcBorders>
              <w:top w:val="nil"/>
              <w:left w:val="nil"/>
              <w:bottom w:val="single" w:sz="4" w:space="0" w:color="auto"/>
              <w:right w:val="single" w:sz="4" w:space="0" w:color="auto"/>
            </w:tcBorders>
            <w:shd w:val="clear" w:color="auto" w:fill="auto"/>
            <w:noWrap/>
            <w:vAlign w:val="bottom"/>
            <w:hideMark/>
          </w:tcPr>
          <w:p w14:paraId="2FCD3DE2" w14:textId="77777777" w:rsidR="002E4237" w:rsidRPr="002E4237" w:rsidRDefault="40B3576B" w:rsidP="40B3576B">
            <w:pPr>
              <w:spacing w:after="0"/>
              <w:jc w:val="right"/>
              <w:rPr>
                <w:sz w:val="18"/>
                <w:szCs w:val="18"/>
              </w:rPr>
            </w:pPr>
            <w:r w:rsidRPr="40B3576B">
              <w:rPr>
                <w:sz w:val="18"/>
                <w:szCs w:val="18"/>
              </w:rPr>
              <w:t xml:space="preserve">38,0 </w:t>
            </w:r>
          </w:p>
        </w:tc>
        <w:tc>
          <w:tcPr>
            <w:tcW w:w="1180" w:type="dxa"/>
            <w:tcBorders>
              <w:top w:val="nil"/>
              <w:left w:val="nil"/>
              <w:bottom w:val="single" w:sz="4" w:space="0" w:color="auto"/>
              <w:right w:val="single" w:sz="4" w:space="0" w:color="auto"/>
            </w:tcBorders>
            <w:shd w:val="clear" w:color="auto" w:fill="auto"/>
            <w:noWrap/>
            <w:vAlign w:val="bottom"/>
            <w:hideMark/>
          </w:tcPr>
          <w:p w14:paraId="6FCBCD02" w14:textId="77777777" w:rsidR="002E4237" w:rsidRPr="002E4237" w:rsidRDefault="40B3576B" w:rsidP="40B3576B">
            <w:pPr>
              <w:spacing w:after="0"/>
              <w:jc w:val="right"/>
              <w:rPr>
                <w:sz w:val="18"/>
                <w:szCs w:val="18"/>
              </w:rPr>
            </w:pPr>
            <w:r w:rsidRPr="40B3576B">
              <w:rPr>
                <w:sz w:val="18"/>
                <w:szCs w:val="18"/>
              </w:rPr>
              <w:t xml:space="preserve">21 792,9 </w:t>
            </w:r>
          </w:p>
        </w:tc>
        <w:tc>
          <w:tcPr>
            <w:tcW w:w="1180" w:type="dxa"/>
            <w:tcBorders>
              <w:top w:val="nil"/>
              <w:left w:val="nil"/>
              <w:bottom w:val="single" w:sz="4" w:space="0" w:color="auto"/>
              <w:right w:val="single" w:sz="4" w:space="0" w:color="auto"/>
            </w:tcBorders>
            <w:shd w:val="clear" w:color="auto" w:fill="auto"/>
            <w:noWrap/>
            <w:vAlign w:val="bottom"/>
            <w:hideMark/>
          </w:tcPr>
          <w:p w14:paraId="7884B19F" w14:textId="77777777" w:rsidR="002E4237" w:rsidRPr="002E4237" w:rsidRDefault="40B3576B" w:rsidP="40B3576B">
            <w:pPr>
              <w:spacing w:after="0"/>
              <w:jc w:val="right"/>
              <w:rPr>
                <w:sz w:val="18"/>
                <w:szCs w:val="18"/>
              </w:rPr>
            </w:pPr>
            <w:r w:rsidRPr="40B3576B">
              <w:rPr>
                <w:sz w:val="18"/>
                <w:szCs w:val="18"/>
              </w:rPr>
              <w:t xml:space="preserve">10 091,5 </w:t>
            </w:r>
          </w:p>
        </w:tc>
        <w:tc>
          <w:tcPr>
            <w:tcW w:w="1020" w:type="dxa"/>
            <w:tcBorders>
              <w:top w:val="nil"/>
              <w:left w:val="nil"/>
              <w:bottom w:val="single" w:sz="4" w:space="0" w:color="auto"/>
              <w:right w:val="single" w:sz="4" w:space="0" w:color="auto"/>
            </w:tcBorders>
            <w:shd w:val="clear" w:color="auto" w:fill="auto"/>
            <w:noWrap/>
            <w:vAlign w:val="bottom"/>
            <w:hideMark/>
          </w:tcPr>
          <w:p w14:paraId="159F102F" w14:textId="77777777" w:rsidR="002E4237" w:rsidRPr="002E4237" w:rsidRDefault="40B3576B" w:rsidP="40B3576B">
            <w:pPr>
              <w:spacing w:after="0"/>
              <w:jc w:val="right"/>
              <w:rPr>
                <w:sz w:val="18"/>
                <w:szCs w:val="18"/>
              </w:rPr>
            </w:pPr>
            <w:r w:rsidRPr="40B3576B">
              <w:rPr>
                <w:sz w:val="18"/>
                <w:szCs w:val="18"/>
              </w:rPr>
              <w:t xml:space="preserve">46,3 </w:t>
            </w:r>
          </w:p>
        </w:tc>
        <w:tc>
          <w:tcPr>
            <w:tcW w:w="1000" w:type="dxa"/>
            <w:tcBorders>
              <w:top w:val="nil"/>
              <w:left w:val="nil"/>
              <w:bottom w:val="single" w:sz="4" w:space="0" w:color="auto"/>
              <w:right w:val="single" w:sz="4" w:space="0" w:color="auto"/>
            </w:tcBorders>
            <w:shd w:val="clear" w:color="auto" w:fill="auto"/>
            <w:noWrap/>
            <w:vAlign w:val="bottom"/>
            <w:hideMark/>
          </w:tcPr>
          <w:p w14:paraId="123C9273" w14:textId="77777777" w:rsidR="002E4237" w:rsidRPr="002E4237" w:rsidRDefault="40B3576B" w:rsidP="40B3576B">
            <w:pPr>
              <w:spacing w:after="0"/>
              <w:jc w:val="right"/>
              <w:rPr>
                <w:sz w:val="18"/>
                <w:szCs w:val="18"/>
              </w:rPr>
            </w:pPr>
            <w:r w:rsidRPr="40B3576B">
              <w:rPr>
                <w:sz w:val="18"/>
                <w:szCs w:val="18"/>
              </w:rPr>
              <w:t xml:space="preserve">117,3 </w:t>
            </w:r>
          </w:p>
        </w:tc>
      </w:tr>
    </w:tbl>
    <w:p w14:paraId="5D4F01B8" w14:textId="77777777" w:rsidR="003C135C" w:rsidRDefault="40B3576B" w:rsidP="003C135C">
      <w:pPr>
        <w:pStyle w:val="Cmsor2"/>
        <w:spacing w:before="0" w:after="120"/>
      </w:pPr>
      <w:r>
        <w:lastRenderedPageBreak/>
        <w:t xml:space="preserve">A központi alrendszer pénzügyi folyamatainak </w:t>
      </w:r>
      <w:r w:rsidR="5B83E8AE">
        <w:br/>
      </w:r>
      <w:r>
        <w:t>alakulása</w:t>
      </w:r>
    </w:p>
    <w:p w14:paraId="49F8AB94" w14:textId="77777777" w:rsidR="00953258" w:rsidRPr="00953258" w:rsidRDefault="00953258" w:rsidP="00953258"/>
    <w:p w14:paraId="16926C64" w14:textId="1C5FE3C5" w:rsidR="00D05D14" w:rsidRPr="00D05D14" w:rsidRDefault="40B3576B" w:rsidP="00D05D14">
      <w:pPr>
        <w:pStyle w:val="Cmsor3"/>
        <w:numPr>
          <w:ilvl w:val="0"/>
          <w:numId w:val="8"/>
        </w:numPr>
        <w:spacing w:before="0" w:after="120"/>
        <w:jc w:val="left"/>
      </w:pPr>
      <w:r w:rsidRPr="40B3576B">
        <w:rPr>
          <w:sz w:val="26"/>
          <w:szCs w:val="26"/>
        </w:rPr>
        <w:t>A főbb bevételek</w:t>
      </w:r>
    </w:p>
    <w:p w14:paraId="406F4B7B" w14:textId="27BD4AAD" w:rsidR="00E35352" w:rsidRPr="00E35352" w:rsidRDefault="40B3576B" w:rsidP="40B3576B">
      <w:pPr>
        <w:rPr>
          <w:b/>
          <w:bCs/>
        </w:rPr>
      </w:pPr>
      <w:r w:rsidRPr="40B3576B">
        <w:rPr>
          <w:b/>
          <w:bCs/>
        </w:rPr>
        <w:t>A központi alrendszer 2020. évi május végi 9040,0 milliárd forint összegű bevételei az előző év azonos időszakához képest 612,3 milliárd forinttal, 7,3%-kal magasabb összegben alakultak. Ezen belül kiemelhető, hogy növekedtek a személyi jövedelemadóból, a társasági adóból, valamint a nyugdíj, egészségbiztosítási és munkaerő-piaci járulékokból származó bevételek. Mindezek mellett magasabb összegben teljesültek a költségvetési szervek bevételei és a szakmai fejezeti kezelésű előirányzatok saját bevételei, az állami vagyonnal kapcsolatos befizetések és a Központi Maradványalapba történő befizetések is. Az uniós programok bevételei is jelentősen meghaladták az egy évvel korábbi összeget. Elmaradtak viszont az előző év azonos időszakának teljesülésétől az általános forgalmi adóból származó bevételek, valamint minimális összegű bevétel érkezett az idén a már törvényi előirányzattal nem rendelkező „Uniós támogatások utólagos megtérítése” mérlegsorra.</w:t>
      </w:r>
    </w:p>
    <w:p w14:paraId="7E4823C7" w14:textId="77777777" w:rsidR="00D775FA" w:rsidRPr="00D775FA" w:rsidRDefault="00D775FA" w:rsidP="00D775FA">
      <w:pPr>
        <w:rPr>
          <w:b/>
          <w:bCs/>
        </w:rPr>
      </w:pPr>
    </w:p>
    <w:p w14:paraId="1C310303" w14:textId="484FB1C6" w:rsidR="007E6078" w:rsidRDefault="00AE0B82" w:rsidP="00483A53">
      <w:pPr>
        <w:rPr>
          <w:szCs w:val="26"/>
        </w:rPr>
      </w:pPr>
      <w:r>
        <w:rPr>
          <w:noProof/>
          <w:szCs w:val="26"/>
        </w:rPr>
        <w:drawing>
          <wp:inline distT="0" distB="0" distL="0" distR="0" wp14:anchorId="3463D7B7" wp14:editId="26D5EEE8">
            <wp:extent cx="5940425" cy="2300605"/>
            <wp:effectExtent l="0" t="0" r="3175" b="444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étel_megoszlás.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2300605"/>
                    </a:xfrm>
                    <a:prstGeom prst="rect">
                      <a:avLst/>
                    </a:prstGeom>
                  </pic:spPr>
                </pic:pic>
              </a:graphicData>
            </a:graphic>
          </wp:inline>
        </w:drawing>
      </w:r>
    </w:p>
    <w:p w14:paraId="398597C8" w14:textId="77777777" w:rsidR="00AE0B82" w:rsidRDefault="00AE0B82" w:rsidP="00483A53">
      <w:pPr>
        <w:rPr>
          <w:szCs w:val="26"/>
        </w:rPr>
      </w:pPr>
    </w:p>
    <w:p w14:paraId="34DB17C8" w14:textId="1645DBDA" w:rsidR="00F2315A" w:rsidRDefault="40B3576B" w:rsidP="00E75B9B">
      <w:pPr>
        <w:spacing w:before="120"/>
      </w:pPr>
      <w:r w:rsidRPr="40B3576B">
        <w:rPr>
          <w:b/>
          <w:bCs/>
        </w:rPr>
        <w:t>Társasági adó</w:t>
      </w:r>
      <w:r>
        <w:t xml:space="preserve"> jogcímen 2020 első öt hónapjában 156,9 milliárd forint bevétel realizálódott, amely az előző év azonos időszakához képest 28,</w:t>
      </w:r>
      <w:r w:rsidR="00A664C3">
        <w:t>7</w:t>
      </w:r>
      <w:r>
        <w:t xml:space="preserve"> milliárd forinttal magasabb. </w:t>
      </w:r>
      <w:r w:rsidR="003169E0" w:rsidRPr="003169E0">
        <w:t xml:space="preserve">A bázisévhez viszonyítva az eltérést a december havi adóelőleg-kiegészítés eltörlése okozza, melynek következtében a 2019. negyedik negyedévi kötelezettségek befizetése 2020 januárjában teljesült. </w:t>
      </w:r>
      <w:r w:rsidR="006F1BE3">
        <w:t>S</w:t>
      </w:r>
      <w:r w:rsidR="003169E0" w:rsidRPr="003169E0">
        <w:t>zintén a feltöltés eltörlése következtében az adózók a korábbinál kisebb összegben rendelkeztek az adójukról a decemberi adóelőleg-kiegészítéshez kapcsolódóan, így ezek kiutalásából is kevesebb húzódott át 2020</w:t>
      </w:r>
      <w:r w:rsidR="00CE664F">
        <w:t> </w:t>
      </w:r>
      <w:r w:rsidR="003169E0" w:rsidRPr="003169E0">
        <w:t xml:space="preserve">januárjára. Ezen túlmenően az adóelőleg-kötelezettségek is magasabbak voltak. Ezeket a hatásokat csak kismértékben ellensúlyozta, hogy a </w:t>
      </w:r>
      <w:r w:rsidR="00317298" w:rsidRPr="003169E0">
        <w:t xml:space="preserve">140/2020. (IV. 21.) </w:t>
      </w:r>
      <w:r w:rsidR="00317298">
        <w:t xml:space="preserve">Korm. </w:t>
      </w:r>
      <w:r w:rsidR="003169E0" w:rsidRPr="003169E0">
        <w:t>rendelet alapján a társasági adó</w:t>
      </w:r>
      <w:r w:rsidR="00C1399E">
        <w:t xml:space="preserve"> esetében az</w:t>
      </w:r>
      <w:r w:rsidR="003169E0" w:rsidRPr="003169E0">
        <w:t xml:space="preserve"> adómegállapítási, bevallási és fizetési kötelezettségnek május vége helyett szeptember 30-ig lehet eleget tenni, így májusban alacsonyabb szinten teljesült a befizetés az egy évvel </w:t>
      </w:r>
      <w:r w:rsidR="00FD4901">
        <w:t xml:space="preserve">korábbihoz </w:t>
      </w:r>
      <w:r w:rsidR="003169E0" w:rsidRPr="003169E0">
        <w:t>képest.</w:t>
      </w:r>
    </w:p>
    <w:p w14:paraId="36F2DF75" w14:textId="573D8AB9" w:rsidR="000851FF" w:rsidRDefault="40B3576B" w:rsidP="00E75B9B">
      <w:pPr>
        <w:spacing w:before="120"/>
      </w:pPr>
      <w:r>
        <w:lastRenderedPageBreak/>
        <w:t xml:space="preserve">Az </w:t>
      </w:r>
      <w:r w:rsidRPr="40B3576B">
        <w:rPr>
          <w:b/>
          <w:bCs/>
        </w:rPr>
        <w:t>egyéb központosított bevételekből</w:t>
      </w:r>
      <w:r>
        <w:t xml:space="preserve"> május végéig összesen 233,4 milliárd forint bevétel teljesült, amely a törvényi előirányzat 39,8%-ának felel meg. Ezen belül kiemelendő az elektronikus útdíj 83,7 milliárd forintot kitevő összege.</w:t>
      </w:r>
    </w:p>
    <w:tbl>
      <w:tblPr>
        <w:tblW w:w="7936" w:type="dxa"/>
        <w:tblInd w:w="496" w:type="dxa"/>
        <w:tblCellMar>
          <w:left w:w="70" w:type="dxa"/>
          <w:right w:w="70" w:type="dxa"/>
        </w:tblCellMar>
        <w:tblLook w:val="04A0" w:firstRow="1" w:lastRow="0" w:firstColumn="1" w:lastColumn="0" w:noHBand="0" w:noVBand="1"/>
      </w:tblPr>
      <w:tblGrid>
        <w:gridCol w:w="2976"/>
        <w:gridCol w:w="1418"/>
        <w:gridCol w:w="1417"/>
        <w:gridCol w:w="1276"/>
        <w:gridCol w:w="849"/>
      </w:tblGrid>
      <w:tr w:rsidR="00723EB0" w:rsidRPr="00723EB0" w14:paraId="2D01000F" w14:textId="77777777" w:rsidTr="40B3576B">
        <w:trPr>
          <w:trHeight w:val="396"/>
        </w:trPr>
        <w:tc>
          <w:tcPr>
            <w:tcW w:w="7936" w:type="dxa"/>
            <w:gridSpan w:val="5"/>
            <w:tcBorders>
              <w:top w:val="nil"/>
              <w:left w:val="nil"/>
              <w:bottom w:val="nil"/>
              <w:right w:val="nil"/>
            </w:tcBorders>
            <w:shd w:val="clear" w:color="auto" w:fill="auto"/>
            <w:noWrap/>
            <w:vAlign w:val="bottom"/>
            <w:hideMark/>
          </w:tcPr>
          <w:p w14:paraId="7F925CD9" w14:textId="0473474D" w:rsidR="00723EB0" w:rsidRPr="00723EB0" w:rsidRDefault="40B3576B" w:rsidP="40B3576B">
            <w:pPr>
              <w:ind w:left="512" w:hanging="512"/>
              <w:jc w:val="center"/>
              <w:rPr>
                <w:b/>
                <w:bCs/>
                <w:color w:val="000000" w:themeColor="text1"/>
                <w:sz w:val="20"/>
              </w:rPr>
            </w:pPr>
            <w:r w:rsidRPr="40B3576B">
              <w:rPr>
                <w:b/>
                <w:bCs/>
                <w:color w:val="000000" w:themeColor="text1"/>
                <w:sz w:val="20"/>
              </w:rPr>
              <w:t>Egyéb központosított bevételek alakulása (millió forint)</w:t>
            </w:r>
          </w:p>
        </w:tc>
      </w:tr>
      <w:tr w:rsidR="00780F67" w:rsidRPr="00723EB0" w14:paraId="40D4C144" w14:textId="77777777" w:rsidTr="40B3576B">
        <w:trPr>
          <w:trHeight w:val="435"/>
        </w:trPr>
        <w:tc>
          <w:tcPr>
            <w:tcW w:w="2976"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1237094F" w14:textId="77777777" w:rsidR="00780F67" w:rsidRPr="00723EB0" w:rsidRDefault="40B3576B" w:rsidP="40B3576B">
            <w:pPr>
              <w:ind w:left="512" w:hanging="512"/>
              <w:jc w:val="center"/>
              <w:rPr>
                <w:b/>
                <w:bCs/>
                <w:color w:val="000000" w:themeColor="text1"/>
                <w:sz w:val="20"/>
              </w:rPr>
            </w:pPr>
            <w:r w:rsidRPr="40B3576B">
              <w:rPr>
                <w:b/>
                <w:bCs/>
                <w:color w:val="000000" w:themeColor="text1"/>
                <w:sz w:val="20"/>
              </w:rPr>
              <w:t>Megnevezés</w:t>
            </w:r>
          </w:p>
        </w:tc>
        <w:tc>
          <w:tcPr>
            <w:tcW w:w="1418" w:type="dxa"/>
            <w:vMerge w:val="restart"/>
            <w:tcBorders>
              <w:top w:val="single" w:sz="8" w:space="0" w:color="auto"/>
              <w:left w:val="single" w:sz="8" w:space="0" w:color="auto"/>
              <w:bottom w:val="single" w:sz="8" w:space="0" w:color="000000" w:themeColor="text1"/>
              <w:right w:val="single" w:sz="4" w:space="0" w:color="auto"/>
            </w:tcBorders>
            <w:shd w:val="clear" w:color="auto" w:fill="auto"/>
            <w:vAlign w:val="center"/>
            <w:hideMark/>
          </w:tcPr>
          <w:p w14:paraId="646CC402" w14:textId="0BF67A05" w:rsidR="00780F67" w:rsidRPr="00723EB0" w:rsidRDefault="40B3576B" w:rsidP="40B3576B">
            <w:pPr>
              <w:spacing w:after="0"/>
              <w:jc w:val="center"/>
              <w:rPr>
                <w:b/>
                <w:bCs/>
                <w:sz w:val="20"/>
              </w:rPr>
            </w:pPr>
            <w:r w:rsidRPr="40B3576B">
              <w:rPr>
                <w:b/>
                <w:bCs/>
                <w:sz w:val="20"/>
              </w:rPr>
              <w:t>2019. I-V. hó</w:t>
            </w:r>
          </w:p>
        </w:tc>
        <w:tc>
          <w:tcPr>
            <w:tcW w:w="1417" w:type="dxa"/>
            <w:vMerge w:val="restart"/>
            <w:tcBorders>
              <w:top w:val="single" w:sz="8" w:space="0" w:color="auto"/>
              <w:left w:val="single" w:sz="4" w:space="0" w:color="auto"/>
              <w:bottom w:val="single" w:sz="8" w:space="0" w:color="000000" w:themeColor="text1"/>
              <w:right w:val="single" w:sz="8" w:space="0" w:color="auto"/>
            </w:tcBorders>
            <w:shd w:val="clear" w:color="auto" w:fill="auto"/>
            <w:vAlign w:val="center"/>
            <w:hideMark/>
          </w:tcPr>
          <w:p w14:paraId="3BA8764A" w14:textId="45C43084" w:rsidR="00780F67" w:rsidRPr="00723EB0" w:rsidRDefault="40B3576B" w:rsidP="40B3576B">
            <w:pPr>
              <w:spacing w:after="0"/>
              <w:ind w:left="512" w:hanging="512"/>
              <w:jc w:val="center"/>
              <w:rPr>
                <w:b/>
                <w:bCs/>
                <w:sz w:val="20"/>
              </w:rPr>
            </w:pPr>
            <w:r w:rsidRPr="40B3576B">
              <w:rPr>
                <w:b/>
                <w:bCs/>
                <w:sz w:val="20"/>
              </w:rPr>
              <w:t>2020. I-V. hó</w:t>
            </w:r>
          </w:p>
        </w:tc>
        <w:tc>
          <w:tcPr>
            <w:tcW w:w="2125"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48CECE7F" w14:textId="77777777" w:rsidR="00780F67" w:rsidRPr="00723EB0" w:rsidRDefault="40B3576B" w:rsidP="40B3576B">
            <w:pPr>
              <w:ind w:left="512" w:hanging="512"/>
              <w:jc w:val="center"/>
              <w:rPr>
                <w:b/>
                <w:bCs/>
                <w:color w:val="000000" w:themeColor="text1"/>
                <w:sz w:val="20"/>
              </w:rPr>
            </w:pPr>
            <w:r w:rsidRPr="40B3576B">
              <w:rPr>
                <w:b/>
                <w:bCs/>
                <w:color w:val="000000" w:themeColor="text1"/>
                <w:sz w:val="20"/>
              </w:rPr>
              <w:t>Eltérés</w:t>
            </w:r>
          </w:p>
        </w:tc>
      </w:tr>
      <w:tr w:rsidR="00780F67" w:rsidRPr="00723EB0" w14:paraId="410332D0" w14:textId="77777777" w:rsidTr="40B3576B">
        <w:trPr>
          <w:trHeight w:val="373"/>
        </w:trPr>
        <w:tc>
          <w:tcPr>
            <w:tcW w:w="2976" w:type="dxa"/>
            <w:vMerge/>
            <w:tcBorders>
              <w:top w:val="single" w:sz="8" w:space="0" w:color="auto"/>
              <w:left w:val="single" w:sz="8" w:space="0" w:color="auto"/>
              <w:bottom w:val="single" w:sz="8" w:space="0" w:color="000000"/>
              <w:right w:val="single" w:sz="8" w:space="0" w:color="auto"/>
            </w:tcBorders>
            <w:vAlign w:val="center"/>
            <w:hideMark/>
          </w:tcPr>
          <w:p w14:paraId="3D073375" w14:textId="5394FFB6" w:rsidR="00780F67" w:rsidRPr="00723EB0" w:rsidRDefault="00780F67" w:rsidP="00D432CD">
            <w:pPr>
              <w:ind w:left="512" w:hanging="512"/>
              <w:jc w:val="center"/>
              <w:rPr>
                <w:b/>
                <w:bCs/>
                <w:color w:val="000000" w:themeColor="text1"/>
                <w:sz w:val="20"/>
              </w:rPr>
            </w:pPr>
          </w:p>
        </w:tc>
        <w:tc>
          <w:tcPr>
            <w:tcW w:w="1418" w:type="dxa"/>
            <w:vMerge/>
            <w:tcBorders>
              <w:top w:val="single" w:sz="8" w:space="0" w:color="auto"/>
              <w:left w:val="single" w:sz="8" w:space="0" w:color="auto"/>
              <w:bottom w:val="single" w:sz="8" w:space="0" w:color="000000"/>
              <w:right w:val="single" w:sz="4" w:space="0" w:color="auto"/>
            </w:tcBorders>
            <w:vAlign w:val="center"/>
            <w:hideMark/>
          </w:tcPr>
          <w:p w14:paraId="584DDC9B" w14:textId="77777777" w:rsidR="00780F67" w:rsidRPr="00723EB0" w:rsidRDefault="00780F67" w:rsidP="00D432CD">
            <w:pPr>
              <w:ind w:left="512" w:hanging="512"/>
              <w:jc w:val="center"/>
              <w:rPr>
                <w:b/>
                <w:bCs/>
                <w:color w:val="000000" w:themeColor="text1"/>
                <w:sz w:val="20"/>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3E14FCA0" w14:textId="77777777" w:rsidR="00780F67" w:rsidRPr="00723EB0" w:rsidRDefault="00780F67" w:rsidP="00D432CD">
            <w:pPr>
              <w:ind w:left="512" w:hanging="512"/>
              <w:jc w:val="center"/>
              <w:rPr>
                <w:b/>
                <w:bCs/>
                <w:color w:val="000000" w:themeColor="text1"/>
                <w:sz w:val="20"/>
              </w:rPr>
            </w:pPr>
          </w:p>
        </w:tc>
        <w:tc>
          <w:tcPr>
            <w:tcW w:w="1276" w:type="dxa"/>
            <w:tcBorders>
              <w:top w:val="nil"/>
              <w:left w:val="nil"/>
              <w:bottom w:val="single" w:sz="8" w:space="0" w:color="auto"/>
              <w:right w:val="single" w:sz="4" w:space="0" w:color="auto"/>
            </w:tcBorders>
            <w:shd w:val="clear" w:color="auto" w:fill="auto"/>
            <w:vAlign w:val="center"/>
            <w:hideMark/>
          </w:tcPr>
          <w:p w14:paraId="462C698E" w14:textId="09D55B70" w:rsidR="00780F67" w:rsidRPr="00723EB0" w:rsidRDefault="40B3576B" w:rsidP="40B3576B">
            <w:pPr>
              <w:spacing w:after="0"/>
              <w:ind w:left="512" w:hanging="512"/>
              <w:jc w:val="center"/>
              <w:rPr>
                <w:b/>
                <w:bCs/>
                <w:color w:val="000000" w:themeColor="text1"/>
                <w:sz w:val="20"/>
              </w:rPr>
            </w:pPr>
            <w:r w:rsidRPr="40B3576B">
              <w:rPr>
                <w:b/>
                <w:bCs/>
                <w:color w:val="000000" w:themeColor="text1"/>
                <w:sz w:val="20"/>
              </w:rPr>
              <w:t>millió forint</w:t>
            </w:r>
          </w:p>
        </w:tc>
        <w:tc>
          <w:tcPr>
            <w:tcW w:w="849" w:type="dxa"/>
            <w:tcBorders>
              <w:top w:val="nil"/>
              <w:left w:val="nil"/>
              <w:bottom w:val="single" w:sz="8" w:space="0" w:color="auto"/>
              <w:right w:val="single" w:sz="8" w:space="0" w:color="auto"/>
            </w:tcBorders>
            <w:shd w:val="clear" w:color="auto" w:fill="auto"/>
            <w:noWrap/>
            <w:vAlign w:val="center"/>
            <w:hideMark/>
          </w:tcPr>
          <w:p w14:paraId="30DA47DA" w14:textId="77777777" w:rsidR="00780F67" w:rsidRPr="00723EB0" w:rsidRDefault="40B3576B" w:rsidP="40B3576B">
            <w:pPr>
              <w:spacing w:after="0"/>
              <w:ind w:left="512" w:hanging="512"/>
              <w:jc w:val="center"/>
              <w:rPr>
                <w:color w:val="000000" w:themeColor="text1"/>
                <w:sz w:val="22"/>
                <w:szCs w:val="22"/>
              </w:rPr>
            </w:pPr>
            <w:r w:rsidRPr="40B3576B">
              <w:rPr>
                <w:color w:val="000000" w:themeColor="text1"/>
                <w:sz w:val="22"/>
                <w:szCs w:val="22"/>
              </w:rPr>
              <w:t>%</w:t>
            </w:r>
          </w:p>
        </w:tc>
      </w:tr>
      <w:tr w:rsidR="004E59AA" w:rsidRPr="00923DEB" w14:paraId="753D6CE2" w14:textId="77777777" w:rsidTr="40B3576B">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32C12D61" w14:textId="30A00391" w:rsidR="004E59AA" w:rsidRPr="00723EB0" w:rsidRDefault="40B3576B" w:rsidP="40B3576B">
            <w:pPr>
              <w:overflowPunct w:val="0"/>
              <w:autoSpaceDE w:val="0"/>
              <w:autoSpaceDN w:val="0"/>
              <w:adjustRightInd w:val="0"/>
              <w:ind w:left="512" w:hanging="512"/>
              <w:textAlignment w:val="baseline"/>
              <w:rPr>
                <w:color w:val="000000" w:themeColor="text1"/>
                <w:sz w:val="20"/>
              </w:rPr>
            </w:pPr>
            <w:r w:rsidRPr="40B3576B">
              <w:rPr>
                <w:color w:val="000000" w:themeColor="text1"/>
                <w:sz w:val="20"/>
              </w:rPr>
              <w:t>Rehabilitációs hozzájárulás</w:t>
            </w:r>
          </w:p>
        </w:tc>
        <w:tc>
          <w:tcPr>
            <w:tcW w:w="1418" w:type="dxa"/>
            <w:tcBorders>
              <w:top w:val="nil"/>
              <w:left w:val="single" w:sz="4" w:space="0" w:color="auto"/>
              <w:bottom w:val="single" w:sz="4" w:space="0" w:color="auto"/>
              <w:right w:val="single" w:sz="8" w:space="0" w:color="auto"/>
            </w:tcBorders>
            <w:shd w:val="clear" w:color="auto" w:fill="auto"/>
            <w:noWrap/>
          </w:tcPr>
          <w:p w14:paraId="37F6B795" w14:textId="6BA97A9B"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49 338,6</w:t>
            </w:r>
          </w:p>
        </w:tc>
        <w:tc>
          <w:tcPr>
            <w:tcW w:w="1417" w:type="dxa"/>
            <w:tcBorders>
              <w:top w:val="nil"/>
              <w:left w:val="single" w:sz="4" w:space="0" w:color="auto"/>
              <w:bottom w:val="single" w:sz="4" w:space="0" w:color="auto"/>
              <w:right w:val="single" w:sz="8" w:space="0" w:color="auto"/>
            </w:tcBorders>
            <w:shd w:val="clear" w:color="auto" w:fill="auto"/>
            <w:noWrap/>
          </w:tcPr>
          <w:p w14:paraId="0EEDA4B3" w14:textId="02BDE9B9"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52 079,9</w:t>
            </w:r>
          </w:p>
        </w:tc>
        <w:tc>
          <w:tcPr>
            <w:tcW w:w="1276" w:type="dxa"/>
            <w:tcBorders>
              <w:top w:val="nil"/>
              <w:left w:val="nil"/>
              <w:bottom w:val="single" w:sz="4" w:space="0" w:color="auto"/>
              <w:right w:val="single" w:sz="4" w:space="0" w:color="auto"/>
            </w:tcBorders>
            <w:shd w:val="clear" w:color="auto" w:fill="auto"/>
            <w:noWrap/>
          </w:tcPr>
          <w:p w14:paraId="4DD42B23" w14:textId="5C97B341" w:rsidR="004E59AA" w:rsidRPr="004E59AA" w:rsidRDefault="40B3576B" w:rsidP="00801A93">
            <w:pPr>
              <w:overflowPunct w:val="0"/>
              <w:autoSpaceDE w:val="0"/>
              <w:autoSpaceDN w:val="0"/>
              <w:adjustRightInd w:val="0"/>
              <w:ind w:left="512" w:hanging="512"/>
              <w:jc w:val="right"/>
              <w:textAlignment w:val="baseline"/>
              <w:rPr>
                <w:sz w:val="20"/>
              </w:rPr>
            </w:pPr>
            <w:r w:rsidRPr="40B3576B">
              <w:rPr>
                <w:sz w:val="20"/>
              </w:rPr>
              <w:t>2 741,</w:t>
            </w:r>
            <w:r w:rsidR="00801A93">
              <w:rPr>
                <w:sz w:val="20"/>
              </w:rPr>
              <w:t>3</w:t>
            </w:r>
          </w:p>
        </w:tc>
        <w:tc>
          <w:tcPr>
            <w:tcW w:w="849" w:type="dxa"/>
            <w:tcBorders>
              <w:top w:val="nil"/>
              <w:left w:val="nil"/>
              <w:bottom w:val="single" w:sz="4" w:space="0" w:color="auto"/>
              <w:right w:val="single" w:sz="8" w:space="0" w:color="auto"/>
            </w:tcBorders>
            <w:shd w:val="clear" w:color="auto" w:fill="auto"/>
            <w:noWrap/>
          </w:tcPr>
          <w:p w14:paraId="5F87BBD3" w14:textId="122B3D0A"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105,6</w:t>
            </w:r>
          </w:p>
        </w:tc>
      </w:tr>
      <w:tr w:rsidR="004E59AA" w:rsidRPr="00923DEB" w14:paraId="5A763D68" w14:textId="77777777" w:rsidTr="40B3576B">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50871522" w14:textId="1C56AEA9" w:rsidR="004E59AA" w:rsidRPr="00723EB0" w:rsidRDefault="40B3576B" w:rsidP="40B3576B">
            <w:pPr>
              <w:overflowPunct w:val="0"/>
              <w:autoSpaceDE w:val="0"/>
              <w:autoSpaceDN w:val="0"/>
              <w:adjustRightInd w:val="0"/>
              <w:ind w:left="512" w:hanging="512"/>
              <w:textAlignment w:val="baseline"/>
              <w:rPr>
                <w:color w:val="000000" w:themeColor="text1"/>
                <w:sz w:val="20"/>
              </w:rPr>
            </w:pPr>
            <w:r w:rsidRPr="40B3576B">
              <w:rPr>
                <w:color w:val="000000" w:themeColor="text1"/>
                <w:sz w:val="20"/>
              </w:rPr>
              <w:t>Környezetvédelmi termékdíjak</w:t>
            </w:r>
          </w:p>
        </w:tc>
        <w:tc>
          <w:tcPr>
            <w:tcW w:w="1418" w:type="dxa"/>
            <w:tcBorders>
              <w:top w:val="nil"/>
              <w:left w:val="single" w:sz="4" w:space="0" w:color="auto"/>
              <w:bottom w:val="single" w:sz="4" w:space="0" w:color="auto"/>
              <w:right w:val="single" w:sz="8" w:space="0" w:color="auto"/>
            </w:tcBorders>
            <w:shd w:val="clear" w:color="auto" w:fill="auto"/>
            <w:noWrap/>
          </w:tcPr>
          <w:p w14:paraId="69429D14" w14:textId="3C1E02FC"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27 178,9</w:t>
            </w:r>
          </w:p>
        </w:tc>
        <w:tc>
          <w:tcPr>
            <w:tcW w:w="1417" w:type="dxa"/>
            <w:tcBorders>
              <w:top w:val="nil"/>
              <w:left w:val="single" w:sz="4" w:space="0" w:color="auto"/>
              <w:bottom w:val="single" w:sz="4" w:space="0" w:color="auto"/>
              <w:right w:val="single" w:sz="8" w:space="0" w:color="auto"/>
            </w:tcBorders>
            <w:shd w:val="clear" w:color="auto" w:fill="auto"/>
            <w:noWrap/>
          </w:tcPr>
          <w:p w14:paraId="3B90FF67" w14:textId="582F8A23"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23 519,0</w:t>
            </w:r>
          </w:p>
        </w:tc>
        <w:tc>
          <w:tcPr>
            <w:tcW w:w="1276" w:type="dxa"/>
            <w:tcBorders>
              <w:top w:val="nil"/>
              <w:left w:val="nil"/>
              <w:bottom w:val="single" w:sz="4" w:space="0" w:color="auto"/>
              <w:right w:val="single" w:sz="4" w:space="0" w:color="auto"/>
            </w:tcBorders>
            <w:shd w:val="clear" w:color="auto" w:fill="auto"/>
            <w:noWrap/>
          </w:tcPr>
          <w:p w14:paraId="44A2E4EA" w14:textId="6DBC1CC5"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-3 659,9</w:t>
            </w:r>
          </w:p>
        </w:tc>
        <w:tc>
          <w:tcPr>
            <w:tcW w:w="849" w:type="dxa"/>
            <w:tcBorders>
              <w:top w:val="nil"/>
              <w:left w:val="nil"/>
              <w:bottom w:val="single" w:sz="4" w:space="0" w:color="auto"/>
              <w:right w:val="single" w:sz="8" w:space="0" w:color="auto"/>
            </w:tcBorders>
            <w:shd w:val="clear" w:color="auto" w:fill="auto"/>
            <w:noWrap/>
          </w:tcPr>
          <w:p w14:paraId="3834BE53" w14:textId="36796729"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86,5</w:t>
            </w:r>
          </w:p>
        </w:tc>
      </w:tr>
      <w:tr w:rsidR="004E59AA" w:rsidRPr="00923DEB" w14:paraId="5D3B11E5" w14:textId="77777777" w:rsidTr="40B3576B">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051EB506" w14:textId="4CD895AC" w:rsidR="004E59AA" w:rsidRPr="00723EB0" w:rsidRDefault="40B3576B" w:rsidP="40B3576B">
            <w:pPr>
              <w:overflowPunct w:val="0"/>
              <w:autoSpaceDE w:val="0"/>
              <w:autoSpaceDN w:val="0"/>
              <w:adjustRightInd w:val="0"/>
              <w:ind w:left="512" w:hanging="512"/>
              <w:textAlignment w:val="baseline"/>
              <w:rPr>
                <w:color w:val="000000" w:themeColor="text1"/>
                <w:sz w:val="20"/>
              </w:rPr>
            </w:pPr>
            <w:r w:rsidRPr="40B3576B">
              <w:rPr>
                <w:color w:val="000000" w:themeColor="text1"/>
                <w:sz w:val="20"/>
              </w:rPr>
              <w:t>Vízkészletjárulék</w:t>
            </w:r>
          </w:p>
        </w:tc>
        <w:tc>
          <w:tcPr>
            <w:tcW w:w="1418" w:type="dxa"/>
            <w:tcBorders>
              <w:top w:val="nil"/>
              <w:left w:val="single" w:sz="4" w:space="0" w:color="auto"/>
              <w:bottom w:val="single" w:sz="4" w:space="0" w:color="auto"/>
              <w:right w:val="single" w:sz="8" w:space="0" w:color="auto"/>
            </w:tcBorders>
            <w:shd w:val="clear" w:color="auto" w:fill="auto"/>
            <w:noWrap/>
          </w:tcPr>
          <w:p w14:paraId="06134C6C" w14:textId="7F7121E0"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5 876,9</w:t>
            </w:r>
          </w:p>
        </w:tc>
        <w:tc>
          <w:tcPr>
            <w:tcW w:w="1417" w:type="dxa"/>
            <w:tcBorders>
              <w:top w:val="nil"/>
              <w:left w:val="single" w:sz="4" w:space="0" w:color="auto"/>
              <w:bottom w:val="single" w:sz="4" w:space="0" w:color="auto"/>
              <w:right w:val="single" w:sz="8" w:space="0" w:color="auto"/>
            </w:tcBorders>
            <w:shd w:val="clear" w:color="auto" w:fill="auto"/>
            <w:noWrap/>
          </w:tcPr>
          <w:p w14:paraId="2D678947" w14:textId="16D24BF7"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6 279,1</w:t>
            </w:r>
          </w:p>
        </w:tc>
        <w:tc>
          <w:tcPr>
            <w:tcW w:w="1276" w:type="dxa"/>
            <w:tcBorders>
              <w:top w:val="nil"/>
              <w:left w:val="nil"/>
              <w:bottom w:val="single" w:sz="4" w:space="0" w:color="auto"/>
              <w:right w:val="single" w:sz="4" w:space="0" w:color="auto"/>
            </w:tcBorders>
            <w:shd w:val="clear" w:color="auto" w:fill="auto"/>
            <w:noWrap/>
          </w:tcPr>
          <w:p w14:paraId="780A2B8D" w14:textId="7E6B4531"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402,2</w:t>
            </w:r>
          </w:p>
        </w:tc>
        <w:tc>
          <w:tcPr>
            <w:tcW w:w="849" w:type="dxa"/>
            <w:tcBorders>
              <w:top w:val="nil"/>
              <w:left w:val="nil"/>
              <w:bottom w:val="single" w:sz="4" w:space="0" w:color="auto"/>
              <w:right w:val="single" w:sz="8" w:space="0" w:color="auto"/>
            </w:tcBorders>
            <w:shd w:val="clear" w:color="auto" w:fill="auto"/>
            <w:noWrap/>
          </w:tcPr>
          <w:p w14:paraId="3935BA5B" w14:textId="62FC1BF1"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106,8</w:t>
            </w:r>
          </w:p>
        </w:tc>
      </w:tr>
      <w:tr w:rsidR="004E59AA" w:rsidRPr="00923DEB" w14:paraId="036E62E4" w14:textId="77777777" w:rsidTr="40B3576B">
        <w:trPr>
          <w:trHeight w:val="319"/>
        </w:trPr>
        <w:tc>
          <w:tcPr>
            <w:tcW w:w="2976" w:type="dxa"/>
            <w:tcBorders>
              <w:top w:val="nil"/>
              <w:left w:val="single" w:sz="8" w:space="0" w:color="auto"/>
              <w:bottom w:val="single" w:sz="4" w:space="0" w:color="auto"/>
              <w:right w:val="single" w:sz="8" w:space="0" w:color="auto"/>
            </w:tcBorders>
            <w:shd w:val="clear" w:color="auto" w:fill="auto"/>
            <w:hideMark/>
          </w:tcPr>
          <w:p w14:paraId="3E2A5A0E" w14:textId="1E9EF1BF" w:rsidR="004E59AA" w:rsidRPr="00723EB0" w:rsidRDefault="40B3576B" w:rsidP="40B3576B">
            <w:pPr>
              <w:overflowPunct w:val="0"/>
              <w:autoSpaceDE w:val="0"/>
              <w:autoSpaceDN w:val="0"/>
              <w:adjustRightInd w:val="0"/>
              <w:ind w:left="512" w:hanging="512"/>
              <w:textAlignment w:val="baseline"/>
              <w:rPr>
                <w:color w:val="000000" w:themeColor="text1"/>
                <w:sz w:val="20"/>
              </w:rPr>
            </w:pPr>
            <w:r w:rsidRPr="40B3576B">
              <w:rPr>
                <w:color w:val="000000" w:themeColor="text1"/>
                <w:sz w:val="20"/>
              </w:rPr>
              <w:t>Hulladéklerakási járulék</w:t>
            </w:r>
          </w:p>
        </w:tc>
        <w:tc>
          <w:tcPr>
            <w:tcW w:w="1418" w:type="dxa"/>
            <w:tcBorders>
              <w:top w:val="nil"/>
              <w:left w:val="single" w:sz="4" w:space="0" w:color="auto"/>
              <w:bottom w:val="single" w:sz="4" w:space="0" w:color="auto"/>
              <w:right w:val="single" w:sz="8" w:space="0" w:color="auto"/>
            </w:tcBorders>
            <w:shd w:val="clear" w:color="auto" w:fill="auto"/>
            <w:noWrap/>
          </w:tcPr>
          <w:p w14:paraId="79CD9915" w14:textId="41411008"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6 384,2</w:t>
            </w:r>
          </w:p>
        </w:tc>
        <w:tc>
          <w:tcPr>
            <w:tcW w:w="1417" w:type="dxa"/>
            <w:tcBorders>
              <w:top w:val="nil"/>
              <w:left w:val="single" w:sz="4" w:space="0" w:color="auto"/>
              <w:bottom w:val="single" w:sz="4" w:space="0" w:color="auto"/>
              <w:right w:val="single" w:sz="8" w:space="0" w:color="auto"/>
            </w:tcBorders>
            <w:shd w:val="clear" w:color="auto" w:fill="auto"/>
            <w:noWrap/>
          </w:tcPr>
          <w:p w14:paraId="5F76BE34" w14:textId="36E3803C"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6 623,4</w:t>
            </w:r>
          </w:p>
        </w:tc>
        <w:tc>
          <w:tcPr>
            <w:tcW w:w="1276" w:type="dxa"/>
            <w:tcBorders>
              <w:top w:val="nil"/>
              <w:left w:val="nil"/>
              <w:bottom w:val="single" w:sz="4" w:space="0" w:color="auto"/>
              <w:right w:val="single" w:sz="4" w:space="0" w:color="auto"/>
            </w:tcBorders>
            <w:shd w:val="clear" w:color="auto" w:fill="auto"/>
            <w:noWrap/>
          </w:tcPr>
          <w:p w14:paraId="696BA93B" w14:textId="3F544BEB"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239,2</w:t>
            </w:r>
          </w:p>
        </w:tc>
        <w:tc>
          <w:tcPr>
            <w:tcW w:w="849" w:type="dxa"/>
            <w:tcBorders>
              <w:top w:val="nil"/>
              <w:left w:val="nil"/>
              <w:bottom w:val="single" w:sz="4" w:space="0" w:color="auto"/>
              <w:right w:val="single" w:sz="8" w:space="0" w:color="auto"/>
            </w:tcBorders>
            <w:shd w:val="clear" w:color="auto" w:fill="auto"/>
            <w:noWrap/>
          </w:tcPr>
          <w:p w14:paraId="62481C31" w14:textId="09D81FB0"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103,7</w:t>
            </w:r>
          </w:p>
        </w:tc>
      </w:tr>
      <w:tr w:rsidR="004E59AA" w:rsidRPr="00923DEB" w14:paraId="2B8FF813" w14:textId="77777777" w:rsidTr="40B3576B">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3CD46533" w14:textId="6E246FE2" w:rsidR="004E59AA" w:rsidRPr="00723EB0" w:rsidRDefault="40B3576B" w:rsidP="40B3576B">
            <w:pPr>
              <w:overflowPunct w:val="0"/>
              <w:autoSpaceDE w:val="0"/>
              <w:autoSpaceDN w:val="0"/>
              <w:adjustRightInd w:val="0"/>
              <w:ind w:left="512" w:hanging="512"/>
              <w:textAlignment w:val="baseline"/>
              <w:rPr>
                <w:color w:val="000000" w:themeColor="text1"/>
                <w:sz w:val="20"/>
              </w:rPr>
            </w:pPr>
            <w:r w:rsidRPr="40B3576B">
              <w:rPr>
                <w:color w:val="000000" w:themeColor="text1"/>
                <w:sz w:val="20"/>
              </w:rPr>
              <w:t>Elektronikus útdíj</w:t>
            </w:r>
          </w:p>
        </w:tc>
        <w:tc>
          <w:tcPr>
            <w:tcW w:w="1418" w:type="dxa"/>
            <w:tcBorders>
              <w:top w:val="nil"/>
              <w:left w:val="single" w:sz="4" w:space="0" w:color="auto"/>
              <w:bottom w:val="single" w:sz="4" w:space="0" w:color="auto"/>
              <w:right w:val="single" w:sz="8" w:space="0" w:color="auto"/>
            </w:tcBorders>
            <w:shd w:val="clear" w:color="auto" w:fill="auto"/>
            <w:noWrap/>
          </w:tcPr>
          <w:p w14:paraId="3B3B1AFD" w14:textId="2E1604CE"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83 914,3</w:t>
            </w:r>
          </w:p>
        </w:tc>
        <w:tc>
          <w:tcPr>
            <w:tcW w:w="1417" w:type="dxa"/>
            <w:tcBorders>
              <w:top w:val="nil"/>
              <w:left w:val="single" w:sz="4" w:space="0" w:color="auto"/>
              <w:bottom w:val="single" w:sz="4" w:space="0" w:color="auto"/>
              <w:right w:val="single" w:sz="8" w:space="0" w:color="auto"/>
            </w:tcBorders>
            <w:shd w:val="clear" w:color="auto" w:fill="auto"/>
            <w:noWrap/>
          </w:tcPr>
          <w:p w14:paraId="65871DFF" w14:textId="60769E78"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83 682,4</w:t>
            </w:r>
          </w:p>
        </w:tc>
        <w:tc>
          <w:tcPr>
            <w:tcW w:w="1276" w:type="dxa"/>
            <w:tcBorders>
              <w:top w:val="nil"/>
              <w:left w:val="nil"/>
              <w:bottom w:val="single" w:sz="4" w:space="0" w:color="auto"/>
              <w:right w:val="single" w:sz="4" w:space="0" w:color="auto"/>
            </w:tcBorders>
            <w:shd w:val="clear" w:color="auto" w:fill="auto"/>
            <w:noWrap/>
          </w:tcPr>
          <w:p w14:paraId="0B96A16C" w14:textId="3B427E49" w:rsidR="004E59AA" w:rsidRPr="004E59AA" w:rsidRDefault="40B3576B" w:rsidP="002C3A02">
            <w:pPr>
              <w:overflowPunct w:val="0"/>
              <w:autoSpaceDE w:val="0"/>
              <w:autoSpaceDN w:val="0"/>
              <w:adjustRightInd w:val="0"/>
              <w:ind w:left="512" w:hanging="512"/>
              <w:jc w:val="right"/>
              <w:textAlignment w:val="baseline"/>
              <w:rPr>
                <w:sz w:val="20"/>
              </w:rPr>
            </w:pPr>
            <w:r w:rsidRPr="40B3576B">
              <w:rPr>
                <w:sz w:val="20"/>
              </w:rPr>
              <w:t>-231,</w:t>
            </w:r>
            <w:r w:rsidR="002C3A02">
              <w:rPr>
                <w:sz w:val="20"/>
              </w:rPr>
              <w:t>9</w:t>
            </w:r>
          </w:p>
        </w:tc>
        <w:tc>
          <w:tcPr>
            <w:tcW w:w="849" w:type="dxa"/>
            <w:tcBorders>
              <w:top w:val="nil"/>
              <w:left w:val="nil"/>
              <w:bottom w:val="single" w:sz="4" w:space="0" w:color="auto"/>
              <w:right w:val="single" w:sz="8" w:space="0" w:color="auto"/>
            </w:tcBorders>
            <w:shd w:val="clear" w:color="auto" w:fill="auto"/>
            <w:noWrap/>
          </w:tcPr>
          <w:p w14:paraId="2CBB6149" w14:textId="6B64B52C"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99,7</w:t>
            </w:r>
          </w:p>
        </w:tc>
      </w:tr>
      <w:tr w:rsidR="004E59AA" w:rsidRPr="00923DEB" w14:paraId="01244098" w14:textId="77777777" w:rsidTr="40B3576B">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4D2CC07A" w14:textId="42659F3A" w:rsidR="004E59AA" w:rsidRPr="00723EB0" w:rsidRDefault="40B3576B" w:rsidP="40B3576B">
            <w:pPr>
              <w:overflowPunct w:val="0"/>
              <w:autoSpaceDE w:val="0"/>
              <w:autoSpaceDN w:val="0"/>
              <w:adjustRightInd w:val="0"/>
              <w:ind w:left="512" w:hanging="512"/>
              <w:textAlignment w:val="baseline"/>
              <w:rPr>
                <w:color w:val="000000" w:themeColor="text1"/>
                <w:sz w:val="20"/>
              </w:rPr>
            </w:pPr>
            <w:r w:rsidRPr="40B3576B">
              <w:rPr>
                <w:color w:val="000000" w:themeColor="text1"/>
                <w:sz w:val="20"/>
              </w:rPr>
              <w:t>Korkedvezmény-biztosítási járulék</w:t>
            </w:r>
          </w:p>
        </w:tc>
        <w:tc>
          <w:tcPr>
            <w:tcW w:w="1418" w:type="dxa"/>
            <w:tcBorders>
              <w:top w:val="nil"/>
              <w:left w:val="single" w:sz="4" w:space="0" w:color="auto"/>
              <w:bottom w:val="single" w:sz="4" w:space="0" w:color="auto"/>
              <w:right w:val="single" w:sz="8" w:space="0" w:color="auto"/>
            </w:tcBorders>
            <w:shd w:val="clear" w:color="auto" w:fill="auto"/>
            <w:noWrap/>
          </w:tcPr>
          <w:p w14:paraId="48E0DE6A" w14:textId="0E36720E"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6,1</w:t>
            </w:r>
          </w:p>
        </w:tc>
        <w:tc>
          <w:tcPr>
            <w:tcW w:w="1417" w:type="dxa"/>
            <w:tcBorders>
              <w:top w:val="nil"/>
              <w:left w:val="single" w:sz="4" w:space="0" w:color="auto"/>
              <w:bottom w:val="single" w:sz="4" w:space="0" w:color="auto"/>
              <w:right w:val="single" w:sz="8" w:space="0" w:color="auto"/>
            </w:tcBorders>
            <w:shd w:val="clear" w:color="auto" w:fill="auto"/>
            <w:noWrap/>
          </w:tcPr>
          <w:p w14:paraId="75C15708" w14:textId="08B73AE1"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5,8</w:t>
            </w:r>
          </w:p>
        </w:tc>
        <w:tc>
          <w:tcPr>
            <w:tcW w:w="1276" w:type="dxa"/>
            <w:tcBorders>
              <w:top w:val="nil"/>
              <w:left w:val="nil"/>
              <w:bottom w:val="single" w:sz="4" w:space="0" w:color="auto"/>
              <w:right w:val="single" w:sz="4" w:space="0" w:color="auto"/>
            </w:tcBorders>
            <w:shd w:val="clear" w:color="auto" w:fill="auto"/>
            <w:noWrap/>
          </w:tcPr>
          <w:p w14:paraId="1534B589" w14:textId="1DC66109" w:rsidR="004E59AA" w:rsidRPr="004E59AA" w:rsidRDefault="40B3576B" w:rsidP="003C2ED4">
            <w:pPr>
              <w:overflowPunct w:val="0"/>
              <w:autoSpaceDE w:val="0"/>
              <w:autoSpaceDN w:val="0"/>
              <w:adjustRightInd w:val="0"/>
              <w:ind w:left="512" w:hanging="512"/>
              <w:jc w:val="right"/>
              <w:textAlignment w:val="baseline"/>
              <w:rPr>
                <w:sz w:val="20"/>
              </w:rPr>
            </w:pPr>
            <w:r w:rsidRPr="40B3576B">
              <w:rPr>
                <w:sz w:val="20"/>
              </w:rPr>
              <w:t>-0,</w:t>
            </w:r>
            <w:r w:rsidR="003C2ED4">
              <w:rPr>
                <w:sz w:val="20"/>
              </w:rPr>
              <w:t>3</w:t>
            </w:r>
          </w:p>
        </w:tc>
        <w:tc>
          <w:tcPr>
            <w:tcW w:w="849" w:type="dxa"/>
            <w:tcBorders>
              <w:top w:val="nil"/>
              <w:left w:val="nil"/>
              <w:bottom w:val="single" w:sz="4" w:space="0" w:color="auto"/>
              <w:right w:val="single" w:sz="8" w:space="0" w:color="auto"/>
            </w:tcBorders>
            <w:shd w:val="clear" w:color="auto" w:fill="auto"/>
            <w:noWrap/>
          </w:tcPr>
          <w:p w14:paraId="22250457" w14:textId="4D6348FB" w:rsidR="004E59AA" w:rsidRPr="004E59AA" w:rsidRDefault="00005ABA" w:rsidP="47EA88FE">
            <w:pPr>
              <w:overflowPunct w:val="0"/>
              <w:autoSpaceDE w:val="0"/>
              <w:autoSpaceDN w:val="0"/>
              <w:adjustRightInd w:val="0"/>
              <w:ind w:left="512" w:hanging="512"/>
              <w:jc w:val="right"/>
              <w:textAlignment w:val="baseline"/>
              <w:rPr>
                <w:sz w:val="20"/>
              </w:rPr>
            </w:pPr>
            <w:r>
              <w:rPr>
                <w:sz w:val="20"/>
              </w:rPr>
              <w:t>95,1</w:t>
            </w:r>
          </w:p>
        </w:tc>
      </w:tr>
      <w:tr w:rsidR="004E59AA" w:rsidRPr="00923DEB" w14:paraId="6A89324A" w14:textId="77777777" w:rsidTr="40B3576B">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66CEC987" w14:textId="0CD8F311" w:rsidR="004E59AA" w:rsidRPr="00723EB0" w:rsidRDefault="40B3576B" w:rsidP="40B3576B">
            <w:pPr>
              <w:overflowPunct w:val="0"/>
              <w:autoSpaceDE w:val="0"/>
              <w:autoSpaceDN w:val="0"/>
              <w:adjustRightInd w:val="0"/>
              <w:ind w:left="512" w:hanging="512"/>
              <w:textAlignment w:val="baseline"/>
              <w:rPr>
                <w:color w:val="000000" w:themeColor="text1"/>
                <w:sz w:val="20"/>
              </w:rPr>
            </w:pPr>
            <w:r w:rsidRPr="40B3576B">
              <w:rPr>
                <w:color w:val="000000" w:themeColor="text1"/>
                <w:sz w:val="20"/>
              </w:rPr>
              <w:t>Időalapú útdíj</w:t>
            </w:r>
          </w:p>
        </w:tc>
        <w:tc>
          <w:tcPr>
            <w:tcW w:w="1418" w:type="dxa"/>
            <w:tcBorders>
              <w:top w:val="nil"/>
              <w:left w:val="single" w:sz="4" w:space="0" w:color="auto"/>
              <w:bottom w:val="single" w:sz="4" w:space="0" w:color="auto"/>
              <w:right w:val="single" w:sz="8" w:space="0" w:color="auto"/>
            </w:tcBorders>
            <w:shd w:val="clear" w:color="auto" w:fill="auto"/>
            <w:noWrap/>
          </w:tcPr>
          <w:p w14:paraId="261636BC" w14:textId="2D68D5C0"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37 780,9</w:t>
            </w:r>
          </w:p>
        </w:tc>
        <w:tc>
          <w:tcPr>
            <w:tcW w:w="1417" w:type="dxa"/>
            <w:tcBorders>
              <w:top w:val="nil"/>
              <w:left w:val="single" w:sz="4" w:space="0" w:color="auto"/>
              <w:bottom w:val="single" w:sz="4" w:space="0" w:color="auto"/>
              <w:right w:val="single" w:sz="8" w:space="0" w:color="auto"/>
            </w:tcBorders>
            <w:shd w:val="clear" w:color="auto" w:fill="auto"/>
            <w:noWrap/>
          </w:tcPr>
          <w:p w14:paraId="3D3E7E73" w14:textId="1B2AD809"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37 067,9</w:t>
            </w:r>
          </w:p>
        </w:tc>
        <w:tc>
          <w:tcPr>
            <w:tcW w:w="1276" w:type="dxa"/>
            <w:tcBorders>
              <w:top w:val="nil"/>
              <w:left w:val="nil"/>
              <w:bottom w:val="single" w:sz="4" w:space="0" w:color="auto"/>
              <w:right w:val="single" w:sz="4" w:space="0" w:color="auto"/>
            </w:tcBorders>
            <w:shd w:val="clear" w:color="auto" w:fill="auto"/>
            <w:noWrap/>
          </w:tcPr>
          <w:p w14:paraId="2185C571" w14:textId="45B6A48E" w:rsidR="004E59AA" w:rsidRPr="004E59AA" w:rsidRDefault="40B3576B" w:rsidP="000E0040">
            <w:pPr>
              <w:overflowPunct w:val="0"/>
              <w:autoSpaceDE w:val="0"/>
              <w:autoSpaceDN w:val="0"/>
              <w:adjustRightInd w:val="0"/>
              <w:ind w:left="512" w:hanging="512"/>
              <w:jc w:val="right"/>
              <w:textAlignment w:val="baseline"/>
              <w:rPr>
                <w:sz w:val="20"/>
              </w:rPr>
            </w:pPr>
            <w:r w:rsidRPr="40B3576B">
              <w:rPr>
                <w:sz w:val="20"/>
              </w:rPr>
              <w:t>-713,</w:t>
            </w:r>
            <w:r w:rsidR="000E0040">
              <w:rPr>
                <w:sz w:val="20"/>
              </w:rPr>
              <w:t>0</w:t>
            </w:r>
          </w:p>
        </w:tc>
        <w:tc>
          <w:tcPr>
            <w:tcW w:w="849" w:type="dxa"/>
            <w:tcBorders>
              <w:top w:val="nil"/>
              <w:left w:val="nil"/>
              <w:bottom w:val="single" w:sz="4" w:space="0" w:color="auto"/>
              <w:right w:val="single" w:sz="8" w:space="0" w:color="auto"/>
            </w:tcBorders>
            <w:shd w:val="clear" w:color="auto" w:fill="auto"/>
            <w:noWrap/>
          </w:tcPr>
          <w:p w14:paraId="23F4345A" w14:textId="252E99EF"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98,1</w:t>
            </w:r>
          </w:p>
        </w:tc>
      </w:tr>
      <w:tr w:rsidR="004E59AA" w:rsidRPr="00923DEB" w14:paraId="450B7EA2" w14:textId="77777777" w:rsidTr="40B3576B">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2C5B39AB" w14:textId="7B7EB5CF" w:rsidR="004E59AA" w:rsidRPr="00723EB0" w:rsidRDefault="40B3576B" w:rsidP="40B3576B">
            <w:pPr>
              <w:overflowPunct w:val="0"/>
              <w:autoSpaceDE w:val="0"/>
              <w:autoSpaceDN w:val="0"/>
              <w:adjustRightInd w:val="0"/>
              <w:ind w:left="512" w:hanging="512"/>
              <w:textAlignment w:val="baseline"/>
              <w:rPr>
                <w:color w:val="000000" w:themeColor="text1"/>
                <w:sz w:val="20"/>
              </w:rPr>
            </w:pPr>
            <w:r w:rsidRPr="40B3576B">
              <w:rPr>
                <w:color w:val="000000" w:themeColor="text1"/>
                <w:sz w:val="20"/>
              </w:rPr>
              <w:t>Bírságok és függő tételek</w:t>
            </w:r>
          </w:p>
        </w:tc>
        <w:tc>
          <w:tcPr>
            <w:tcW w:w="1418" w:type="dxa"/>
            <w:tcBorders>
              <w:top w:val="nil"/>
              <w:left w:val="single" w:sz="4" w:space="0" w:color="auto"/>
              <w:bottom w:val="single" w:sz="4" w:space="0" w:color="auto"/>
              <w:right w:val="single" w:sz="8" w:space="0" w:color="auto"/>
            </w:tcBorders>
            <w:shd w:val="clear" w:color="auto" w:fill="auto"/>
            <w:noWrap/>
          </w:tcPr>
          <w:p w14:paraId="42C02778" w14:textId="6EFDEF17"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20 716,4</w:t>
            </w:r>
          </w:p>
        </w:tc>
        <w:tc>
          <w:tcPr>
            <w:tcW w:w="1417" w:type="dxa"/>
            <w:tcBorders>
              <w:top w:val="nil"/>
              <w:left w:val="single" w:sz="4" w:space="0" w:color="auto"/>
              <w:bottom w:val="single" w:sz="4" w:space="0" w:color="auto"/>
              <w:right w:val="single" w:sz="8" w:space="0" w:color="auto"/>
            </w:tcBorders>
            <w:shd w:val="clear" w:color="auto" w:fill="auto"/>
            <w:noWrap/>
          </w:tcPr>
          <w:p w14:paraId="60B6F1F8" w14:textId="4F20A49D"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21 621,4</w:t>
            </w:r>
          </w:p>
        </w:tc>
        <w:tc>
          <w:tcPr>
            <w:tcW w:w="1276" w:type="dxa"/>
            <w:tcBorders>
              <w:top w:val="nil"/>
              <w:left w:val="nil"/>
              <w:bottom w:val="single" w:sz="4" w:space="0" w:color="auto"/>
              <w:right w:val="single" w:sz="4" w:space="0" w:color="auto"/>
            </w:tcBorders>
            <w:shd w:val="clear" w:color="auto" w:fill="auto"/>
            <w:noWrap/>
          </w:tcPr>
          <w:p w14:paraId="656DACF4" w14:textId="71B37A0E"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905,0</w:t>
            </w:r>
          </w:p>
        </w:tc>
        <w:tc>
          <w:tcPr>
            <w:tcW w:w="849" w:type="dxa"/>
            <w:tcBorders>
              <w:top w:val="nil"/>
              <w:left w:val="nil"/>
              <w:bottom w:val="single" w:sz="4" w:space="0" w:color="auto"/>
              <w:right w:val="single" w:sz="8" w:space="0" w:color="auto"/>
            </w:tcBorders>
            <w:shd w:val="clear" w:color="auto" w:fill="auto"/>
            <w:noWrap/>
          </w:tcPr>
          <w:p w14:paraId="3B910221" w14:textId="7901F651"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104,4</w:t>
            </w:r>
          </w:p>
        </w:tc>
      </w:tr>
      <w:tr w:rsidR="004E59AA" w:rsidRPr="00923DEB" w14:paraId="160B4B20" w14:textId="77777777" w:rsidTr="40B3576B">
        <w:trPr>
          <w:trHeight w:val="319"/>
        </w:trPr>
        <w:tc>
          <w:tcPr>
            <w:tcW w:w="2976" w:type="dxa"/>
            <w:tcBorders>
              <w:top w:val="nil"/>
              <w:left w:val="single" w:sz="8" w:space="0" w:color="auto"/>
              <w:bottom w:val="single" w:sz="8" w:space="0" w:color="auto"/>
              <w:right w:val="single" w:sz="8" w:space="0" w:color="auto"/>
            </w:tcBorders>
            <w:shd w:val="clear" w:color="auto" w:fill="auto"/>
            <w:noWrap/>
            <w:vAlign w:val="center"/>
            <w:hideMark/>
          </w:tcPr>
          <w:p w14:paraId="6505F41A" w14:textId="7DC54D38" w:rsidR="004E59AA" w:rsidRPr="00723EB0" w:rsidRDefault="40B3576B" w:rsidP="40B3576B">
            <w:pPr>
              <w:overflowPunct w:val="0"/>
              <w:autoSpaceDE w:val="0"/>
              <w:autoSpaceDN w:val="0"/>
              <w:adjustRightInd w:val="0"/>
              <w:ind w:left="512" w:hanging="512"/>
              <w:textAlignment w:val="baseline"/>
              <w:rPr>
                <w:color w:val="000000" w:themeColor="text1"/>
                <w:sz w:val="20"/>
              </w:rPr>
            </w:pPr>
            <w:r w:rsidRPr="40B3576B">
              <w:rPr>
                <w:color w:val="000000" w:themeColor="text1"/>
                <w:sz w:val="20"/>
              </w:rPr>
              <w:t>Egyéb tételek összesen</w:t>
            </w:r>
          </w:p>
        </w:tc>
        <w:tc>
          <w:tcPr>
            <w:tcW w:w="1418" w:type="dxa"/>
            <w:tcBorders>
              <w:top w:val="nil"/>
              <w:left w:val="single" w:sz="4" w:space="0" w:color="auto"/>
              <w:bottom w:val="single" w:sz="4" w:space="0" w:color="auto"/>
              <w:right w:val="single" w:sz="8" w:space="0" w:color="auto"/>
            </w:tcBorders>
            <w:shd w:val="clear" w:color="auto" w:fill="auto"/>
            <w:noWrap/>
          </w:tcPr>
          <w:p w14:paraId="30726ED3" w14:textId="2AB29111"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4 922,8</w:t>
            </w:r>
          </w:p>
        </w:tc>
        <w:tc>
          <w:tcPr>
            <w:tcW w:w="1417" w:type="dxa"/>
            <w:tcBorders>
              <w:top w:val="nil"/>
              <w:left w:val="single" w:sz="4" w:space="0" w:color="auto"/>
              <w:bottom w:val="single" w:sz="4" w:space="0" w:color="auto"/>
              <w:right w:val="single" w:sz="8" w:space="0" w:color="auto"/>
            </w:tcBorders>
            <w:shd w:val="clear" w:color="auto" w:fill="auto"/>
            <w:noWrap/>
          </w:tcPr>
          <w:p w14:paraId="31126547" w14:textId="3F869A9B"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2 531,9</w:t>
            </w:r>
          </w:p>
        </w:tc>
        <w:tc>
          <w:tcPr>
            <w:tcW w:w="1276" w:type="dxa"/>
            <w:tcBorders>
              <w:top w:val="nil"/>
              <w:left w:val="nil"/>
              <w:bottom w:val="single" w:sz="8" w:space="0" w:color="auto"/>
              <w:right w:val="single" w:sz="4" w:space="0" w:color="auto"/>
            </w:tcBorders>
            <w:shd w:val="clear" w:color="auto" w:fill="auto"/>
            <w:noWrap/>
          </w:tcPr>
          <w:p w14:paraId="29C4195B" w14:textId="764AAB36"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-2 390,9</w:t>
            </w:r>
          </w:p>
        </w:tc>
        <w:tc>
          <w:tcPr>
            <w:tcW w:w="849" w:type="dxa"/>
            <w:tcBorders>
              <w:top w:val="nil"/>
              <w:left w:val="nil"/>
              <w:bottom w:val="single" w:sz="4" w:space="0" w:color="auto"/>
              <w:right w:val="single" w:sz="8" w:space="0" w:color="auto"/>
            </w:tcBorders>
            <w:shd w:val="clear" w:color="auto" w:fill="auto"/>
            <w:noWrap/>
          </w:tcPr>
          <w:p w14:paraId="630D7340" w14:textId="2578B225" w:rsidR="004E59AA" w:rsidRPr="004E59AA" w:rsidRDefault="40B3576B" w:rsidP="40B3576B">
            <w:pPr>
              <w:overflowPunct w:val="0"/>
              <w:autoSpaceDE w:val="0"/>
              <w:autoSpaceDN w:val="0"/>
              <w:adjustRightInd w:val="0"/>
              <w:ind w:left="512" w:hanging="512"/>
              <w:jc w:val="right"/>
              <w:textAlignment w:val="baseline"/>
              <w:rPr>
                <w:sz w:val="20"/>
              </w:rPr>
            </w:pPr>
            <w:r w:rsidRPr="40B3576B">
              <w:rPr>
                <w:sz w:val="20"/>
              </w:rPr>
              <w:t>51,4</w:t>
            </w:r>
          </w:p>
        </w:tc>
      </w:tr>
      <w:tr w:rsidR="004E59AA" w:rsidRPr="00923DEB" w14:paraId="0707D9BA" w14:textId="77777777" w:rsidTr="40B3576B">
        <w:trPr>
          <w:trHeight w:val="330"/>
        </w:trPr>
        <w:tc>
          <w:tcPr>
            <w:tcW w:w="2976" w:type="dxa"/>
            <w:tcBorders>
              <w:top w:val="nil"/>
              <w:left w:val="single" w:sz="8" w:space="0" w:color="auto"/>
              <w:bottom w:val="single" w:sz="8" w:space="0" w:color="auto"/>
              <w:right w:val="single" w:sz="8" w:space="0" w:color="auto"/>
            </w:tcBorders>
            <w:shd w:val="clear" w:color="auto" w:fill="auto"/>
            <w:vAlign w:val="bottom"/>
            <w:hideMark/>
          </w:tcPr>
          <w:p w14:paraId="4A4DBB2E" w14:textId="6FB62D53" w:rsidR="004E59AA" w:rsidRPr="00723EB0" w:rsidRDefault="40B3576B" w:rsidP="40B3576B">
            <w:pPr>
              <w:overflowPunct w:val="0"/>
              <w:autoSpaceDE w:val="0"/>
              <w:autoSpaceDN w:val="0"/>
              <w:adjustRightInd w:val="0"/>
              <w:ind w:left="512" w:hanging="512"/>
              <w:jc w:val="center"/>
              <w:textAlignment w:val="baseline"/>
              <w:rPr>
                <w:b/>
                <w:bCs/>
                <w:color w:val="000000" w:themeColor="text1"/>
                <w:sz w:val="20"/>
              </w:rPr>
            </w:pPr>
            <w:r w:rsidRPr="40B3576B">
              <w:rPr>
                <w:b/>
                <w:bCs/>
                <w:color w:val="000000" w:themeColor="text1"/>
                <w:sz w:val="20"/>
              </w:rPr>
              <w:t>Összesen</w:t>
            </w:r>
          </w:p>
        </w:tc>
        <w:tc>
          <w:tcPr>
            <w:tcW w:w="1418" w:type="dxa"/>
            <w:tcBorders>
              <w:top w:val="single" w:sz="8" w:space="0" w:color="auto"/>
              <w:left w:val="nil"/>
              <w:bottom w:val="single" w:sz="8" w:space="0" w:color="auto"/>
              <w:right w:val="single" w:sz="4" w:space="0" w:color="auto"/>
            </w:tcBorders>
            <w:shd w:val="clear" w:color="auto" w:fill="auto"/>
            <w:noWrap/>
          </w:tcPr>
          <w:p w14:paraId="2312A22A" w14:textId="7CB65F95" w:rsidR="004E59AA" w:rsidRPr="004E59AA" w:rsidRDefault="40B3576B" w:rsidP="40B3576B">
            <w:pPr>
              <w:overflowPunct w:val="0"/>
              <w:autoSpaceDE w:val="0"/>
              <w:autoSpaceDN w:val="0"/>
              <w:adjustRightInd w:val="0"/>
              <w:ind w:left="512" w:hanging="512"/>
              <w:jc w:val="right"/>
              <w:textAlignment w:val="baseline"/>
              <w:rPr>
                <w:b/>
                <w:bCs/>
                <w:sz w:val="20"/>
              </w:rPr>
            </w:pPr>
            <w:r w:rsidRPr="40B3576B">
              <w:rPr>
                <w:b/>
                <w:bCs/>
                <w:sz w:val="20"/>
              </w:rPr>
              <w:t>236 119,1</w:t>
            </w:r>
          </w:p>
        </w:tc>
        <w:tc>
          <w:tcPr>
            <w:tcW w:w="1417" w:type="dxa"/>
            <w:tcBorders>
              <w:top w:val="single" w:sz="8" w:space="0" w:color="auto"/>
              <w:left w:val="nil"/>
              <w:bottom w:val="single" w:sz="8" w:space="0" w:color="auto"/>
              <w:right w:val="single" w:sz="8" w:space="0" w:color="auto"/>
            </w:tcBorders>
            <w:shd w:val="clear" w:color="auto" w:fill="auto"/>
            <w:noWrap/>
          </w:tcPr>
          <w:p w14:paraId="1CE3DF8E" w14:textId="22C6AB91" w:rsidR="004E59AA" w:rsidRPr="004E59AA" w:rsidRDefault="40B3576B" w:rsidP="40B3576B">
            <w:pPr>
              <w:overflowPunct w:val="0"/>
              <w:autoSpaceDE w:val="0"/>
              <w:autoSpaceDN w:val="0"/>
              <w:adjustRightInd w:val="0"/>
              <w:ind w:left="512" w:hanging="512"/>
              <w:jc w:val="right"/>
              <w:textAlignment w:val="baseline"/>
              <w:rPr>
                <w:b/>
                <w:bCs/>
                <w:sz w:val="20"/>
              </w:rPr>
            </w:pPr>
            <w:r w:rsidRPr="40B3576B">
              <w:rPr>
                <w:b/>
                <w:bCs/>
                <w:sz w:val="20"/>
              </w:rPr>
              <w:t>233 410,8</w:t>
            </w:r>
          </w:p>
        </w:tc>
        <w:tc>
          <w:tcPr>
            <w:tcW w:w="1276" w:type="dxa"/>
            <w:tcBorders>
              <w:top w:val="nil"/>
              <w:left w:val="nil"/>
              <w:bottom w:val="single" w:sz="8" w:space="0" w:color="auto"/>
              <w:right w:val="single" w:sz="4" w:space="0" w:color="auto"/>
            </w:tcBorders>
            <w:shd w:val="clear" w:color="auto" w:fill="auto"/>
            <w:noWrap/>
          </w:tcPr>
          <w:p w14:paraId="6D040A33" w14:textId="238852CE" w:rsidR="004E59AA" w:rsidRPr="004E59AA" w:rsidRDefault="40B3576B" w:rsidP="40B3576B">
            <w:pPr>
              <w:overflowPunct w:val="0"/>
              <w:autoSpaceDE w:val="0"/>
              <w:autoSpaceDN w:val="0"/>
              <w:adjustRightInd w:val="0"/>
              <w:ind w:left="512" w:hanging="512"/>
              <w:jc w:val="right"/>
              <w:textAlignment w:val="baseline"/>
              <w:rPr>
                <w:b/>
                <w:bCs/>
                <w:sz w:val="20"/>
              </w:rPr>
            </w:pPr>
            <w:r w:rsidRPr="40B3576B">
              <w:rPr>
                <w:b/>
                <w:bCs/>
                <w:sz w:val="20"/>
              </w:rPr>
              <w:t>-2 708,3</w:t>
            </w:r>
          </w:p>
        </w:tc>
        <w:tc>
          <w:tcPr>
            <w:tcW w:w="849" w:type="dxa"/>
            <w:tcBorders>
              <w:top w:val="single" w:sz="8" w:space="0" w:color="auto"/>
              <w:left w:val="nil"/>
              <w:bottom w:val="single" w:sz="8" w:space="0" w:color="auto"/>
              <w:right w:val="single" w:sz="8" w:space="0" w:color="auto"/>
            </w:tcBorders>
            <w:shd w:val="clear" w:color="auto" w:fill="auto"/>
            <w:noWrap/>
          </w:tcPr>
          <w:p w14:paraId="4F082888" w14:textId="2E024E82" w:rsidR="004E59AA" w:rsidRPr="004E59AA" w:rsidRDefault="40B3576B" w:rsidP="40B3576B">
            <w:pPr>
              <w:overflowPunct w:val="0"/>
              <w:autoSpaceDE w:val="0"/>
              <w:autoSpaceDN w:val="0"/>
              <w:adjustRightInd w:val="0"/>
              <w:ind w:left="512" w:hanging="512"/>
              <w:jc w:val="right"/>
              <w:textAlignment w:val="baseline"/>
              <w:rPr>
                <w:b/>
                <w:bCs/>
                <w:sz w:val="20"/>
              </w:rPr>
            </w:pPr>
            <w:r w:rsidRPr="40B3576B">
              <w:rPr>
                <w:b/>
                <w:bCs/>
                <w:sz w:val="20"/>
              </w:rPr>
              <w:t>98,9</w:t>
            </w:r>
          </w:p>
        </w:tc>
      </w:tr>
    </w:tbl>
    <w:p w14:paraId="07F56E81" w14:textId="1B38081B" w:rsidR="00395135" w:rsidRDefault="40B3576B" w:rsidP="00F9316E">
      <w:pPr>
        <w:spacing w:before="240"/>
      </w:pPr>
      <w:r>
        <w:t xml:space="preserve">A </w:t>
      </w:r>
      <w:r w:rsidRPr="40B3576B">
        <w:rPr>
          <w:b/>
          <w:bCs/>
        </w:rPr>
        <w:t xml:space="preserve">kisadózók tételes adójából </w:t>
      </w:r>
      <w:r>
        <w:t xml:space="preserve">származó bevétel 2020 első öt hónapjában 66,3 milliárd forint volt, mely 2,4 milliárd forinttal magasabb az egy évvel korábbinál. </w:t>
      </w:r>
      <w:r w:rsidR="003169E0" w:rsidRPr="003169E0">
        <w:t>Bár az adóalanyok számának jelentős mértékű bővüléséből adódóan a halmozott adóbevételek meghaladják az egy évvel korábbi, azonos időszaki összeget, a koronavírus</w:t>
      </w:r>
      <w:r w:rsidR="0038160C">
        <w:t>-</w:t>
      </w:r>
      <w:r w:rsidR="003169E0" w:rsidRPr="003169E0">
        <w:t xml:space="preserve">járvány negatív gazdasági hatásai és az azok mérséklésére </w:t>
      </w:r>
      <w:r w:rsidR="006E3EAB">
        <w:t>hozott</w:t>
      </w:r>
      <w:r w:rsidR="003169E0" w:rsidRPr="003169E0">
        <w:t xml:space="preserve"> kedvezmények hatása már második hónapja megjelenik a pénzforgalmi adatokban.</w:t>
      </w:r>
    </w:p>
    <w:p w14:paraId="5E54FA10" w14:textId="0FAE0788" w:rsidR="006A142D" w:rsidRDefault="40B3576B" w:rsidP="00F9316E">
      <w:pPr>
        <w:spacing w:before="240"/>
      </w:pPr>
      <w:r>
        <w:t xml:space="preserve">A </w:t>
      </w:r>
      <w:r w:rsidRPr="40B3576B">
        <w:rPr>
          <w:b/>
          <w:bCs/>
        </w:rPr>
        <w:t xml:space="preserve">kisvállalati adóból </w:t>
      </w:r>
      <w:r>
        <w:t xml:space="preserve">származó bevétel 2020 első öt hónapjában 36,8 milliárd forint volt, mely 7,7 milliárd forinttal magasabb az egy évvel korábbinál, melynek oka az adóalanyok számának jelentős mértékű bővülése. </w:t>
      </w:r>
    </w:p>
    <w:p w14:paraId="3DC1E74F" w14:textId="02039E6B" w:rsidR="004702E7" w:rsidRDefault="40B3576B" w:rsidP="004702E7">
      <w:pPr>
        <w:spacing w:before="240"/>
      </w:pPr>
      <w:r>
        <w:t>Az év első öt hónapjában</w:t>
      </w:r>
      <w:r w:rsidRPr="40B3576B">
        <w:rPr>
          <w:b/>
          <w:bCs/>
        </w:rPr>
        <w:t xml:space="preserve"> általános forgalmi adó</w:t>
      </w:r>
      <w:r>
        <w:t>ból 1637,9 milliárd forint bevétele keletkezett a költségvetésnek, ami az egy évvel korábbi bevételt</w:t>
      </w:r>
      <w:r w:rsidR="003169E0">
        <w:t>ől</w:t>
      </w:r>
      <w:r>
        <w:t xml:space="preserve"> 106,3 milliárd forinttal </w:t>
      </w:r>
      <w:r w:rsidR="003169E0">
        <w:t>marad</w:t>
      </w:r>
      <w:r w:rsidR="00C378D3">
        <w:t>t</w:t>
      </w:r>
      <w:r w:rsidR="003169E0">
        <w:t xml:space="preserve"> el</w:t>
      </w:r>
      <w:r>
        <w:t>. A befizetések és a kiutalások alakulása a következők szerint változott:</w:t>
      </w:r>
    </w:p>
    <w:p w14:paraId="16D3EADC" w14:textId="77777777" w:rsidR="00096FF2" w:rsidRDefault="00096FF2" w:rsidP="004702E7">
      <w:pPr>
        <w:spacing w:before="240"/>
      </w:pPr>
    </w:p>
    <w:tbl>
      <w:tblPr>
        <w:tblW w:w="6373" w:type="dxa"/>
        <w:jc w:val="center"/>
        <w:tblCellMar>
          <w:left w:w="70" w:type="dxa"/>
          <w:right w:w="70" w:type="dxa"/>
        </w:tblCellMar>
        <w:tblLook w:val="04A0" w:firstRow="1" w:lastRow="0" w:firstColumn="1" w:lastColumn="0" w:noHBand="0" w:noVBand="1"/>
      </w:tblPr>
      <w:tblGrid>
        <w:gridCol w:w="1448"/>
        <w:gridCol w:w="1383"/>
        <w:gridCol w:w="1287"/>
        <w:gridCol w:w="905"/>
        <w:gridCol w:w="1350"/>
      </w:tblGrid>
      <w:tr w:rsidR="004702E7" w:rsidRPr="00DB1A96" w14:paraId="2CDE1D04" w14:textId="77777777" w:rsidTr="40B3576B">
        <w:trPr>
          <w:trHeight w:val="255"/>
          <w:jc w:val="center"/>
        </w:trPr>
        <w:tc>
          <w:tcPr>
            <w:tcW w:w="6373" w:type="dxa"/>
            <w:gridSpan w:val="5"/>
            <w:tcBorders>
              <w:top w:val="nil"/>
              <w:left w:val="nil"/>
              <w:bottom w:val="nil"/>
              <w:right w:val="nil"/>
            </w:tcBorders>
            <w:shd w:val="clear" w:color="auto" w:fill="auto"/>
            <w:noWrap/>
            <w:vAlign w:val="bottom"/>
            <w:hideMark/>
          </w:tcPr>
          <w:p w14:paraId="193F4F9E" w14:textId="77777777" w:rsidR="004702E7" w:rsidRPr="00DB1A96" w:rsidRDefault="40B3576B" w:rsidP="40B3576B">
            <w:pPr>
              <w:jc w:val="center"/>
              <w:rPr>
                <w:b/>
                <w:bCs/>
                <w:color w:val="000000" w:themeColor="text1"/>
                <w:sz w:val="20"/>
              </w:rPr>
            </w:pPr>
            <w:r w:rsidRPr="40B3576B">
              <w:rPr>
                <w:b/>
                <w:bCs/>
                <w:color w:val="000000" w:themeColor="text1"/>
                <w:sz w:val="20"/>
              </w:rPr>
              <w:t>Általános forgalmi adó bevétel alakulása (milliárd forint)</w:t>
            </w:r>
          </w:p>
        </w:tc>
      </w:tr>
      <w:tr w:rsidR="004702E7" w:rsidRPr="00DB1A96" w14:paraId="6088BDF7" w14:textId="77777777" w:rsidTr="40B3576B">
        <w:trPr>
          <w:trHeight w:val="465"/>
          <w:jc w:val="center"/>
        </w:trPr>
        <w:tc>
          <w:tcPr>
            <w:tcW w:w="144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00BFA44" w14:textId="77777777" w:rsidR="004702E7" w:rsidRPr="00DB1A96" w:rsidRDefault="40B3576B" w:rsidP="40B3576B">
            <w:pPr>
              <w:spacing w:after="0"/>
              <w:jc w:val="center"/>
              <w:rPr>
                <w:b/>
                <w:bCs/>
                <w:color w:val="000000" w:themeColor="text1"/>
                <w:sz w:val="20"/>
              </w:rPr>
            </w:pPr>
            <w:r w:rsidRPr="40B3576B">
              <w:rPr>
                <w:b/>
                <w:bCs/>
                <w:color w:val="000000" w:themeColor="text1"/>
                <w:sz w:val="20"/>
              </w:rPr>
              <w:t>Megnevezés</w:t>
            </w:r>
          </w:p>
        </w:tc>
        <w:tc>
          <w:tcPr>
            <w:tcW w:w="138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68CFE69" w14:textId="491C9DBA" w:rsidR="004702E7" w:rsidRPr="00DB1A96" w:rsidRDefault="40B3576B" w:rsidP="40B3576B">
            <w:pPr>
              <w:spacing w:after="0"/>
              <w:jc w:val="center"/>
              <w:rPr>
                <w:b/>
                <w:bCs/>
                <w:sz w:val="20"/>
              </w:rPr>
            </w:pPr>
            <w:r w:rsidRPr="40B3576B">
              <w:rPr>
                <w:b/>
                <w:bCs/>
                <w:sz w:val="20"/>
              </w:rPr>
              <w:t>2019.</w:t>
            </w:r>
            <w:r w:rsidR="5B83E8AE">
              <w:br/>
            </w:r>
            <w:r w:rsidRPr="40B3576B">
              <w:rPr>
                <w:b/>
                <w:bCs/>
                <w:sz w:val="20"/>
              </w:rPr>
              <w:t>I-V. hó</w:t>
            </w:r>
          </w:p>
        </w:tc>
        <w:tc>
          <w:tcPr>
            <w:tcW w:w="1287"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A08D7B7" w14:textId="449D0855" w:rsidR="004702E7" w:rsidRPr="00DB1A96" w:rsidRDefault="40B3576B" w:rsidP="40B3576B">
            <w:pPr>
              <w:spacing w:after="0"/>
              <w:jc w:val="center"/>
              <w:rPr>
                <w:b/>
                <w:bCs/>
                <w:sz w:val="20"/>
              </w:rPr>
            </w:pPr>
            <w:r w:rsidRPr="40B3576B">
              <w:rPr>
                <w:b/>
                <w:bCs/>
                <w:sz w:val="20"/>
              </w:rPr>
              <w:t>2020.</w:t>
            </w:r>
            <w:r w:rsidR="5B83E8AE">
              <w:br/>
            </w:r>
            <w:r w:rsidRPr="40B3576B">
              <w:rPr>
                <w:b/>
                <w:bCs/>
                <w:sz w:val="20"/>
              </w:rPr>
              <w:t>I-V. hó</w:t>
            </w:r>
          </w:p>
        </w:tc>
        <w:tc>
          <w:tcPr>
            <w:tcW w:w="2255"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30484B97" w14:textId="77777777" w:rsidR="004702E7" w:rsidRPr="00DB1A96" w:rsidRDefault="40B3576B" w:rsidP="40B3576B">
            <w:pPr>
              <w:spacing w:after="0"/>
              <w:jc w:val="center"/>
              <w:rPr>
                <w:b/>
                <w:bCs/>
                <w:color w:val="000000" w:themeColor="text1"/>
                <w:sz w:val="20"/>
              </w:rPr>
            </w:pPr>
            <w:r w:rsidRPr="40B3576B">
              <w:rPr>
                <w:b/>
                <w:bCs/>
                <w:color w:val="000000" w:themeColor="text1"/>
                <w:sz w:val="20"/>
              </w:rPr>
              <w:t>Eltérés</w:t>
            </w:r>
          </w:p>
        </w:tc>
      </w:tr>
      <w:tr w:rsidR="004702E7" w:rsidRPr="00DB1A96" w14:paraId="6FBF33D6" w14:textId="77777777" w:rsidTr="40B3576B">
        <w:trPr>
          <w:trHeight w:val="465"/>
          <w:jc w:val="center"/>
        </w:trPr>
        <w:tc>
          <w:tcPr>
            <w:tcW w:w="1448" w:type="dxa"/>
            <w:vMerge/>
            <w:tcBorders>
              <w:top w:val="single" w:sz="8" w:space="0" w:color="auto"/>
              <w:left w:val="single" w:sz="8" w:space="0" w:color="auto"/>
              <w:bottom w:val="single" w:sz="8" w:space="0" w:color="000000"/>
              <w:right w:val="single" w:sz="8" w:space="0" w:color="auto"/>
            </w:tcBorders>
            <w:vAlign w:val="center"/>
            <w:hideMark/>
          </w:tcPr>
          <w:p w14:paraId="78EC8BF6" w14:textId="77777777" w:rsidR="004702E7" w:rsidRPr="00DB1A96" w:rsidRDefault="004702E7" w:rsidP="009E7E25">
            <w:pPr>
              <w:spacing w:after="0"/>
              <w:jc w:val="left"/>
              <w:rPr>
                <w:b/>
                <w:bCs/>
                <w:color w:val="000000"/>
                <w:sz w:val="20"/>
              </w:rPr>
            </w:pPr>
          </w:p>
        </w:tc>
        <w:tc>
          <w:tcPr>
            <w:tcW w:w="1383" w:type="dxa"/>
            <w:vMerge/>
            <w:tcBorders>
              <w:top w:val="single" w:sz="8" w:space="0" w:color="auto"/>
              <w:left w:val="single" w:sz="8" w:space="0" w:color="auto"/>
              <w:bottom w:val="single" w:sz="8" w:space="0" w:color="000000"/>
              <w:right w:val="single" w:sz="8" w:space="0" w:color="auto"/>
            </w:tcBorders>
            <w:vAlign w:val="center"/>
            <w:hideMark/>
          </w:tcPr>
          <w:p w14:paraId="25C25767" w14:textId="77777777" w:rsidR="004702E7" w:rsidRPr="00DB1A96" w:rsidRDefault="004702E7" w:rsidP="009E7E25">
            <w:pPr>
              <w:spacing w:after="0"/>
              <w:jc w:val="left"/>
              <w:rPr>
                <w:b/>
                <w:bCs/>
                <w:sz w:val="20"/>
              </w:rPr>
            </w:pPr>
          </w:p>
        </w:tc>
        <w:tc>
          <w:tcPr>
            <w:tcW w:w="1287" w:type="dxa"/>
            <w:vMerge/>
            <w:tcBorders>
              <w:top w:val="single" w:sz="8" w:space="0" w:color="auto"/>
              <w:left w:val="single" w:sz="8" w:space="0" w:color="auto"/>
              <w:bottom w:val="single" w:sz="8" w:space="0" w:color="000000"/>
              <w:right w:val="single" w:sz="8" w:space="0" w:color="auto"/>
            </w:tcBorders>
            <w:vAlign w:val="center"/>
            <w:hideMark/>
          </w:tcPr>
          <w:p w14:paraId="2B9FC7C9" w14:textId="77777777" w:rsidR="004702E7" w:rsidRPr="00DB1A96" w:rsidRDefault="004702E7" w:rsidP="009E7E25">
            <w:pPr>
              <w:spacing w:after="0"/>
              <w:jc w:val="left"/>
              <w:rPr>
                <w:b/>
                <w:bCs/>
                <w:sz w:val="20"/>
              </w:rPr>
            </w:pPr>
          </w:p>
        </w:tc>
        <w:tc>
          <w:tcPr>
            <w:tcW w:w="905" w:type="dxa"/>
            <w:tcBorders>
              <w:top w:val="nil"/>
              <w:left w:val="nil"/>
              <w:bottom w:val="single" w:sz="8" w:space="0" w:color="auto"/>
              <w:right w:val="single" w:sz="4" w:space="0" w:color="auto"/>
            </w:tcBorders>
            <w:shd w:val="clear" w:color="auto" w:fill="auto"/>
            <w:noWrap/>
            <w:vAlign w:val="center"/>
            <w:hideMark/>
          </w:tcPr>
          <w:p w14:paraId="2BC03ACB" w14:textId="77777777" w:rsidR="004702E7" w:rsidRPr="00DB1A96" w:rsidRDefault="40B3576B" w:rsidP="40B3576B">
            <w:pPr>
              <w:spacing w:after="0"/>
              <w:jc w:val="center"/>
              <w:rPr>
                <w:b/>
                <w:bCs/>
                <w:color w:val="000000" w:themeColor="text1"/>
                <w:sz w:val="20"/>
              </w:rPr>
            </w:pPr>
            <w:r w:rsidRPr="40B3576B">
              <w:rPr>
                <w:b/>
                <w:bCs/>
                <w:color w:val="000000" w:themeColor="text1"/>
                <w:sz w:val="20"/>
              </w:rPr>
              <w:t>Mrd Ft</w:t>
            </w:r>
          </w:p>
        </w:tc>
        <w:tc>
          <w:tcPr>
            <w:tcW w:w="1350" w:type="dxa"/>
            <w:tcBorders>
              <w:top w:val="nil"/>
              <w:left w:val="nil"/>
              <w:bottom w:val="single" w:sz="8" w:space="0" w:color="auto"/>
              <w:right w:val="single" w:sz="8" w:space="0" w:color="auto"/>
            </w:tcBorders>
            <w:shd w:val="clear" w:color="auto" w:fill="auto"/>
            <w:noWrap/>
            <w:vAlign w:val="center"/>
            <w:hideMark/>
          </w:tcPr>
          <w:p w14:paraId="089C503F" w14:textId="77777777" w:rsidR="004702E7" w:rsidRPr="00DB1A96" w:rsidRDefault="40B3576B" w:rsidP="40B3576B">
            <w:pPr>
              <w:spacing w:after="0"/>
              <w:jc w:val="center"/>
              <w:rPr>
                <w:b/>
                <w:bCs/>
                <w:color w:val="000000" w:themeColor="text1"/>
                <w:sz w:val="20"/>
              </w:rPr>
            </w:pPr>
            <w:r w:rsidRPr="40B3576B">
              <w:rPr>
                <w:b/>
                <w:bCs/>
                <w:color w:val="000000" w:themeColor="text1"/>
                <w:sz w:val="20"/>
              </w:rPr>
              <w:t>%</w:t>
            </w:r>
          </w:p>
        </w:tc>
      </w:tr>
      <w:tr w:rsidR="00F42485" w:rsidRPr="00DB1A96" w14:paraId="696B4B9D" w14:textId="77777777" w:rsidTr="40B3576B">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1534865D" w14:textId="77777777" w:rsidR="00F42485" w:rsidRPr="00DB1A96" w:rsidRDefault="40B3576B" w:rsidP="40B3576B">
            <w:pPr>
              <w:spacing w:after="0"/>
              <w:jc w:val="center"/>
              <w:rPr>
                <w:b/>
                <w:bCs/>
                <w:sz w:val="20"/>
              </w:rPr>
            </w:pPr>
            <w:r w:rsidRPr="40B3576B">
              <w:rPr>
                <w:b/>
                <w:bCs/>
                <w:sz w:val="20"/>
              </w:rPr>
              <w:t>Befizetés</w:t>
            </w:r>
          </w:p>
        </w:tc>
        <w:tc>
          <w:tcPr>
            <w:tcW w:w="1383" w:type="dxa"/>
            <w:tcBorders>
              <w:top w:val="nil"/>
              <w:left w:val="nil"/>
              <w:bottom w:val="single" w:sz="4" w:space="0" w:color="auto"/>
              <w:right w:val="single" w:sz="8" w:space="0" w:color="auto"/>
            </w:tcBorders>
            <w:shd w:val="clear" w:color="auto" w:fill="auto"/>
            <w:noWrap/>
          </w:tcPr>
          <w:p w14:paraId="1B136DBC" w14:textId="6BD18ABD" w:rsidR="00F42485" w:rsidRPr="00F42485" w:rsidRDefault="40B3576B" w:rsidP="40B3576B">
            <w:pPr>
              <w:spacing w:after="0"/>
              <w:jc w:val="right"/>
              <w:rPr>
                <w:sz w:val="20"/>
              </w:rPr>
            </w:pPr>
            <w:r w:rsidRPr="40B3576B">
              <w:rPr>
                <w:sz w:val="20"/>
              </w:rPr>
              <w:t>3</w:t>
            </w:r>
            <w:r w:rsidR="00A846A2">
              <w:rPr>
                <w:sz w:val="20"/>
              </w:rPr>
              <w:t xml:space="preserve"> </w:t>
            </w:r>
            <w:r w:rsidRPr="40B3576B">
              <w:rPr>
                <w:sz w:val="20"/>
              </w:rPr>
              <w:t>044,4</w:t>
            </w:r>
          </w:p>
        </w:tc>
        <w:tc>
          <w:tcPr>
            <w:tcW w:w="1287" w:type="dxa"/>
            <w:tcBorders>
              <w:top w:val="nil"/>
              <w:left w:val="nil"/>
              <w:bottom w:val="single" w:sz="4" w:space="0" w:color="auto"/>
              <w:right w:val="single" w:sz="8" w:space="0" w:color="auto"/>
            </w:tcBorders>
            <w:shd w:val="clear" w:color="auto" w:fill="auto"/>
            <w:noWrap/>
          </w:tcPr>
          <w:p w14:paraId="536597DE" w14:textId="6AC8B6C7" w:rsidR="00F42485" w:rsidRPr="00F42485" w:rsidRDefault="40B3576B" w:rsidP="40B3576B">
            <w:pPr>
              <w:spacing w:after="0"/>
              <w:jc w:val="right"/>
              <w:rPr>
                <w:sz w:val="20"/>
              </w:rPr>
            </w:pPr>
            <w:r w:rsidRPr="40B3576B">
              <w:rPr>
                <w:sz w:val="20"/>
              </w:rPr>
              <w:t>3</w:t>
            </w:r>
            <w:r w:rsidR="00A846A2">
              <w:rPr>
                <w:sz w:val="20"/>
              </w:rPr>
              <w:t xml:space="preserve"> </w:t>
            </w:r>
            <w:r w:rsidRPr="40B3576B">
              <w:rPr>
                <w:sz w:val="20"/>
              </w:rPr>
              <w:t>144,4</w:t>
            </w:r>
          </w:p>
        </w:tc>
        <w:tc>
          <w:tcPr>
            <w:tcW w:w="905" w:type="dxa"/>
            <w:tcBorders>
              <w:top w:val="nil"/>
              <w:left w:val="nil"/>
              <w:bottom w:val="single" w:sz="4" w:space="0" w:color="auto"/>
              <w:right w:val="single" w:sz="4" w:space="0" w:color="auto"/>
            </w:tcBorders>
            <w:shd w:val="clear" w:color="auto" w:fill="auto"/>
            <w:noWrap/>
          </w:tcPr>
          <w:p w14:paraId="7B7FFFEE" w14:textId="13792CAB" w:rsidR="00F42485" w:rsidRPr="00F42485" w:rsidRDefault="40B3576B" w:rsidP="00A0614A">
            <w:pPr>
              <w:spacing w:after="0"/>
              <w:jc w:val="right"/>
              <w:rPr>
                <w:sz w:val="20"/>
              </w:rPr>
            </w:pPr>
            <w:r w:rsidRPr="40B3576B">
              <w:rPr>
                <w:sz w:val="20"/>
              </w:rPr>
              <w:t>100,</w:t>
            </w:r>
            <w:r w:rsidR="00A0614A">
              <w:rPr>
                <w:sz w:val="20"/>
              </w:rPr>
              <w:t>0</w:t>
            </w:r>
          </w:p>
        </w:tc>
        <w:tc>
          <w:tcPr>
            <w:tcW w:w="1350" w:type="dxa"/>
            <w:tcBorders>
              <w:top w:val="nil"/>
              <w:left w:val="nil"/>
              <w:bottom w:val="single" w:sz="4" w:space="0" w:color="auto"/>
              <w:right w:val="single" w:sz="8" w:space="0" w:color="auto"/>
            </w:tcBorders>
            <w:shd w:val="clear" w:color="auto" w:fill="auto"/>
            <w:noWrap/>
          </w:tcPr>
          <w:p w14:paraId="788A36F5" w14:textId="653E241F" w:rsidR="00F42485" w:rsidRPr="00F42485" w:rsidRDefault="40B3576B" w:rsidP="40B3576B">
            <w:pPr>
              <w:spacing w:after="0"/>
              <w:jc w:val="right"/>
              <w:rPr>
                <w:color w:val="000000" w:themeColor="text1"/>
                <w:sz w:val="20"/>
              </w:rPr>
            </w:pPr>
            <w:r w:rsidRPr="40B3576B">
              <w:rPr>
                <w:sz w:val="20"/>
              </w:rPr>
              <w:t>103,3</w:t>
            </w:r>
          </w:p>
        </w:tc>
      </w:tr>
      <w:tr w:rsidR="00F42485" w:rsidRPr="00DB1A96" w14:paraId="6B18998E" w14:textId="77777777" w:rsidTr="40B3576B">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5440B48E" w14:textId="77777777" w:rsidR="00F42485" w:rsidRPr="00DB1A96" w:rsidRDefault="40B3576B" w:rsidP="40B3576B">
            <w:pPr>
              <w:spacing w:after="0"/>
              <w:jc w:val="center"/>
              <w:rPr>
                <w:b/>
                <w:bCs/>
                <w:sz w:val="20"/>
              </w:rPr>
            </w:pPr>
            <w:r w:rsidRPr="40B3576B">
              <w:rPr>
                <w:b/>
                <w:bCs/>
                <w:sz w:val="20"/>
              </w:rPr>
              <w:t>Kiutalás</w:t>
            </w:r>
          </w:p>
        </w:tc>
        <w:tc>
          <w:tcPr>
            <w:tcW w:w="1383" w:type="dxa"/>
            <w:tcBorders>
              <w:top w:val="nil"/>
              <w:left w:val="nil"/>
              <w:bottom w:val="single" w:sz="4" w:space="0" w:color="auto"/>
              <w:right w:val="single" w:sz="8" w:space="0" w:color="auto"/>
            </w:tcBorders>
            <w:shd w:val="clear" w:color="auto" w:fill="auto"/>
            <w:noWrap/>
          </w:tcPr>
          <w:p w14:paraId="515B825A" w14:textId="60C4570A" w:rsidR="00F42485" w:rsidRPr="00F42485" w:rsidRDefault="40B3576B" w:rsidP="40B3576B">
            <w:pPr>
              <w:spacing w:after="0"/>
              <w:jc w:val="right"/>
              <w:rPr>
                <w:sz w:val="20"/>
              </w:rPr>
            </w:pPr>
            <w:r w:rsidRPr="40B3576B">
              <w:rPr>
                <w:sz w:val="20"/>
              </w:rPr>
              <w:t>1</w:t>
            </w:r>
            <w:r w:rsidR="00A846A2">
              <w:rPr>
                <w:sz w:val="20"/>
              </w:rPr>
              <w:t xml:space="preserve"> </w:t>
            </w:r>
            <w:r w:rsidRPr="40B3576B">
              <w:rPr>
                <w:sz w:val="20"/>
              </w:rPr>
              <w:t>300,2</w:t>
            </w:r>
          </w:p>
        </w:tc>
        <w:tc>
          <w:tcPr>
            <w:tcW w:w="1287" w:type="dxa"/>
            <w:tcBorders>
              <w:top w:val="nil"/>
              <w:left w:val="nil"/>
              <w:bottom w:val="single" w:sz="4" w:space="0" w:color="auto"/>
              <w:right w:val="single" w:sz="8" w:space="0" w:color="auto"/>
            </w:tcBorders>
            <w:shd w:val="clear" w:color="auto" w:fill="auto"/>
            <w:noWrap/>
          </w:tcPr>
          <w:p w14:paraId="3EA49D92" w14:textId="3118E51B" w:rsidR="00F42485" w:rsidRPr="00F42485" w:rsidRDefault="40B3576B" w:rsidP="40B3576B">
            <w:pPr>
              <w:spacing w:after="0"/>
              <w:jc w:val="right"/>
              <w:rPr>
                <w:sz w:val="20"/>
              </w:rPr>
            </w:pPr>
            <w:r w:rsidRPr="40B3576B">
              <w:rPr>
                <w:sz w:val="20"/>
              </w:rPr>
              <w:t>1</w:t>
            </w:r>
            <w:r w:rsidR="00A846A2">
              <w:rPr>
                <w:sz w:val="20"/>
              </w:rPr>
              <w:t xml:space="preserve"> </w:t>
            </w:r>
            <w:r w:rsidRPr="40B3576B">
              <w:rPr>
                <w:sz w:val="20"/>
              </w:rPr>
              <w:t>506,5</w:t>
            </w:r>
          </w:p>
        </w:tc>
        <w:tc>
          <w:tcPr>
            <w:tcW w:w="905" w:type="dxa"/>
            <w:tcBorders>
              <w:top w:val="nil"/>
              <w:left w:val="nil"/>
              <w:bottom w:val="single" w:sz="4" w:space="0" w:color="auto"/>
              <w:right w:val="single" w:sz="4" w:space="0" w:color="auto"/>
            </w:tcBorders>
            <w:shd w:val="clear" w:color="auto" w:fill="auto"/>
            <w:noWrap/>
          </w:tcPr>
          <w:p w14:paraId="4C3DD2F0" w14:textId="51C6CFE5" w:rsidR="00F42485" w:rsidRPr="00F42485" w:rsidRDefault="40B3576B" w:rsidP="40B3576B">
            <w:pPr>
              <w:spacing w:after="0"/>
              <w:jc w:val="right"/>
              <w:rPr>
                <w:sz w:val="20"/>
              </w:rPr>
            </w:pPr>
            <w:r w:rsidRPr="40B3576B">
              <w:rPr>
                <w:sz w:val="20"/>
              </w:rPr>
              <w:t>206,3</w:t>
            </w:r>
          </w:p>
        </w:tc>
        <w:tc>
          <w:tcPr>
            <w:tcW w:w="1350" w:type="dxa"/>
            <w:tcBorders>
              <w:top w:val="nil"/>
              <w:left w:val="nil"/>
              <w:bottom w:val="single" w:sz="4" w:space="0" w:color="auto"/>
              <w:right w:val="single" w:sz="8" w:space="0" w:color="auto"/>
            </w:tcBorders>
            <w:shd w:val="clear" w:color="auto" w:fill="auto"/>
            <w:noWrap/>
          </w:tcPr>
          <w:p w14:paraId="7AD2266A" w14:textId="699ABDC6" w:rsidR="00F42485" w:rsidRPr="00F42485" w:rsidRDefault="40B3576B" w:rsidP="40B3576B">
            <w:pPr>
              <w:spacing w:after="0"/>
              <w:jc w:val="right"/>
              <w:rPr>
                <w:color w:val="000000" w:themeColor="text1"/>
                <w:sz w:val="20"/>
              </w:rPr>
            </w:pPr>
            <w:r w:rsidRPr="40B3576B">
              <w:rPr>
                <w:sz w:val="20"/>
              </w:rPr>
              <w:t>115,9</w:t>
            </w:r>
          </w:p>
        </w:tc>
      </w:tr>
      <w:tr w:rsidR="00F42485" w:rsidRPr="00091E5E" w14:paraId="6B4C6B67" w14:textId="77777777" w:rsidTr="40B3576B">
        <w:trPr>
          <w:trHeight w:val="270"/>
          <w:jc w:val="center"/>
        </w:trPr>
        <w:tc>
          <w:tcPr>
            <w:tcW w:w="1448" w:type="dxa"/>
            <w:tcBorders>
              <w:top w:val="nil"/>
              <w:left w:val="single" w:sz="8" w:space="0" w:color="auto"/>
              <w:bottom w:val="single" w:sz="8" w:space="0" w:color="auto"/>
              <w:right w:val="single" w:sz="8" w:space="0" w:color="auto"/>
            </w:tcBorders>
            <w:shd w:val="clear" w:color="auto" w:fill="auto"/>
            <w:noWrap/>
            <w:vAlign w:val="center"/>
            <w:hideMark/>
          </w:tcPr>
          <w:p w14:paraId="29C7CFE7" w14:textId="77777777" w:rsidR="00F42485" w:rsidRPr="00DB1A96" w:rsidRDefault="40B3576B" w:rsidP="40B3576B">
            <w:pPr>
              <w:spacing w:after="0"/>
              <w:jc w:val="center"/>
              <w:rPr>
                <w:b/>
                <w:bCs/>
                <w:sz w:val="20"/>
              </w:rPr>
            </w:pPr>
            <w:r w:rsidRPr="40B3576B">
              <w:rPr>
                <w:b/>
                <w:bCs/>
                <w:sz w:val="20"/>
              </w:rPr>
              <w:t>Egyenleg</w:t>
            </w:r>
          </w:p>
        </w:tc>
        <w:tc>
          <w:tcPr>
            <w:tcW w:w="1383" w:type="dxa"/>
            <w:tcBorders>
              <w:top w:val="nil"/>
              <w:left w:val="nil"/>
              <w:bottom w:val="single" w:sz="8" w:space="0" w:color="auto"/>
              <w:right w:val="single" w:sz="8" w:space="0" w:color="auto"/>
            </w:tcBorders>
            <w:shd w:val="clear" w:color="auto" w:fill="auto"/>
            <w:noWrap/>
          </w:tcPr>
          <w:p w14:paraId="717F995F" w14:textId="674C0780" w:rsidR="00F42485" w:rsidRPr="00F42485" w:rsidRDefault="40B3576B" w:rsidP="40B3576B">
            <w:pPr>
              <w:spacing w:after="0"/>
              <w:jc w:val="right"/>
              <w:rPr>
                <w:b/>
                <w:bCs/>
                <w:sz w:val="20"/>
              </w:rPr>
            </w:pPr>
            <w:r w:rsidRPr="40B3576B">
              <w:rPr>
                <w:b/>
                <w:bCs/>
                <w:sz w:val="20"/>
              </w:rPr>
              <w:t>1</w:t>
            </w:r>
            <w:r w:rsidR="00A846A2">
              <w:rPr>
                <w:b/>
                <w:bCs/>
                <w:sz w:val="20"/>
              </w:rPr>
              <w:t xml:space="preserve"> </w:t>
            </w:r>
            <w:r w:rsidRPr="40B3576B">
              <w:rPr>
                <w:b/>
                <w:bCs/>
                <w:sz w:val="20"/>
              </w:rPr>
              <w:t>744,2</w:t>
            </w:r>
          </w:p>
        </w:tc>
        <w:tc>
          <w:tcPr>
            <w:tcW w:w="1287" w:type="dxa"/>
            <w:tcBorders>
              <w:top w:val="nil"/>
              <w:left w:val="nil"/>
              <w:bottom w:val="single" w:sz="8" w:space="0" w:color="auto"/>
              <w:right w:val="single" w:sz="8" w:space="0" w:color="auto"/>
            </w:tcBorders>
            <w:shd w:val="clear" w:color="auto" w:fill="auto"/>
            <w:noWrap/>
          </w:tcPr>
          <w:p w14:paraId="472BC427" w14:textId="231A1D8B" w:rsidR="00F42485" w:rsidRPr="00F42485" w:rsidRDefault="40B3576B" w:rsidP="40B3576B">
            <w:pPr>
              <w:spacing w:after="0"/>
              <w:jc w:val="right"/>
              <w:rPr>
                <w:b/>
                <w:bCs/>
                <w:sz w:val="20"/>
              </w:rPr>
            </w:pPr>
            <w:r w:rsidRPr="40B3576B">
              <w:rPr>
                <w:b/>
                <w:bCs/>
                <w:sz w:val="20"/>
              </w:rPr>
              <w:t>1</w:t>
            </w:r>
            <w:r w:rsidR="00A846A2">
              <w:rPr>
                <w:b/>
                <w:bCs/>
                <w:sz w:val="20"/>
              </w:rPr>
              <w:t xml:space="preserve"> </w:t>
            </w:r>
            <w:r w:rsidRPr="40B3576B">
              <w:rPr>
                <w:b/>
                <w:bCs/>
                <w:sz w:val="20"/>
              </w:rPr>
              <w:t>637,9</w:t>
            </w:r>
          </w:p>
        </w:tc>
        <w:tc>
          <w:tcPr>
            <w:tcW w:w="905" w:type="dxa"/>
            <w:tcBorders>
              <w:top w:val="nil"/>
              <w:left w:val="nil"/>
              <w:bottom w:val="single" w:sz="8" w:space="0" w:color="auto"/>
              <w:right w:val="single" w:sz="4" w:space="0" w:color="auto"/>
            </w:tcBorders>
            <w:shd w:val="clear" w:color="auto" w:fill="auto"/>
            <w:noWrap/>
          </w:tcPr>
          <w:p w14:paraId="7510E2B5" w14:textId="0B68F58C" w:rsidR="00F42485" w:rsidRPr="00F42485" w:rsidRDefault="40B3576B" w:rsidP="40B3576B">
            <w:pPr>
              <w:spacing w:after="0"/>
              <w:jc w:val="right"/>
              <w:rPr>
                <w:b/>
                <w:bCs/>
                <w:sz w:val="20"/>
              </w:rPr>
            </w:pPr>
            <w:r w:rsidRPr="40B3576B">
              <w:rPr>
                <w:b/>
                <w:bCs/>
                <w:sz w:val="20"/>
              </w:rPr>
              <w:t>-106,3</w:t>
            </w:r>
          </w:p>
        </w:tc>
        <w:tc>
          <w:tcPr>
            <w:tcW w:w="1350" w:type="dxa"/>
            <w:tcBorders>
              <w:top w:val="nil"/>
              <w:left w:val="nil"/>
              <w:bottom w:val="single" w:sz="8" w:space="0" w:color="auto"/>
              <w:right w:val="single" w:sz="8" w:space="0" w:color="auto"/>
            </w:tcBorders>
            <w:shd w:val="clear" w:color="auto" w:fill="auto"/>
            <w:noWrap/>
          </w:tcPr>
          <w:p w14:paraId="23D63217" w14:textId="368CA439" w:rsidR="00F42485" w:rsidRPr="00F42485" w:rsidRDefault="40B3576B" w:rsidP="40B3576B">
            <w:pPr>
              <w:spacing w:after="0"/>
              <w:jc w:val="right"/>
              <w:rPr>
                <w:b/>
                <w:bCs/>
                <w:color w:val="000000" w:themeColor="text1"/>
                <w:sz w:val="20"/>
              </w:rPr>
            </w:pPr>
            <w:r w:rsidRPr="40B3576B">
              <w:rPr>
                <w:b/>
                <w:bCs/>
                <w:sz w:val="20"/>
              </w:rPr>
              <w:t>93,9</w:t>
            </w:r>
          </w:p>
        </w:tc>
      </w:tr>
    </w:tbl>
    <w:p w14:paraId="26752C0F" w14:textId="77777777" w:rsidR="000C321A" w:rsidRDefault="000C321A" w:rsidP="004702E7">
      <w:pPr>
        <w:spacing w:before="240"/>
      </w:pPr>
    </w:p>
    <w:p w14:paraId="2CDAF008" w14:textId="39009C05" w:rsidR="004702E7" w:rsidRDefault="40B3576B" w:rsidP="004702E7">
      <w:pPr>
        <w:spacing w:before="240"/>
      </w:pPr>
      <w:r>
        <w:lastRenderedPageBreak/>
        <w:t xml:space="preserve">A </w:t>
      </w:r>
      <w:r w:rsidR="003169E0" w:rsidRPr="003169E0">
        <w:t>belföldi és dohánytermékek utáni áfabevétel egyaránt növekedett, míg az import utáni csökkent. A belföldi befizetések alacsonyabb növekedési üteme tükrözi a befizetések legtöbb ágazatban történő visszaesését. A dohánytermékek utáni bevételek előző évhez viszonyított növekedését a 2019. januári és júliusi, valamint a 2020. januári jövedéki adómérték-emelés, valamint a forgalomnövekedés határozza meg. Az import utáni befizetések csökkenésének hátterében az alacsonyabb forgalom áll. A kiutalások növekedéséhez hozzájárult, hogy a magasabb befizetések magasabb kiutalásokkal járnak, valamint, hogy az adóhatóság a kkv-k számára elsőként az áprilisi bevallási időszakra vonatkozóan rövidebb kiutalási határidőt alkalmaz a visszaigényelhető áfa tekintetében (normál adózók esetében 75 napról 30 napra és a megbízható adózók esetében 30 napról 20 napra csökkent a kiutalási határidő).</w:t>
      </w:r>
    </w:p>
    <w:p w14:paraId="4FA82639" w14:textId="4443FE9A" w:rsidR="004E58BF" w:rsidRDefault="00D14459" w:rsidP="004702E7">
      <w:pPr>
        <w:spacing w:before="240"/>
      </w:pPr>
      <w:r>
        <w:rPr>
          <w:noProof/>
        </w:rPr>
        <w:drawing>
          <wp:inline distT="0" distB="0" distL="0" distR="0" wp14:anchorId="7F8B3355" wp14:editId="1B3B6550">
            <wp:extent cx="5940425" cy="3942715"/>
            <wp:effectExtent l="0" t="0" r="3175" b="63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fa.PNG"/>
                    <pic:cNvPicPr/>
                  </pic:nvPicPr>
                  <pic:blipFill>
                    <a:blip r:embed="rId16">
                      <a:extLst>
                        <a:ext uri="{28A0092B-C50C-407E-A947-70E740481C1C}">
                          <a14:useLocalDpi xmlns:a14="http://schemas.microsoft.com/office/drawing/2010/main" val="0"/>
                        </a:ext>
                      </a:extLst>
                    </a:blip>
                    <a:stretch>
                      <a:fillRect/>
                    </a:stretch>
                  </pic:blipFill>
                  <pic:spPr>
                    <a:xfrm>
                      <a:off x="0" y="0"/>
                      <a:ext cx="5940425" cy="3942715"/>
                    </a:xfrm>
                    <a:prstGeom prst="rect">
                      <a:avLst/>
                    </a:prstGeom>
                  </pic:spPr>
                </pic:pic>
              </a:graphicData>
            </a:graphic>
          </wp:inline>
        </w:drawing>
      </w:r>
    </w:p>
    <w:p w14:paraId="6A2BAA4C" w14:textId="4042C19A" w:rsidR="009269C0" w:rsidRDefault="40B3576B" w:rsidP="40B3576B">
      <w:pPr>
        <w:spacing w:before="240"/>
      </w:pPr>
      <w:r>
        <w:t xml:space="preserve">A </w:t>
      </w:r>
      <w:r w:rsidRPr="40B3576B">
        <w:rPr>
          <w:b/>
          <w:bCs/>
        </w:rPr>
        <w:t>jövedéki adó</w:t>
      </w:r>
      <w:r>
        <w:t xml:space="preserve">ból származó bevétel az év első öt hónapjában 449,1 milliárd forintot tett ki, amely 2,1 milliárd forinttal magasabb az egy évvel korábbi bevételnél. </w:t>
      </w:r>
      <w:r w:rsidR="009269C0">
        <w:br w:type="page"/>
      </w:r>
    </w:p>
    <w:tbl>
      <w:tblPr>
        <w:tblW w:w="6679" w:type="dxa"/>
        <w:jc w:val="center"/>
        <w:tblCellMar>
          <w:left w:w="70" w:type="dxa"/>
          <w:right w:w="70" w:type="dxa"/>
        </w:tblCellMar>
        <w:tblLook w:val="04A0" w:firstRow="1" w:lastRow="0" w:firstColumn="1" w:lastColumn="0" w:noHBand="0" w:noVBand="1"/>
      </w:tblPr>
      <w:tblGrid>
        <w:gridCol w:w="3118"/>
        <w:gridCol w:w="993"/>
        <w:gridCol w:w="992"/>
        <w:gridCol w:w="709"/>
        <w:gridCol w:w="867"/>
      </w:tblGrid>
      <w:tr w:rsidR="00024A56" w:rsidRPr="00024A56" w14:paraId="3A81EA80" w14:textId="77777777" w:rsidTr="40B3576B">
        <w:trPr>
          <w:trHeight w:val="255"/>
          <w:jc w:val="center"/>
        </w:trPr>
        <w:tc>
          <w:tcPr>
            <w:tcW w:w="6679" w:type="dxa"/>
            <w:gridSpan w:val="5"/>
            <w:tcBorders>
              <w:top w:val="nil"/>
              <w:left w:val="nil"/>
              <w:bottom w:val="nil"/>
              <w:right w:val="nil"/>
            </w:tcBorders>
            <w:shd w:val="clear" w:color="auto" w:fill="auto"/>
            <w:noWrap/>
            <w:vAlign w:val="bottom"/>
            <w:hideMark/>
          </w:tcPr>
          <w:p w14:paraId="6E79320C" w14:textId="77777777" w:rsidR="00024A56" w:rsidRPr="00024A56" w:rsidRDefault="40B3576B" w:rsidP="40B3576B">
            <w:pPr>
              <w:spacing w:before="120"/>
              <w:jc w:val="center"/>
              <w:rPr>
                <w:b/>
                <w:bCs/>
                <w:color w:val="000000" w:themeColor="text1"/>
                <w:sz w:val="20"/>
              </w:rPr>
            </w:pPr>
            <w:r w:rsidRPr="40B3576B">
              <w:rPr>
                <w:b/>
                <w:bCs/>
                <w:color w:val="000000" w:themeColor="text1"/>
                <w:sz w:val="20"/>
              </w:rPr>
              <w:lastRenderedPageBreak/>
              <w:t>Jövedéki adó bevétel alakulása (milliárd forint)</w:t>
            </w:r>
          </w:p>
        </w:tc>
      </w:tr>
      <w:tr w:rsidR="00024A56" w:rsidRPr="00024A56" w14:paraId="34A1C44D" w14:textId="77777777" w:rsidTr="40B3576B">
        <w:trPr>
          <w:trHeight w:val="450"/>
          <w:jc w:val="center"/>
        </w:trPr>
        <w:tc>
          <w:tcPr>
            <w:tcW w:w="311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5AFD96E8" w14:textId="77777777" w:rsidR="00024A56" w:rsidRPr="00024A56" w:rsidRDefault="40B3576B" w:rsidP="40B3576B">
            <w:pPr>
              <w:spacing w:after="0"/>
              <w:jc w:val="center"/>
              <w:rPr>
                <w:b/>
                <w:bCs/>
                <w:color w:val="000000" w:themeColor="text1"/>
                <w:sz w:val="20"/>
              </w:rPr>
            </w:pPr>
            <w:r w:rsidRPr="40B3576B">
              <w:rPr>
                <w:b/>
                <w:bCs/>
                <w:color w:val="000000" w:themeColor="text1"/>
                <w:sz w:val="20"/>
              </w:rPr>
              <w:t>Megnevezés</w:t>
            </w:r>
          </w:p>
        </w:tc>
        <w:tc>
          <w:tcPr>
            <w:tcW w:w="99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D932975" w14:textId="70CED3FF" w:rsidR="00024A56" w:rsidRPr="00024A56" w:rsidRDefault="40B3576B" w:rsidP="40B3576B">
            <w:pPr>
              <w:spacing w:after="0"/>
              <w:jc w:val="center"/>
              <w:rPr>
                <w:b/>
                <w:bCs/>
                <w:sz w:val="20"/>
              </w:rPr>
            </w:pPr>
            <w:r w:rsidRPr="40B3576B">
              <w:rPr>
                <w:b/>
                <w:bCs/>
                <w:sz w:val="20"/>
              </w:rPr>
              <w:t>2019.</w:t>
            </w:r>
            <w:r w:rsidR="5B83E8AE">
              <w:br/>
            </w:r>
            <w:r w:rsidRPr="40B3576B">
              <w:rPr>
                <w:b/>
                <w:bCs/>
                <w:sz w:val="20"/>
              </w:rPr>
              <w:t>I-V. hó</w:t>
            </w:r>
          </w:p>
        </w:tc>
        <w:tc>
          <w:tcPr>
            <w:tcW w:w="992"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1AA4BEA" w14:textId="452650D1" w:rsidR="00024A56" w:rsidRPr="00024A56" w:rsidRDefault="40B3576B" w:rsidP="40B3576B">
            <w:pPr>
              <w:spacing w:after="0"/>
              <w:jc w:val="center"/>
              <w:rPr>
                <w:b/>
                <w:bCs/>
                <w:sz w:val="20"/>
              </w:rPr>
            </w:pPr>
            <w:r w:rsidRPr="40B3576B">
              <w:rPr>
                <w:b/>
                <w:bCs/>
                <w:sz w:val="20"/>
              </w:rPr>
              <w:t>2020.</w:t>
            </w:r>
            <w:r w:rsidR="5B83E8AE">
              <w:br/>
            </w:r>
            <w:r w:rsidRPr="40B3576B">
              <w:rPr>
                <w:b/>
                <w:bCs/>
                <w:sz w:val="20"/>
              </w:rPr>
              <w:t>I-V. hó</w:t>
            </w:r>
          </w:p>
        </w:tc>
        <w:tc>
          <w:tcPr>
            <w:tcW w:w="1576"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1D2F24C1" w14:textId="77777777" w:rsidR="00024A56" w:rsidRPr="00024A56" w:rsidRDefault="40B3576B" w:rsidP="40B3576B">
            <w:pPr>
              <w:spacing w:after="0"/>
              <w:jc w:val="center"/>
              <w:rPr>
                <w:b/>
                <w:bCs/>
                <w:color w:val="000000" w:themeColor="text1"/>
                <w:sz w:val="20"/>
              </w:rPr>
            </w:pPr>
            <w:r w:rsidRPr="40B3576B">
              <w:rPr>
                <w:b/>
                <w:bCs/>
                <w:color w:val="000000" w:themeColor="text1"/>
                <w:sz w:val="20"/>
              </w:rPr>
              <w:t>Eltérés</w:t>
            </w:r>
          </w:p>
        </w:tc>
      </w:tr>
      <w:tr w:rsidR="00024A56" w:rsidRPr="00024A56" w14:paraId="0A0EA470" w14:textId="77777777" w:rsidTr="40B3576B">
        <w:trPr>
          <w:trHeight w:val="450"/>
          <w:jc w:val="center"/>
        </w:trPr>
        <w:tc>
          <w:tcPr>
            <w:tcW w:w="3118" w:type="dxa"/>
            <w:vMerge/>
            <w:tcBorders>
              <w:top w:val="single" w:sz="8" w:space="0" w:color="auto"/>
              <w:left w:val="single" w:sz="8" w:space="0" w:color="auto"/>
              <w:bottom w:val="single" w:sz="8" w:space="0" w:color="000000"/>
              <w:right w:val="single" w:sz="8" w:space="0" w:color="auto"/>
            </w:tcBorders>
            <w:vAlign w:val="center"/>
            <w:hideMark/>
          </w:tcPr>
          <w:p w14:paraId="3CF47CB0" w14:textId="77777777" w:rsidR="00024A56" w:rsidRPr="00024A56" w:rsidRDefault="00024A56" w:rsidP="00024A56">
            <w:pPr>
              <w:spacing w:after="0"/>
              <w:jc w:val="left"/>
              <w:rPr>
                <w:b/>
                <w:bCs/>
                <w:color w:val="000000"/>
                <w:sz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0A60470E" w14:textId="77777777" w:rsidR="00024A56" w:rsidRPr="00024A56" w:rsidRDefault="00024A56" w:rsidP="00024A56">
            <w:pPr>
              <w:spacing w:after="0"/>
              <w:jc w:val="left"/>
              <w:rPr>
                <w:b/>
                <w:bCs/>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A9292C5" w14:textId="77777777" w:rsidR="00024A56" w:rsidRPr="00024A56" w:rsidRDefault="00024A56" w:rsidP="00024A56">
            <w:pPr>
              <w:spacing w:after="0"/>
              <w:jc w:val="left"/>
              <w:rPr>
                <w:b/>
                <w:bCs/>
                <w:sz w:val="20"/>
              </w:rPr>
            </w:pPr>
          </w:p>
        </w:tc>
        <w:tc>
          <w:tcPr>
            <w:tcW w:w="709" w:type="dxa"/>
            <w:tcBorders>
              <w:top w:val="nil"/>
              <w:left w:val="nil"/>
              <w:bottom w:val="single" w:sz="8" w:space="0" w:color="auto"/>
              <w:right w:val="single" w:sz="4" w:space="0" w:color="auto"/>
            </w:tcBorders>
            <w:shd w:val="clear" w:color="auto" w:fill="auto"/>
            <w:noWrap/>
            <w:vAlign w:val="center"/>
            <w:hideMark/>
          </w:tcPr>
          <w:p w14:paraId="54154943" w14:textId="77777777" w:rsidR="00024A56" w:rsidRPr="00024A56" w:rsidRDefault="40B3576B" w:rsidP="40B3576B">
            <w:pPr>
              <w:spacing w:after="0"/>
              <w:jc w:val="center"/>
              <w:rPr>
                <w:b/>
                <w:bCs/>
                <w:color w:val="000000" w:themeColor="text1"/>
                <w:sz w:val="20"/>
              </w:rPr>
            </w:pPr>
            <w:r w:rsidRPr="40B3576B">
              <w:rPr>
                <w:b/>
                <w:bCs/>
                <w:color w:val="000000" w:themeColor="text1"/>
                <w:sz w:val="20"/>
              </w:rPr>
              <w:t>Mrd Ft</w:t>
            </w:r>
          </w:p>
        </w:tc>
        <w:tc>
          <w:tcPr>
            <w:tcW w:w="867" w:type="dxa"/>
            <w:tcBorders>
              <w:top w:val="nil"/>
              <w:left w:val="nil"/>
              <w:bottom w:val="single" w:sz="8" w:space="0" w:color="auto"/>
              <w:right w:val="single" w:sz="8" w:space="0" w:color="auto"/>
            </w:tcBorders>
            <w:shd w:val="clear" w:color="auto" w:fill="auto"/>
            <w:noWrap/>
            <w:vAlign w:val="center"/>
            <w:hideMark/>
          </w:tcPr>
          <w:p w14:paraId="4FA863EF" w14:textId="77777777" w:rsidR="00024A56" w:rsidRPr="00024A56" w:rsidRDefault="40B3576B" w:rsidP="40B3576B">
            <w:pPr>
              <w:spacing w:after="0"/>
              <w:jc w:val="center"/>
              <w:rPr>
                <w:b/>
                <w:bCs/>
                <w:color w:val="000000" w:themeColor="text1"/>
                <w:sz w:val="20"/>
              </w:rPr>
            </w:pPr>
            <w:r w:rsidRPr="40B3576B">
              <w:rPr>
                <w:b/>
                <w:bCs/>
                <w:color w:val="000000" w:themeColor="text1"/>
                <w:sz w:val="20"/>
              </w:rPr>
              <w:t>%</w:t>
            </w:r>
          </w:p>
        </w:tc>
      </w:tr>
      <w:tr w:rsidR="00474F3B" w:rsidRPr="00024A56" w14:paraId="508557F8" w14:textId="77777777" w:rsidTr="40B3576B">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6EC723A4" w14:textId="50D0FBE1" w:rsidR="00474F3B" w:rsidRPr="00024A56" w:rsidRDefault="40B3576B" w:rsidP="40B3576B">
            <w:pPr>
              <w:spacing w:after="0"/>
              <w:jc w:val="left"/>
              <w:rPr>
                <w:b/>
                <w:bCs/>
                <w:sz w:val="20"/>
              </w:rPr>
            </w:pPr>
            <w:r w:rsidRPr="40B3576B">
              <w:rPr>
                <w:b/>
                <w:bCs/>
                <w:sz w:val="20"/>
              </w:rPr>
              <w:t>Üzemanyag jövedéki adó</w:t>
            </w:r>
          </w:p>
        </w:tc>
        <w:tc>
          <w:tcPr>
            <w:tcW w:w="993" w:type="dxa"/>
            <w:tcBorders>
              <w:top w:val="nil"/>
              <w:left w:val="nil"/>
              <w:bottom w:val="single" w:sz="4" w:space="0" w:color="auto"/>
              <w:right w:val="single" w:sz="8" w:space="0" w:color="auto"/>
            </w:tcBorders>
            <w:shd w:val="clear" w:color="auto" w:fill="auto"/>
            <w:noWrap/>
          </w:tcPr>
          <w:p w14:paraId="68AF4B4E" w14:textId="268440EF" w:rsidR="00474F3B" w:rsidRPr="00474F3B" w:rsidRDefault="40B3576B" w:rsidP="40B3576B">
            <w:pPr>
              <w:spacing w:after="0"/>
              <w:jc w:val="center"/>
              <w:rPr>
                <w:sz w:val="20"/>
              </w:rPr>
            </w:pPr>
            <w:r w:rsidRPr="40B3576B">
              <w:rPr>
                <w:sz w:val="20"/>
              </w:rPr>
              <w:t>259,9</w:t>
            </w:r>
          </w:p>
        </w:tc>
        <w:tc>
          <w:tcPr>
            <w:tcW w:w="992" w:type="dxa"/>
            <w:tcBorders>
              <w:top w:val="nil"/>
              <w:left w:val="nil"/>
              <w:bottom w:val="single" w:sz="4" w:space="0" w:color="auto"/>
              <w:right w:val="single" w:sz="8" w:space="0" w:color="auto"/>
            </w:tcBorders>
            <w:shd w:val="clear" w:color="auto" w:fill="auto"/>
            <w:noWrap/>
          </w:tcPr>
          <w:p w14:paraId="27E8CB93" w14:textId="50E509F4" w:rsidR="00474F3B" w:rsidRPr="00474F3B" w:rsidRDefault="40B3576B" w:rsidP="40B3576B">
            <w:pPr>
              <w:spacing w:after="0"/>
              <w:jc w:val="center"/>
              <w:rPr>
                <w:sz w:val="20"/>
              </w:rPr>
            </w:pPr>
            <w:r w:rsidRPr="40B3576B">
              <w:rPr>
                <w:sz w:val="20"/>
              </w:rPr>
              <w:t>245,3</w:t>
            </w:r>
          </w:p>
        </w:tc>
        <w:tc>
          <w:tcPr>
            <w:tcW w:w="709" w:type="dxa"/>
            <w:tcBorders>
              <w:top w:val="nil"/>
              <w:left w:val="nil"/>
              <w:bottom w:val="single" w:sz="4" w:space="0" w:color="auto"/>
              <w:right w:val="single" w:sz="4" w:space="0" w:color="auto"/>
            </w:tcBorders>
            <w:shd w:val="clear" w:color="auto" w:fill="auto"/>
            <w:noWrap/>
          </w:tcPr>
          <w:p w14:paraId="28D690E2" w14:textId="25C90207" w:rsidR="00474F3B" w:rsidRPr="00474F3B" w:rsidRDefault="40B3576B" w:rsidP="40B3576B">
            <w:pPr>
              <w:spacing w:after="0"/>
              <w:jc w:val="center"/>
              <w:rPr>
                <w:color w:val="000000" w:themeColor="text1"/>
                <w:sz w:val="20"/>
              </w:rPr>
            </w:pPr>
            <w:r w:rsidRPr="40B3576B">
              <w:rPr>
                <w:sz w:val="20"/>
              </w:rPr>
              <w:t>-14,6</w:t>
            </w:r>
          </w:p>
        </w:tc>
        <w:tc>
          <w:tcPr>
            <w:tcW w:w="867" w:type="dxa"/>
            <w:tcBorders>
              <w:top w:val="nil"/>
              <w:left w:val="nil"/>
              <w:bottom w:val="single" w:sz="4" w:space="0" w:color="auto"/>
              <w:right w:val="single" w:sz="8" w:space="0" w:color="auto"/>
            </w:tcBorders>
            <w:shd w:val="clear" w:color="auto" w:fill="auto"/>
            <w:noWrap/>
          </w:tcPr>
          <w:p w14:paraId="4A80F6B5" w14:textId="0C42BC2D" w:rsidR="00474F3B" w:rsidRPr="00474F3B" w:rsidRDefault="40B3576B" w:rsidP="40B3576B">
            <w:pPr>
              <w:spacing w:after="0"/>
              <w:jc w:val="center"/>
              <w:rPr>
                <w:sz w:val="20"/>
              </w:rPr>
            </w:pPr>
            <w:r w:rsidRPr="40B3576B">
              <w:rPr>
                <w:sz w:val="20"/>
              </w:rPr>
              <w:t>94,4</w:t>
            </w:r>
          </w:p>
        </w:tc>
      </w:tr>
      <w:tr w:rsidR="00474F3B" w:rsidRPr="00024A56" w14:paraId="57AD209F" w14:textId="77777777" w:rsidTr="40B3576B">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268C933F" w14:textId="35F788F0" w:rsidR="00474F3B" w:rsidRPr="00024A56" w:rsidRDefault="40B3576B" w:rsidP="40B3576B">
            <w:pPr>
              <w:spacing w:after="0"/>
              <w:jc w:val="left"/>
              <w:rPr>
                <w:b/>
                <w:bCs/>
                <w:sz w:val="20"/>
              </w:rPr>
            </w:pPr>
            <w:r w:rsidRPr="40B3576B">
              <w:rPr>
                <w:b/>
                <w:bCs/>
                <w:sz w:val="20"/>
              </w:rPr>
              <w:t>Dohánygyártmány jövedéki adó</w:t>
            </w:r>
          </w:p>
        </w:tc>
        <w:tc>
          <w:tcPr>
            <w:tcW w:w="993" w:type="dxa"/>
            <w:tcBorders>
              <w:top w:val="nil"/>
              <w:left w:val="nil"/>
              <w:bottom w:val="single" w:sz="4" w:space="0" w:color="auto"/>
              <w:right w:val="single" w:sz="8" w:space="0" w:color="auto"/>
            </w:tcBorders>
            <w:shd w:val="clear" w:color="auto" w:fill="auto"/>
            <w:noWrap/>
          </w:tcPr>
          <w:p w14:paraId="79F99CAB" w14:textId="7F1CC356" w:rsidR="00474F3B" w:rsidRPr="00474F3B" w:rsidRDefault="40B3576B" w:rsidP="40B3576B">
            <w:pPr>
              <w:spacing w:after="0"/>
              <w:jc w:val="center"/>
              <w:rPr>
                <w:sz w:val="20"/>
              </w:rPr>
            </w:pPr>
            <w:r w:rsidRPr="40B3576B">
              <w:rPr>
                <w:sz w:val="20"/>
              </w:rPr>
              <w:t>141,7</w:t>
            </w:r>
          </w:p>
        </w:tc>
        <w:tc>
          <w:tcPr>
            <w:tcW w:w="992" w:type="dxa"/>
            <w:tcBorders>
              <w:top w:val="nil"/>
              <w:left w:val="nil"/>
              <w:bottom w:val="single" w:sz="4" w:space="0" w:color="auto"/>
              <w:right w:val="single" w:sz="8" w:space="0" w:color="auto"/>
            </w:tcBorders>
            <w:shd w:val="clear" w:color="auto" w:fill="auto"/>
            <w:noWrap/>
          </w:tcPr>
          <w:p w14:paraId="77FC4294" w14:textId="50310B44" w:rsidR="00474F3B" w:rsidRPr="00474F3B" w:rsidRDefault="40B3576B" w:rsidP="40B3576B">
            <w:pPr>
              <w:spacing w:after="0"/>
              <w:jc w:val="center"/>
              <w:rPr>
                <w:sz w:val="20"/>
              </w:rPr>
            </w:pPr>
            <w:r w:rsidRPr="40B3576B">
              <w:rPr>
                <w:sz w:val="20"/>
              </w:rPr>
              <w:t>162,7</w:t>
            </w:r>
          </w:p>
        </w:tc>
        <w:tc>
          <w:tcPr>
            <w:tcW w:w="709" w:type="dxa"/>
            <w:tcBorders>
              <w:top w:val="nil"/>
              <w:left w:val="nil"/>
              <w:bottom w:val="single" w:sz="4" w:space="0" w:color="auto"/>
              <w:right w:val="single" w:sz="4" w:space="0" w:color="auto"/>
            </w:tcBorders>
            <w:shd w:val="clear" w:color="auto" w:fill="auto"/>
            <w:noWrap/>
          </w:tcPr>
          <w:p w14:paraId="23932EB7" w14:textId="3FD07D55" w:rsidR="00474F3B" w:rsidRPr="00474F3B" w:rsidRDefault="40B3576B" w:rsidP="40B3576B">
            <w:pPr>
              <w:spacing w:after="0"/>
              <w:jc w:val="center"/>
              <w:rPr>
                <w:color w:val="000000" w:themeColor="text1"/>
                <w:sz w:val="20"/>
              </w:rPr>
            </w:pPr>
            <w:r w:rsidRPr="40B3576B">
              <w:rPr>
                <w:sz w:val="20"/>
              </w:rPr>
              <w:t>21,0</w:t>
            </w:r>
          </w:p>
        </w:tc>
        <w:tc>
          <w:tcPr>
            <w:tcW w:w="867" w:type="dxa"/>
            <w:tcBorders>
              <w:top w:val="nil"/>
              <w:left w:val="nil"/>
              <w:bottom w:val="single" w:sz="4" w:space="0" w:color="auto"/>
              <w:right w:val="single" w:sz="8" w:space="0" w:color="auto"/>
            </w:tcBorders>
            <w:shd w:val="clear" w:color="auto" w:fill="auto"/>
            <w:noWrap/>
          </w:tcPr>
          <w:p w14:paraId="6073DB33" w14:textId="06CA8904" w:rsidR="00474F3B" w:rsidRPr="00474F3B" w:rsidRDefault="40B3576B" w:rsidP="40B3576B">
            <w:pPr>
              <w:spacing w:after="0"/>
              <w:jc w:val="center"/>
              <w:rPr>
                <w:sz w:val="20"/>
              </w:rPr>
            </w:pPr>
            <w:r w:rsidRPr="40B3576B">
              <w:rPr>
                <w:sz w:val="20"/>
              </w:rPr>
              <w:t>114,8</w:t>
            </w:r>
          </w:p>
        </w:tc>
      </w:tr>
      <w:tr w:rsidR="00474F3B" w:rsidRPr="00024A56" w14:paraId="2E89E7E2" w14:textId="77777777" w:rsidTr="40B3576B">
        <w:trPr>
          <w:trHeight w:val="270"/>
          <w:jc w:val="center"/>
        </w:trPr>
        <w:tc>
          <w:tcPr>
            <w:tcW w:w="3118" w:type="dxa"/>
            <w:tcBorders>
              <w:top w:val="nil"/>
              <w:left w:val="single" w:sz="8" w:space="0" w:color="auto"/>
              <w:bottom w:val="nil"/>
              <w:right w:val="single" w:sz="8" w:space="0" w:color="auto"/>
            </w:tcBorders>
            <w:shd w:val="clear" w:color="auto" w:fill="auto"/>
            <w:noWrap/>
            <w:vAlign w:val="center"/>
            <w:hideMark/>
          </w:tcPr>
          <w:p w14:paraId="27C95F96" w14:textId="79969345" w:rsidR="00474F3B" w:rsidRPr="00024A56" w:rsidRDefault="40B3576B" w:rsidP="40B3576B">
            <w:pPr>
              <w:spacing w:after="0"/>
              <w:jc w:val="left"/>
              <w:rPr>
                <w:b/>
                <w:bCs/>
                <w:sz w:val="20"/>
              </w:rPr>
            </w:pPr>
            <w:r w:rsidRPr="40B3576B">
              <w:rPr>
                <w:b/>
                <w:bCs/>
                <w:sz w:val="20"/>
              </w:rPr>
              <w:t>Egyéb termék jövedéki adó</w:t>
            </w:r>
          </w:p>
        </w:tc>
        <w:tc>
          <w:tcPr>
            <w:tcW w:w="993" w:type="dxa"/>
            <w:tcBorders>
              <w:top w:val="nil"/>
              <w:left w:val="nil"/>
              <w:bottom w:val="nil"/>
              <w:right w:val="single" w:sz="8" w:space="0" w:color="auto"/>
            </w:tcBorders>
            <w:shd w:val="clear" w:color="auto" w:fill="auto"/>
            <w:noWrap/>
          </w:tcPr>
          <w:p w14:paraId="7364BF93" w14:textId="7A60D5AD" w:rsidR="00474F3B" w:rsidRPr="00474F3B" w:rsidRDefault="40B3576B" w:rsidP="40B3576B">
            <w:pPr>
              <w:spacing w:after="0"/>
              <w:jc w:val="center"/>
              <w:rPr>
                <w:sz w:val="20"/>
              </w:rPr>
            </w:pPr>
            <w:r w:rsidRPr="40B3576B">
              <w:rPr>
                <w:sz w:val="20"/>
              </w:rPr>
              <w:t>35,8</w:t>
            </w:r>
          </w:p>
        </w:tc>
        <w:tc>
          <w:tcPr>
            <w:tcW w:w="992" w:type="dxa"/>
            <w:tcBorders>
              <w:top w:val="nil"/>
              <w:left w:val="nil"/>
              <w:bottom w:val="nil"/>
              <w:right w:val="single" w:sz="8" w:space="0" w:color="auto"/>
            </w:tcBorders>
            <w:shd w:val="clear" w:color="auto" w:fill="auto"/>
            <w:noWrap/>
          </w:tcPr>
          <w:p w14:paraId="7B16728B" w14:textId="10D974AD" w:rsidR="00474F3B" w:rsidRPr="00474F3B" w:rsidRDefault="40B3576B" w:rsidP="00D6489B">
            <w:pPr>
              <w:spacing w:after="0"/>
              <w:jc w:val="center"/>
              <w:rPr>
                <w:sz w:val="20"/>
              </w:rPr>
            </w:pPr>
            <w:r w:rsidRPr="40B3576B">
              <w:rPr>
                <w:sz w:val="20"/>
              </w:rPr>
              <w:t>31,</w:t>
            </w:r>
            <w:r w:rsidR="00D6489B">
              <w:rPr>
                <w:sz w:val="20"/>
              </w:rPr>
              <w:t>5</w:t>
            </w:r>
          </w:p>
        </w:tc>
        <w:tc>
          <w:tcPr>
            <w:tcW w:w="709" w:type="dxa"/>
            <w:tcBorders>
              <w:top w:val="nil"/>
              <w:left w:val="nil"/>
              <w:bottom w:val="nil"/>
              <w:right w:val="single" w:sz="4" w:space="0" w:color="auto"/>
            </w:tcBorders>
            <w:shd w:val="clear" w:color="auto" w:fill="auto"/>
            <w:noWrap/>
          </w:tcPr>
          <w:p w14:paraId="27354059" w14:textId="44A33234" w:rsidR="00474F3B" w:rsidRPr="00474F3B" w:rsidRDefault="40B3576B" w:rsidP="00CC7852">
            <w:pPr>
              <w:spacing w:after="0"/>
              <w:jc w:val="center"/>
              <w:rPr>
                <w:color w:val="000000" w:themeColor="text1"/>
                <w:sz w:val="20"/>
              </w:rPr>
            </w:pPr>
            <w:r w:rsidRPr="40B3576B">
              <w:rPr>
                <w:sz w:val="20"/>
              </w:rPr>
              <w:t>-4,</w:t>
            </w:r>
            <w:r w:rsidR="00CC7852">
              <w:rPr>
                <w:sz w:val="20"/>
              </w:rPr>
              <w:t>3</w:t>
            </w:r>
          </w:p>
        </w:tc>
        <w:tc>
          <w:tcPr>
            <w:tcW w:w="867" w:type="dxa"/>
            <w:tcBorders>
              <w:top w:val="nil"/>
              <w:left w:val="nil"/>
              <w:bottom w:val="nil"/>
              <w:right w:val="single" w:sz="8" w:space="0" w:color="auto"/>
            </w:tcBorders>
            <w:shd w:val="clear" w:color="auto" w:fill="auto"/>
            <w:noWrap/>
          </w:tcPr>
          <w:p w14:paraId="40F267EE" w14:textId="48CB9830" w:rsidR="00474F3B" w:rsidRPr="00474F3B" w:rsidRDefault="40B3576B" w:rsidP="002467C2">
            <w:pPr>
              <w:spacing w:after="0"/>
              <w:jc w:val="center"/>
              <w:rPr>
                <w:sz w:val="20"/>
              </w:rPr>
            </w:pPr>
            <w:r w:rsidRPr="40B3576B">
              <w:rPr>
                <w:sz w:val="20"/>
              </w:rPr>
              <w:t>88,</w:t>
            </w:r>
            <w:r w:rsidR="002467C2">
              <w:rPr>
                <w:sz w:val="20"/>
              </w:rPr>
              <w:t>0</w:t>
            </w:r>
          </w:p>
        </w:tc>
      </w:tr>
      <w:tr w:rsidR="00474F3B" w:rsidRPr="00024A56" w14:paraId="664D47E1" w14:textId="77777777" w:rsidTr="40B3576B">
        <w:trPr>
          <w:trHeight w:val="270"/>
          <w:jc w:val="center"/>
        </w:trPr>
        <w:tc>
          <w:tcPr>
            <w:tcW w:w="3118" w:type="dxa"/>
            <w:tcBorders>
              <w:top w:val="single" w:sz="4" w:space="0" w:color="auto"/>
              <w:left w:val="single" w:sz="8" w:space="0" w:color="auto"/>
              <w:bottom w:val="nil"/>
              <w:right w:val="single" w:sz="8" w:space="0" w:color="auto"/>
            </w:tcBorders>
            <w:shd w:val="clear" w:color="auto" w:fill="auto"/>
            <w:noWrap/>
            <w:vAlign w:val="center"/>
            <w:hideMark/>
          </w:tcPr>
          <w:p w14:paraId="7B919B72" w14:textId="7F22971B" w:rsidR="00474F3B" w:rsidRPr="00024A56" w:rsidRDefault="40B3576B" w:rsidP="40B3576B">
            <w:pPr>
              <w:spacing w:after="0"/>
              <w:jc w:val="left"/>
              <w:rPr>
                <w:b/>
                <w:bCs/>
                <w:sz w:val="20"/>
              </w:rPr>
            </w:pPr>
            <w:r w:rsidRPr="40B3576B">
              <w:rPr>
                <w:b/>
                <w:bCs/>
                <w:sz w:val="20"/>
              </w:rPr>
              <w:t>Import jövedéki adó és energiaadó</w:t>
            </w:r>
          </w:p>
        </w:tc>
        <w:tc>
          <w:tcPr>
            <w:tcW w:w="993" w:type="dxa"/>
            <w:tcBorders>
              <w:top w:val="single" w:sz="4" w:space="0" w:color="auto"/>
              <w:left w:val="nil"/>
              <w:bottom w:val="nil"/>
              <w:right w:val="single" w:sz="8" w:space="0" w:color="auto"/>
            </w:tcBorders>
            <w:shd w:val="clear" w:color="auto" w:fill="auto"/>
            <w:noWrap/>
          </w:tcPr>
          <w:p w14:paraId="1C055628" w14:textId="08B5DB87" w:rsidR="00474F3B" w:rsidRPr="00474F3B" w:rsidRDefault="40B3576B" w:rsidP="40B3576B">
            <w:pPr>
              <w:spacing w:after="0"/>
              <w:jc w:val="center"/>
              <w:rPr>
                <w:sz w:val="20"/>
              </w:rPr>
            </w:pPr>
            <w:r w:rsidRPr="40B3576B">
              <w:rPr>
                <w:sz w:val="20"/>
              </w:rPr>
              <w:t>9,6</w:t>
            </w:r>
          </w:p>
        </w:tc>
        <w:tc>
          <w:tcPr>
            <w:tcW w:w="992" w:type="dxa"/>
            <w:tcBorders>
              <w:top w:val="single" w:sz="4" w:space="0" w:color="auto"/>
              <w:left w:val="nil"/>
              <w:bottom w:val="nil"/>
              <w:right w:val="single" w:sz="8" w:space="0" w:color="auto"/>
            </w:tcBorders>
            <w:shd w:val="clear" w:color="auto" w:fill="auto"/>
            <w:noWrap/>
          </w:tcPr>
          <w:p w14:paraId="13C70C2F" w14:textId="56C3B5EB" w:rsidR="00474F3B" w:rsidRPr="00474F3B" w:rsidRDefault="40B3576B" w:rsidP="40B3576B">
            <w:pPr>
              <w:spacing w:after="0"/>
              <w:jc w:val="center"/>
              <w:rPr>
                <w:sz w:val="20"/>
              </w:rPr>
            </w:pPr>
            <w:r w:rsidRPr="40B3576B">
              <w:rPr>
                <w:sz w:val="20"/>
              </w:rPr>
              <w:t>9,6</w:t>
            </w:r>
          </w:p>
        </w:tc>
        <w:tc>
          <w:tcPr>
            <w:tcW w:w="709" w:type="dxa"/>
            <w:tcBorders>
              <w:top w:val="single" w:sz="4" w:space="0" w:color="auto"/>
              <w:left w:val="nil"/>
              <w:bottom w:val="nil"/>
              <w:right w:val="single" w:sz="4" w:space="0" w:color="auto"/>
            </w:tcBorders>
            <w:shd w:val="clear" w:color="auto" w:fill="auto"/>
            <w:noWrap/>
          </w:tcPr>
          <w:p w14:paraId="562B1DC5" w14:textId="498E42EC" w:rsidR="00474F3B" w:rsidRPr="00474F3B" w:rsidRDefault="40B3576B" w:rsidP="40B3576B">
            <w:pPr>
              <w:spacing w:after="0"/>
              <w:jc w:val="center"/>
              <w:rPr>
                <w:color w:val="000000" w:themeColor="text1"/>
                <w:sz w:val="20"/>
              </w:rPr>
            </w:pPr>
            <w:r w:rsidRPr="40B3576B">
              <w:rPr>
                <w:sz w:val="20"/>
              </w:rPr>
              <w:t>0,0</w:t>
            </w:r>
          </w:p>
        </w:tc>
        <w:tc>
          <w:tcPr>
            <w:tcW w:w="867" w:type="dxa"/>
            <w:tcBorders>
              <w:top w:val="single" w:sz="4" w:space="0" w:color="auto"/>
              <w:left w:val="nil"/>
              <w:bottom w:val="nil"/>
              <w:right w:val="single" w:sz="8" w:space="0" w:color="auto"/>
            </w:tcBorders>
            <w:shd w:val="clear" w:color="auto" w:fill="auto"/>
            <w:noWrap/>
          </w:tcPr>
          <w:p w14:paraId="4F21FF55" w14:textId="0DF7EF6B" w:rsidR="00474F3B" w:rsidRPr="00474F3B" w:rsidRDefault="00F91E74" w:rsidP="40B3576B">
            <w:pPr>
              <w:spacing w:after="0"/>
              <w:jc w:val="center"/>
              <w:rPr>
                <w:sz w:val="20"/>
              </w:rPr>
            </w:pPr>
            <w:r>
              <w:rPr>
                <w:sz w:val="20"/>
              </w:rPr>
              <w:t>100,0</w:t>
            </w:r>
          </w:p>
        </w:tc>
      </w:tr>
      <w:tr w:rsidR="00474F3B" w:rsidRPr="000C321A" w14:paraId="65DFBFEE" w14:textId="77777777" w:rsidTr="40B3576B">
        <w:trPr>
          <w:trHeight w:val="270"/>
          <w:jc w:val="center"/>
        </w:trPr>
        <w:tc>
          <w:tcPr>
            <w:tcW w:w="31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B3BD6" w14:textId="36BFD6F0" w:rsidR="00474F3B" w:rsidRPr="00024A56" w:rsidRDefault="40B3576B" w:rsidP="40B3576B">
            <w:pPr>
              <w:spacing w:after="0"/>
              <w:jc w:val="left"/>
              <w:rPr>
                <w:b/>
                <w:bCs/>
                <w:sz w:val="20"/>
              </w:rPr>
            </w:pPr>
            <w:r w:rsidRPr="40B3576B">
              <w:rPr>
                <w:b/>
                <w:bCs/>
                <w:sz w:val="20"/>
              </w:rPr>
              <w:t>Jövedéki adók összesen</w:t>
            </w:r>
          </w:p>
        </w:tc>
        <w:tc>
          <w:tcPr>
            <w:tcW w:w="993" w:type="dxa"/>
            <w:tcBorders>
              <w:top w:val="single" w:sz="8" w:space="0" w:color="auto"/>
              <w:left w:val="nil"/>
              <w:bottom w:val="single" w:sz="8" w:space="0" w:color="auto"/>
              <w:right w:val="single" w:sz="8" w:space="0" w:color="auto"/>
            </w:tcBorders>
            <w:shd w:val="clear" w:color="auto" w:fill="auto"/>
            <w:noWrap/>
          </w:tcPr>
          <w:p w14:paraId="312362D3" w14:textId="2A224E90" w:rsidR="00474F3B" w:rsidRPr="00474F3B" w:rsidRDefault="40B3576B" w:rsidP="40B3576B">
            <w:pPr>
              <w:spacing w:after="0"/>
              <w:jc w:val="center"/>
              <w:rPr>
                <w:b/>
                <w:bCs/>
                <w:sz w:val="20"/>
              </w:rPr>
            </w:pPr>
            <w:r w:rsidRPr="40B3576B">
              <w:rPr>
                <w:b/>
                <w:bCs/>
                <w:sz w:val="20"/>
              </w:rPr>
              <w:t>447,0</w:t>
            </w:r>
          </w:p>
        </w:tc>
        <w:tc>
          <w:tcPr>
            <w:tcW w:w="992" w:type="dxa"/>
            <w:tcBorders>
              <w:top w:val="single" w:sz="8" w:space="0" w:color="auto"/>
              <w:left w:val="nil"/>
              <w:bottom w:val="single" w:sz="8" w:space="0" w:color="auto"/>
              <w:right w:val="single" w:sz="8" w:space="0" w:color="auto"/>
            </w:tcBorders>
            <w:shd w:val="clear" w:color="auto" w:fill="auto"/>
            <w:noWrap/>
          </w:tcPr>
          <w:p w14:paraId="35930993" w14:textId="2B9C32CB" w:rsidR="00474F3B" w:rsidRPr="00474F3B" w:rsidRDefault="40B3576B" w:rsidP="40B3576B">
            <w:pPr>
              <w:spacing w:after="0"/>
              <w:jc w:val="center"/>
              <w:rPr>
                <w:b/>
                <w:bCs/>
                <w:sz w:val="20"/>
              </w:rPr>
            </w:pPr>
            <w:r w:rsidRPr="40B3576B">
              <w:rPr>
                <w:b/>
                <w:bCs/>
                <w:sz w:val="20"/>
              </w:rPr>
              <w:t>449,1</w:t>
            </w:r>
          </w:p>
        </w:tc>
        <w:tc>
          <w:tcPr>
            <w:tcW w:w="709" w:type="dxa"/>
            <w:tcBorders>
              <w:top w:val="single" w:sz="8" w:space="0" w:color="auto"/>
              <w:left w:val="nil"/>
              <w:bottom w:val="single" w:sz="8" w:space="0" w:color="auto"/>
              <w:right w:val="single" w:sz="4" w:space="0" w:color="auto"/>
            </w:tcBorders>
            <w:shd w:val="clear" w:color="auto" w:fill="auto"/>
            <w:noWrap/>
          </w:tcPr>
          <w:p w14:paraId="64E32CD5" w14:textId="3F25D304" w:rsidR="00474F3B" w:rsidRPr="00474F3B" w:rsidRDefault="40B3576B" w:rsidP="40B3576B">
            <w:pPr>
              <w:spacing w:after="0"/>
              <w:jc w:val="center"/>
              <w:rPr>
                <w:b/>
                <w:bCs/>
                <w:sz w:val="20"/>
              </w:rPr>
            </w:pPr>
            <w:r w:rsidRPr="40B3576B">
              <w:rPr>
                <w:b/>
                <w:bCs/>
                <w:sz w:val="20"/>
              </w:rPr>
              <w:t>2,1</w:t>
            </w:r>
          </w:p>
        </w:tc>
        <w:tc>
          <w:tcPr>
            <w:tcW w:w="867" w:type="dxa"/>
            <w:tcBorders>
              <w:top w:val="single" w:sz="8" w:space="0" w:color="auto"/>
              <w:left w:val="nil"/>
              <w:bottom w:val="single" w:sz="8" w:space="0" w:color="auto"/>
              <w:right w:val="single" w:sz="8" w:space="0" w:color="auto"/>
            </w:tcBorders>
            <w:shd w:val="clear" w:color="auto" w:fill="auto"/>
            <w:noWrap/>
          </w:tcPr>
          <w:p w14:paraId="7A3BDED0" w14:textId="5BDE5885" w:rsidR="00474F3B" w:rsidRPr="00474F3B" w:rsidRDefault="40B3576B" w:rsidP="40B3576B">
            <w:pPr>
              <w:spacing w:after="0"/>
              <w:jc w:val="center"/>
              <w:rPr>
                <w:b/>
                <w:bCs/>
                <w:sz w:val="20"/>
              </w:rPr>
            </w:pPr>
            <w:r w:rsidRPr="40B3576B">
              <w:rPr>
                <w:b/>
                <w:bCs/>
                <w:sz w:val="20"/>
              </w:rPr>
              <w:t>100,5</w:t>
            </w:r>
          </w:p>
        </w:tc>
      </w:tr>
    </w:tbl>
    <w:p w14:paraId="10743248" w14:textId="77777777" w:rsidR="001E4959" w:rsidRDefault="001E4959" w:rsidP="00F9316E">
      <w:pPr>
        <w:spacing w:after="0" w:line="259" w:lineRule="auto"/>
      </w:pPr>
    </w:p>
    <w:p w14:paraId="4FF6FA27" w14:textId="5519D312" w:rsidR="0072669E" w:rsidRPr="00055D3F" w:rsidRDefault="00575EFE" w:rsidP="40B3576B">
      <w:pPr>
        <w:spacing w:before="240"/>
        <w:rPr>
          <w:b/>
          <w:bCs/>
        </w:rPr>
      </w:pPr>
      <w:r w:rsidRPr="00575EFE">
        <w:t>A dohánytermékek utáni bevételek emelkedésének hátterében elsősorban az adómérték</w:t>
      </w:r>
      <w:r w:rsidR="000C1AA1">
        <w:t>-</w:t>
      </w:r>
      <w:r w:rsidRPr="00575EFE">
        <w:t>emelés áll. A</w:t>
      </w:r>
      <w:r w:rsidR="001706AA">
        <w:t>z</w:t>
      </w:r>
      <w:r w:rsidRPr="00575EFE">
        <w:t xml:space="preserve"> egyéb termékek esetében a bevételek csökkenésének hátterében a népegészségügyi termékadót érintő</w:t>
      </w:r>
      <w:r w:rsidR="00D40A0C">
        <w:t>,</w:t>
      </w:r>
      <w:r w:rsidRPr="00575EFE">
        <w:t xml:space="preserve"> 2019-től életbe lépő változásokhoz köthető készletezési hatás, valamint a bázisévi hónapokban tapasztalható forgalomcsökkenés áll. Az üzemanyagok utáni bevétel csökkenését elsősorban az alacsonyabb üzemanyag</w:t>
      </w:r>
      <w:r w:rsidR="00D40A0C">
        <w:t>-</w:t>
      </w:r>
      <w:r w:rsidRPr="00575EFE">
        <w:t xml:space="preserve">forgalom indokolja. </w:t>
      </w:r>
    </w:p>
    <w:p w14:paraId="63D96AEE" w14:textId="048926A9" w:rsidR="007B272A" w:rsidRPr="007B272A" w:rsidRDefault="40B3576B" w:rsidP="007B272A">
      <w:r>
        <w:t xml:space="preserve">A </w:t>
      </w:r>
      <w:r w:rsidRPr="40B3576B">
        <w:rPr>
          <w:b/>
          <w:bCs/>
        </w:rPr>
        <w:t>személyi jövedelemadó</w:t>
      </w:r>
      <w:r>
        <w:t xml:space="preserve"> államháztartási szintű bevétele az év első öt hónapjában 1051,4 milliárd forint volt, amely 66,</w:t>
      </w:r>
      <w:r w:rsidR="00CA34E1">
        <w:t>7</w:t>
      </w:r>
      <w:r>
        <w:t xml:space="preserve">  milliárd forinttal magasabb az egy évvel korábbi összegnél. A bázisidőszaktól való eltérés oka a magasabb bérkiáramlás miatti befizetésnövekedés. </w:t>
      </w:r>
      <w:r w:rsidR="00BA4AF7" w:rsidRPr="00BA4AF7">
        <w:t>A koronavírus</w:t>
      </w:r>
      <w:r w:rsidR="00820987">
        <w:t>-</w:t>
      </w:r>
      <w:r w:rsidR="00BA4AF7" w:rsidRPr="00BA4AF7">
        <w:t>járvány negatív gazdasági hatásai már második hónapja jelentkeznek a pénzforgalmi adatokban.</w:t>
      </w:r>
    </w:p>
    <w:p w14:paraId="64BFF731" w14:textId="306A3E06" w:rsidR="00880623" w:rsidRDefault="00880623" w:rsidP="00F9316E">
      <w:pPr>
        <w:spacing w:after="0" w:line="259" w:lineRule="auto"/>
      </w:pPr>
    </w:p>
    <w:tbl>
      <w:tblPr>
        <w:tblW w:w="5620" w:type="dxa"/>
        <w:jc w:val="center"/>
        <w:tblCellMar>
          <w:left w:w="70" w:type="dxa"/>
          <w:right w:w="70" w:type="dxa"/>
        </w:tblCellMar>
        <w:tblLook w:val="04A0" w:firstRow="1" w:lastRow="0" w:firstColumn="1" w:lastColumn="0" w:noHBand="0" w:noVBand="1"/>
      </w:tblPr>
      <w:tblGrid>
        <w:gridCol w:w="1434"/>
        <w:gridCol w:w="1274"/>
        <w:gridCol w:w="1274"/>
        <w:gridCol w:w="947"/>
        <w:gridCol w:w="691"/>
      </w:tblGrid>
      <w:tr w:rsidR="003F1341" w:rsidRPr="003F1341" w14:paraId="5DA149F4" w14:textId="77777777" w:rsidTr="40B3576B">
        <w:trPr>
          <w:trHeight w:val="270"/>
          <w:jc w:val="center"/>
        </w:trPr>
        <w:tc>
          <w:tcPr>
            <w:tcW w:w="5620" w:type="dxa"/>
            <w:gridSpan w:val="5"/>
            <w:tcBorders>
              <w:top w:val="nil"/>
              <w:left w:val="nil"/>
              <w:bottom w:val="nil"/>
              <w:right w:val="nil"/>
            </w:tcBorders>
            <w:shd w:val="clear" w:color="auto" w:fill="auto"/>
            <w:noWrap/>
            <w:vAlign w:val="bottom"/>
            <w:hideMark/>
          </w:tcPr>
          <w:p w14:paraId="3701DDA8" w14:textId="77777777" w:rsidR="003F1341" w:rsidRPr="003F1341" w:rsidRDefault="40B3576B" w:rsidP="40B3576B">
            <w:pPr>
              <w:spacing w:before="120"/>
              <w:jc w:val="center"/>
              <w:rPr>
                <w:b/>
                <w:bCs/>
                <w:color w:val="000000" w:themeColor="text1"/>
                <w:sz w:val="20"/>
              </w:rPr>
            </w:pPr>
            <w:r w:rsidRPr="40B3576B">
              <w:rPr>
                <w:b/>
                <w:bCs/>
                <w:color w:val="000000" w:themeColor="text1"/>
                <w:sz w:val="20"/>
              </w:rPr>
              <w:t>Személyi jövedelemadó bevétel alakulása (milliárd forint)</w:t>
            </w:r>
          </w:p>
        </w:tc>
      </w:tr>
      <w:tr w:rsidR="003F1341" w:rsidRPr="003F1341" w14:paraId="28FCE067" w14:textId="77777777" w:rsidTr="40B3576B">
        <w:trPr>
          <w:trHeight w:val="450"/>
          <w:jc w:val="center"/>
        </w:trPr>
        <w:tc>
          <w:tcPr>
            <w:tcW w:w="1434"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65D9E31" w14:textId="77777777" w:rsidR="003F1341" w:rsidRPr="003F1341" w:rsidRDefault="40B3576B" w:rsidP="40B3576B">
            <w:pPr>
              <w:spacing w:after="0"/>
              <w:jc w:val="center"/>
              <w:rPr>
                <w:b/>
                <w:bCs/>
                <w:color w:val="000000" w:themeColor="text1"/>
                <w:sz w:val="20"/>
              </w:rPr>
            </w:pPr>
            <w:r w:rsidRPr="40B3576B">
              <w:rPr>
                <w:b/>
                <w:bCs/>
                <w:color w:val="000000" w:themeColor="text1"/>
                <w:sz w:val="20"/>
              </w:rPr>
              <w:t>Megnevezés</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308A9D09" w14:textId="13B49A28" w:rsidR="003F1341" w:rsidRPr="003F1341" w:rsidRDefault="40B3576B" w:rsidP="40B3576B">
            <w:pPr>
              <w:spacing w:after="0"/>
              <w:jc w:val="center"/>
              <w:rPr>
                <w:b/>
                <w:bCs/>
                <w:sz w:val="20"/>
              </w:rPr>
            </w:pPr>
            <w:r w:rsidRPr="40B3576B">
              <w:rPr>
                <w:b/>
                <w:bCs/>
                <w:sz w:val="20"/>
              </w:rPr>
              <w:t>2019.</w:t>
            </w:r>
            <w:r w:rsidR="5B83E8AE">
              <w:br/>
            </w:r>
            <w:r w:rsidRPr="40B3576B">
              <w:rPr>
                <w:b/>
                <w:bCs/>
                <w:sz w:val="20"/>
              </w:rPr>
              <w:t>I-V. hó</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50B736F0" w14:textId="36208E50" w:rsidR="003F1341" w:rsidRPr="003F1341" w:rsidRDefault="40B3576B" w:rsidP="40B3576B">
            <w:pPr>
              <w:spacing w:after="0"/>
              <w:jc w:val="center"/>
              <w:rPr>
                <w:b/>
                <w:bCs/>
                <w:sz w:val="20"/>
              </w:rPr>
            </w:pPr>
            <w:r w:rsidRPr="40B3576B">
              <w:rPr>
                <w:b/>
                <w:bCs/>
                <w:sz w:val="20"/>
              </w:rPr>
              <w:t>2020.</w:t>
            </w:r>
            <w:r w:rsidR="5B83E8AE">
              <w:br/>
            </w:r>
            <w:r w:rsidRPr="40B3576B">
              <w:rPr>
                <w:b/>
                <w:bCs/>
                <w:sz w:val="20"/>
              </w:rPr>
              <w:t>I-V. hó</w:t>
            </w:r>
          </w:p>
        </w:tc>
        <w:tc>
          <w:tcPr>
            <w:tcW w:w="1638" w:type="dxa"/>
            <w:gridSpan w:val="2"/>
            <w:tcBorders>
              <w:top w:val="single" w:sz="8" w:space="0" w:color="auto"/>
              <w:left w:val="single" w:sz="4" w:space="0" w:color="auto"/>
              <w:bottom w:val="single" w:sz="4" w:space="0" w:color="auto"/>
              <w:right w:val="single" w:sz="8" w:space="0" w:color="000000" w:themeColor="text1"/>
            </w:tcBorders>
            <w:shd w:val="clear" w:color="auto" w:fill="auto"/>
            <w:noWrap/>
            <w:vAlign w:val="center"/>
            <w:hideMark/>
          </w:tcPr>
          <w:p w14:paraId="1FC378C5" w14:textId="77777777" w:rsidR="003F1341" w:rsidRPr="003F1341" w:rsidRDefault="40B3576B" w:rsidP="40B3576B">
            <w:pPr>
              <w:spacing w:after="0"/>
              <w:jc w:val="center"/>
              <w:rPr>
                <w:b/>
                <w:bCs/>
                <w:color w:val="000000" w:themeColor="text1"/>
                <w:sz w:val="20"/>
              </w:rPr>
            </w:pPr>
            <w:r w:rsidRPr="40B3576B">
              <w:rPr>
                <w:b/>
                <w:bCs/>
                <w:color w:val="000000" w:themeColor="text1"/>
                <w:sz w:val="20"/>
              </w:rPr>
              <w:t>Eltérés</w:t>
            </w:r>
          </w:p>
        </w:tc>
      </w:tr>
      <w:tr w:rsidR="003F1341" w:rsidRPr="003F1341" w14:paraId="04B141FD" w14:textId="77777777" w:rsidTr="40B3576B">
        <w:trPr>
          <w:trHeight w:val="690"/>
          <w:jc w:val="center"/>
        </w:trPr>
        <w:tc>
          <w:tcPr>
            <w:tcW w:w="1434" w:type="dxa"/>
            <w:vMerge/>
            <w:tcBorders>
              <w:top w:val="single" w:sz="8" w:space="0" w:color="auto"/>
              <w:left w:val="single" w:sz="8" w:space="0" w:color="auto"/>
              <w:bottom w:val="single" w:sz="8" w:space="0" w:color="000000"/>
              <w:right w:val="single" w:sz="8" w:space="0" w:color="auto"/>
            </w:tcBorders>
            <w:vAlign w:val="center"/>
            <w:hideMark/>
          </w:tcPr>
          <w:p w14:paraId="0839AA29" w14:textId="77777777" w:rsidR="003F1341" w:rsidRPr="003F1341" w:rsidRDefault="003F1341" w:rsidP="003F1341">
            <w:pPr>
              <w:spacing w:after="0"/>
              <w:jc w:val="left"/>
              <w:rPr>
                <w:b/>
                <w:bCs/>
                <w:color w:val="000000"/>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27419919" w14:textId="77777777" w:rsidR="003F1341" w:rsidRPr="003F1341" w:rsidRDefault="003F1341" w:rsidP="003F1341">
            <w:pPr>
              <w:spacing w:after="0"/>
              <w:jc w:val="left"/>
              <w:rPr>
                <w:b/>
                <w:bCs/>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1A9B2262" w14:textId="77777777" w:rsidR="003F1341" w:rsidRPr="003F1341" w:rsidRDefault="003F1341" w:rsidP="003F1341">
            <w:pPr>
              <w:spacing w:after="0"/>
              <w:jc w:val="left"/>
              <w:rPr>
                <w:b/>
                <w:bCs/>
                <w:sz w:val="20"/>
              </w:rPr>
            </w:pPr>
          </w:p>
        </w:tc>
        <w:tc>
          <w:tcPr>
            <w:tcW w:w="947" w:type="dxa"/>
            <w:tcBorders>
              <w:top w:val="nil"/>
              <w:left w:val="single" w:sz="4" w:space="0" w:color="auto"/>
              <w:bottom w:val="single" w:sz="8" w:space="0" w:color="auto"/>
              <w:right w:val="single" w:sz="4" w:space="0" w:color="auto"/>
            </w:tcBorders>
            <w:shd w:val="clear" w:color="auto" w:fill="auto"/>
            <w:noWrap/>
            <w:vAlign w:val="center"/>
            <w:hideMark/>
          </w:tcPr>
          <w:p w14:paraId="4C82DC52" w14:textId="77777777" w:rsidR="003F1341" w:rsidRPr="003F1341" w:rsidRDefault="40B3576B" w:rsidP="40B3576B">
            <w:pPr>
              <w:spacing w:after="0"/>
              <w:jc w:val="center"/>
              <w:rPr>
                <w:b/>
                <w:bCs/>
                <w:color w:val="000000" w:themeColor="text1"/>
                <w:sz w:val="20"/>
              </w:rPr>
            </w:pPr>
            <w:r w:rsidRPr="40B3576B">
              <w:rPr>
                <w:b/>
                <w:bCs/>
                <w:color w:val="000000" w:themeColor="text1"/>
                <w:sz w:val="20"/>
              </w:rPr>
              <w:t>Mrd Ft</w:t>
            </w:r>
          </w:p>
        </w:tc>
        <w:tc>
          <w:tcPr>
            <w:tcW w:w="691" w:type="dxa"/>
            <w:tcBorders>
              <w:top w:val="nil"/>
              <w:left w:val="nil"/>
              <w:bottom w:val="single" w:sz="8" w:space="0" w:color="auto"/>
              <w:right w:val="single" w:sz="8" w:space="0" w:color="auto"/>
            </w:tcBorders>
            <w:shd w:val="clear" w:color="auto" w:fill="auto"/>
            <w:noWrap/>
            <w:vAlign w:val="center"/>
            <w:hideMark/>
          </w:tcPr>
          <w:p w14:paraId="534B2402" w14:textId="77777777" w:rsidR="003F1341" w:rsidRPr="003F1341" w:rsidRDefault="40B3576B" w:rsidP="40B3576B">
            <w:pPr>
              <w:spacing w:after="0"/>
              <w:jc w:val="center"/>
              <w:rPr>
                <w:b/>
                <w:bCs/>
                <w:color w:val="000000" w:themeColor="text1"/>
                <w:sz w:val="20"/>
              </w:rPr>
            </w:pPr>
            <w:r w:rsidRPr="40B3576B">
              <w:rPr>
                <w:b/>
                <w:bCs/>
                <w:color w:val="000000" w:themeColor="text1"/>
                <w:sz w:val="20"/>
              </w:rPr>
              <w:t>%</w:t>
            </w:r>
          </w:p>
        </w:tc>
      </w:tr>
      <w:tr w:rsidR="00474F3B" w:rsidRPr="003F1341" w14:paraId="3312DFB3" w14:textId="77777777" w:rsidTr="40B3576B">
        <w:trPr>
          <w:trHeight w:val="270"/>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1F3D318C" w14:textId="77777777" w:rsidR="00474F3B" w:rsidRPr="003F1341" w:rsidRDefault="40B3576B" w:rsidP="40B3576B">
            <w:pPr>
              <w:spacing w:after="0"/>
              <w:jc w:val="center"/>
              <w:rPr>
                <w:b/>
                <w:bCs/>
                <w:sz w:val="20"/>
              </w:rPr>
            </w:pPr>
            <w:r w:rsidRPr="40B3576B">
              <w:rPr>
                <w:b/>
                <w:bCs/>
                <w:sz w:val="20"/>
              </w:rPr>
              <w:t>Befizetés</w:t>
            </w:r>
          </w:p>
        </w:tc>
        <w:tc>
          <w:tcPr>
            <w:tcW w:w="1274" w:type="dxa"/>
            <w:tcBorders>
              <w:top w:val="nil"/>
              <w:left w:val="nil"/>
              <w:bottom w:val="single" w:sz="4" w:space="0" w:color="auto"/>
              <w:right w:val="single" w:sz="8" w:space="0" w:color="auto"/>
            </w:tcBorders>
            <w:shd w:val="clear" w:color="auto" w:fill="auto"/>
            <w:noWrap/>
          </w:tcPr>
          <w:p w14:paraId="09A288E7" w14:textId="1772FFF5" w:rsidR="00474F3B" w:rsidRPr="00474F3B" w:rsidRDefault="40B3576B" w:rsidP="40B3576B">
            <w:pPr>
              <w:spacing w:after="0"/>
              <w:jc w:val="right"/>
              <w:rPr>
                <w:sz w:val="20"/>
              </w:rPr>
            </w:pPr>
            <w:r w:rsidRPr="40B3576B">
              <w:rPr>
                <w:sz w:val="20"/>
              </w:rPr>
              <w:t>1 063,7</w:t>
            </w:r>
          </w:p>
        </w:tc>
        <w:tc>
          <w:tcPr>
            <w:tcW w:w="1274" w:type="dxa"/>
            <w:tcBorders>
              <w:top w:val="nil"/>
              <w:left w:val="nil"/>
              <w:bottom w:val="single" w:sz="4" w:space="0" w:color="auto"/>
              <w:right w:val="nil"/>
            </w:tcBorders>
            <w:shd w:val="clear" w:color="auto" w:fill="auto"/>
            <w:noWrap/>
          </w:tcPr>
          <w:p w14:paraId="3B6AAC82" w14:textId="62701873" w:rsidR="00474F3B" w:rsidRPr="00474F3B" w:rsidRDefault="40B3576B" w:rsidP="40B3576B">
            <w:pPr>
              <w:spacing w:after="0"/>
              <w:jc w:val="right"/>
              <w:rPr>
                <w:sz w:val="20"/>
              </w:rPr>
            </w:pPr>
            <w:r w:rsidRPr="40B3576B">
              <w:rPr>
                <w:sz w:val="20"/>
              </w:rPr>
              <w:t>1 139,3</w:t>
            </w:r>
          </w:p>
        </w:tc>
        <w:tc>
          <w:tcPr>
            <w:tcW w:w="947" w:type="dxa"/>
            <w:tcBorders>
              <w:top w:val="nil"/>
              <w:left w:val="single" w:sz="8" w:space="0" w:color="auto"/>
              <w:bottom w:val="single" w:sz="4" w:space="0" w:color="auto"/>
              <w:right w:val="single" w:sz="4" w:space="0" w:color="auto"/>
            </w:tcBorders>
            <w:shd w:val="clear" w:color="auto" w:fill="auto"/>
            <w:noWrap/>
          </w:tcPr>
          <w:p w14:paraId="0668BF9C" w14:textId="6146C86C" w:rsidR="00474F3B" w:rsidRPr="00474F3B" w:rsidRDefault="40B3576B" w:rsidP="40B3576B">
            <w:pPr>
              <w:spacing w:after="0"/>
              <w:jc w:val="right"/>
              <w:rPr>
                <w:sz w:val="20"/>
              </w:rPr>
            </w:pPr>
            <w:r w:rsidRPr="40B3576B">
              <w:rPr>
                <w:sz w:val="20"/>
              </w:rPr>
              <w:t>75,6</w:t>
            </w:r>
          </w:p>
        </w:tc>
        <w:tc>
          <w:tcPr>
            <w:tcW w:w="691" w:type="dxa"/>
            <w:tcBorders>
              <w:top w:val="nil"/>
              <w:left w:val="nil"/>
              <w:bottom w:val="single" w:sz="4" w:space="0" w:color="auto"/>
              <w:right w:val="single" w:sz="8" w:space="0" w:color="auto"/>
            </w:tcBorders>
            <w:shd w:val="clear" w:color="auto" w:fill="auto"/>
            <w:noWrap/>
          </w:tcPr>
          <w:p w14:paraId="7B8B88FA" w14:textId="1E1EA3B0" w:rsidR="00474F3B" w:rsidRPr="00474F3B" w:rsidRDefault="40B3576B" w:rsidP="40B3576B">
            <w:pPr>
              <w:spacing w:after="0"/>
              <w:jc w:val="right"/>
              <w:rPr>
                <w:color w:val="000000" w:themeColor="text1"/>
                <w:sz w:val="20"/>
              </w:rPr>
            </w:pPr>
            <w:r w:rsidRPr="40B3576B">
              <w:rPr>
                <w:sz w:val="20"/>
              </w:rPr>
              <w:t>107,1</w:t>
            </w:r>
          </w:p>
        </w:tc>
      </w:tr>
      <w:tr w:rsidR="00474F3B" w:rsidRPr="003F1341" w14:paraId="77B87138" w14:textId="77777777" w:rsidTr="40B3576B">
        <w:trPr>
          <w:trHeight w:val="285"/>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761C99AF" w14:textId="77777777" w:rsidR="00474F3B" w:rsidRPr="003F1341" w:rsidRDefault="40B3576B" w:rsidP="40B3576B">
            <w:pPr>
              <w:spacing w:after="0"/>
              <w:jc w:val="center"/>
              <w:rPr>
                <w:b/>
                <w:bCs/>
                <w:sz w:val="20"/>
              </w:rPr>
            </w:pPr>
            <w:r w:rsidRPr="40B3576B">
              <w:rPr>
                <w:b/>
                <w:bCs/>
                <w:sz w:val="20"/>
              </w:rPr>
              <w:t>Kiutalás</w:t>
            </w:r>
          </w:p>
        </w:tc>
        <w:tc>
          <w:tcPr>
            <w:tcW w:w="1274" w:type="dxa"/>
            <w:tcBorders>
              <w:top w:val="nil"/>
              <w:left w:val="nil"/>
              <w:bottom w:val="single" w:sz="4" w:space="0" w:color="auto"/>
              <w:right w:val="single" w:sz="8" w:space="0" w:color="auto"/>
            </w:tcBorders>
            <w:shd w:val="clear" w:color="auto" w:fill="auto"/>
            <w:noWrap/>
          </w:tcPr>
          <w:p w14:paraId="4240CF9A" w14:textId="770BD714" w:rsidR="00474F3B" w:rsidRPr="00474F3B" w:rsidRDefault="40B3576B" w:rsidP="009A6089">
            <w:pPr>
              <w:spacing w:after="0"/>
              <w:jc w:val="right"/>
              <w:rPr>
                <w:sz w:val="20"/>
              </w:rPr>
            </w:pPr>
            <w:r w:rsidRPr="40B3576B">
              <w:rPr>
                <w:sz w:val="20"/>
              </w:rPr>
              <w:t>79,</w:t>
            </w:r>
            <w:r w:rsidR="009A6089">
              <w:rPr>
                <w:sz w:val="20"/>
              </w:rPr>
              <w:t>0</w:t>
            </w:r>
          </w:p>
        </w:tc>
        <w:tc>
          <w:tcPr>
            <w:tcW w:w="1274" w:type="dxa"/>
            <w:tcBorders>
              <w:top w:val="nil"/>
              <w:left w:val="nil"/>
              <w:bottom w:val="single" w:sz="4" w:space="0" w:color="auto"/>
              <w:right w:val="nil"/>
            </w:tcBorders>
            <w:shd w:val="clear" w:color="auto" w:fill="auto"/>
            <w:noWrap/>
          </w:tcPr>
          <w:p w14:paraId="4B69188B" w14:textId="44F4E0ED" w:rsidR="00474F3B" w:rsidRPr="00474F3B" w:rsidRDefault="40B3576B" w:rsidP="40B3576B">
            <w:pPr>
              <w:spacing w:after="0"/>
              <w:jc w:val="right"/>
              <w:rPr>
                <w:sz w:val="20"/>
              </w:rPr>
            </w:pPr>
            <w:r w:rsidRPr="40B3576B">
              <w:rPr>
                <w:sz w:val="20"/>
              </w:rPr>
              <w:t>87,9</w:t>
            </w:r>
          </w:p>
        </w:tc>
        <w:tc>
          <w:tcPr>
            <w:tcW w:w="947" w:type="dxa"/>
            <w:tcBorders>
              <w:top w:val="nil"/>
              <w:left w:val="single" w:sz="8" w:space="0" w:color="auto"/>
              <w:bottom w:val="single" w:sz="4" w:space="0" w:color="auto"/>
              <w:right w:val="single" w:sz="4" w:space="0" w:color="auto"/>
            </w:tcBorders>
            <w:shd w:val="clear" w:color="auto" w:fill="auto"/>
            <w:noWrap/>
          </w:tcPr>
          <w:p w14:paraId="19DF5EEB" w14:textId="4FC95138" w:rsidR="00474F3B" w:rsidRPr="00474F3B" w:rsidRDefault="40B3576B" w:rsidP="004536A0">
            <w:pPr>
              <w:spacing w:after="0"/>
              <w:jc w:val="right"/>
              <w:rPr>
                <w:sz w:val="20"/>
              </w:rPr>
            </w:pPr>
            <w:r w:rsidRPr="40B3576B">
              <w:rPr>
                <w:sz w:val="20"/>
              </w:rPr>
              <w:t>8,</w:t>
            </w:r>
            <w:r w:rsidR="004536A0">
              <w:rPr>
                <w:sz w:val="20"/>
              </w:rPr>
              <w:t>9</w:t>
            </w:r>
          </w:p>
        </w:tc>
        <w:tc>
          <w:tcPr>
            <w:tcW w:w="691" w:type="dxa"/>
            <w:tcBorders>
              <w:top w:val="nil"/>
              <w:left w:val="nil"/>
              <w:bottom w:val="single" w:sz="4" w:space="0" w:color="auto"/>
              <w:right w:val="single" w:sz="8" w:space="0" w:color="auto"/>
            </w:tcBorders>
            <w:shd w:val="clear" w:color="auto" w:fill="auto"/>
            <w:noWrap/>
          </w:tcPr>
          <w:p w14:paraId="29492FB8" w14:textId="12543AED" w:rsidR="00474F3B" w:rsidRPr="00474F3B" w:rsidRDefault="40B3576B" w:rsidP="008671CB">
            <w:pPr>
              <w:spacing w:after="0"/>
              <w:jc w:val="right"/>
              <w:rPr>
                <w:color w:val="000000" w:themeColor="text1"/>
                <w:sz w:val="20"/>
              </w:rPr>
            </w:pPr>
            <w:r w:rsidRPr="40B3576B">
              <w:rPr>
                <w:sz w:val="20"/>
              </w:rPr>
              <w:t>111,</w:t>
            </w:r>
            <w:r w:rsidR="008671CB">
              <w:rPr>
                <w:sz w:val="20"/>
              </w:rPr>
              <w:t>3</w:t>
            </w:r>
          </w:p>
        </w:tc>
      </w:tr>
      <w:tr w:rsidR="00474F3B" w:rsidRPr="00474F3B" w14:paraId="4DC8FA19" w14:textId="77777777" w:rsidTr="40B3576B">
        <w:trPr>
          <w:trHeight w:val="270"/>
          <w:jc w:val="center"/>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14:paraId="79DC6734" w14:textId="3151CAE9" w:rsidR="00474F3B" w:rsidRPr="003F1341" w:rsidRDefault="40B3576B" w:rsidP="40B3576B">
            <w:pPr>
              <w:spacing w:after="0"/>
              <w:jc w:val="center"/>
              <w:rPr>
                <w:b/>
                <w:bCs/>
                <w:sz w:val="20"/>
              </w:rPr>
            </w:pPr>
            <w:r w:rsidRPr="40B3576B">
              <w:rPr>
                <w:b/>
                <w:bCs/>
                <w:sz w:val="20"/>
              </w:rPr>
              <w:t>Egyenleg</w:t>
            </w:r>
          </w:p>
        </w:tc>
        <w:tc>
          <w:tcPr>
            <w:tcW w:w="1274" w:type="dxa"/>
            <w:tcBorders>
              <w:top w:val="nil"/>
              <w:left w:val="nil"/>
              <w:bottom w:val="single" w:sz="8" w:space="0" w:color="auto"/>
              <w:right w:val="single" w:sz="8" w:space="0" w:color="auto"/>
            </w:tcBorders>
            <w:shd w:val="clear" w:color="auto" w:fill="auto"/>
            <w:noWrap/>
          </w:tcPr>
          <w:p w14:paraId="17702B75" w14:textId="7217A6AE" w:rsidR="00474F3B" w:rsidRPr="00474F3B" w:rsidRDefault="40B3576B" w:rsidP="40B3576B">
            <w:pPr>
              <w:spacing w:after="0"/>
              <w:jc w:val="right"/>
              <w:rPr>
                <w:b/>
                <w:bCs/>
                <w:sz w:val="20"/>
              </w:rPr>
            </w:pPr>
            <w:r w:rsidRPr="40B3576B">
              <w:rPr>
                <w:b/>
                <w:bCs/>
                <w:sz w:val="20"/>
              </w:rPr>
              <w:t>984,7</w:t>
            </w:r>
          </w:p>
        </w:tc>
        <w:tc>
          <w:tcPr>
            <w:tcW w:w="1274" w:type="dxa"/>
            <w:tcBorders>
              <w:top w:val="nil"/>
              <w:left w:val="nil"/>
              <w:bottom w:val="single" w:sz="8" w:space="0" w:color="auto"/>
              <w:right w:val="nil"/>
            </w:tcBorders>
            <w:shd w:val="clear" w:color="auto" w:fill="auto"/>
            <w:noWrap/>
          </w:tcPr>
          <w:p w14:paraId="453FDAD4" w14:textId="2776E5BF" w:rsidR="00474F3B" w:rsidRPr="00474F3B" w:rsidRDefault="40B3576B" w:rsidP="40B3576B">
            <w:pPr>
              <w:spacing w:after="0"/>
              <w:jc w:val="right"/>
              <w:rPr>
                <w:b/>
                <w:bCs/>
                <w:sz w:val="20"/>
              </w:rPr>
            </w:pPr>
            <w:r w:rsidRPr="40B3576B">
              <w:rPr>
                <w:b/>
                <w:bCs/>
                <w:sz w:val="20"/>
              </w:rPr>
              <w:t>1 051,4</w:t>
            </w:r>
          </w:p>
        </w:tc>
        <w:tc>
          <w:tcPr>
            <w:tcW w:w="947" w:type="dxa"/>
            <w:tcBorders>
              <w:top w:val="nil"/>
              <w:left w:val="single" w:sz="8" w:space="0" w:color="auto"/>
              <w:bottom w:val="single" w:sz="8" w:space="0" w:color="auto"/>
              <w:right w:val="single" w:sz="4" w:space="0" w:color="auto"/>
            </w:tcBorders>
            <w:shd w:val="clear" w:color="auto" w:fill="auto"/>
            <w:noWrap/>
          </w:tcPr>
          <w:p w14:paraId="3DBAE11D" w14:textId="4E8C53DB" w:rsidR="00474F3B" w:rsidRPr="00474F3B" w:rsidRDefault="40B3576B" w:rsidP="004536A0">
            <w:pPr>
              <w:spacing w:after="0"/>
              <w:jc w:val="right"/>
              <w:rPr>
                <w:b/>
                <w:bCs/>
                <w:sz w:val="20"/>
              </w:rPr>
            </w:pPr>
            <w:r w:rsidRPr="40B3576B">
              <w:rPr>
                <w:b/>
                <w:bCs/>
                <w:sz w:val="20"/>
              </w:rPr>
              <w:t>66,</w:t>
            </w:r>
            <w:r w:rsidR="004536A0">
              <w:rPr>
                <w:b/>
                <w:bCs/>
                <w:sz w:val="20"/>
              </w:rPr>
              <w:t>7</w:t>
            </w:r>
          </w:p>
        </w:tc>
        <w:tc>
          <w:tcPr>
            <w:tcW w:w="691" w:type="dxa"/>
            <w:tcBorders>
              <w:top w:val="nil"/>
              <w:left w:val="nil"/>
              <w:bottom w:val="single" w:sz="8" w:space="0" w:color="auto"/>
              <w:right w:val="single" w:sz="8" w:space="0" w:color="auto"/>
            </w:tcBorders>
            <w:shd w:val="clear" w:color="auto" w:fill="auto"/>
            <w:noWrap/>
          </w:tcPr>
          <w:p w14:paraId="455AF72B" w14:textId="70826E03" w:rsidR="00474F3B" w:rsidRPr="00474F3B" w:rsidRDefault="40B3576B" w:rsidP="40B3576B">
            <w:pPr>
              <w:spacing w:after="0"/>
              <w:jc w:val="right"/>
              <w:rPr>
                <w:b/>
                <w:bCs/>
                <w:color w:val="000000" w:themeColor="text1"/>
                <w:sz w:val="20"/>
              </w:rPr>
            </w:pPr>
            <w:r w:rsidRPr="40B3576B">
              <w:rPr>
                <w:b/>
                <w:bCs/>
                <w:sz w:val="20"/>
              </w:rPr>
              <w:t>106,8</w:t>
            </w:r>
          </w:p>
        </w:tc>
      </w:tr>
    </w:tbl>
    <w:p w14:paraId="27EF02E4" w14:textId="79AEF943" w:rsidR="00FC780F" w:rsidRDefault="00FC780F" w:rsidP="00A9031A">
      <w:pPr>
        <w:spacing w:after="0"/>
        <w:rPr>
          <w:szCs w:val="26"/>
        </w:rPr>
      </w:pPr>
    </w:p>
    <w:p w14:paraId="489D829D" w14:textId="77777777" w:rsidR="000353E7" w:rsidRDefault="000353E7" w:rsidP="00A9031A">
      <w:pPr>
        <w:spacing w:after="0"/>
        <w:rPr>
          <w:szCs w:val="26"/>
        </w:rPr>
      </w:pPr>
    </w:p>
    <w:p w14:paraId="778D8461" w14:textId="77777777" w:rsidR="007F09AF" w:rsidRPr="007F09AF" w:rsidRDefault="40B3576B" w:rsidP="40B3576B">
      <w:pPr>
        <w:rPr>
          <w:rFonts w:cs="Tahoma"/>
          <w:color w:val="000000" w:themeColor="text1"/>
        </w:rPr>
      </w:pPr>
      <w:r w:rsidRPr="40B3576B">
        <w:rPr>
          <w:rFonts w:cs="Tahoma"/>
          <w:color w:val="000000" w:themeColor="text1"/>
        </w:rPr>
        <w:t>A „</w:t>
      </w:r>
      <w:r w:rsidRPr="40B3576B">
        <w:rPr>
          <w:rFonts w:cs="Tahoma"/>
          <w:b/>
          <w:bCs/>
          <w:color w:val="000000" w:themeColor="text1"/>
        </w:rPr>
        <w:t>Központi Maradványalapba történő befizetések</w:t>
      </w:r>
      <w:r w:rsidRPr="40B3576B">
        <w:rPr>
          <w:rFonts w:cs="Tahoma"/>
          <w:color w:val="000000" w:themeColor="text1"/>
        </w:rPr>
        <w:t>” mérlegsorra, a költségvetési szervek és a szakmai fejezeti kezelésű előirányzatok terhére 2020. május végéig összesen 302,8 milliárd forint maradvány került befizetésre, amely 43,0 </w:t>
      </w:r>
      <w:r>
        <w:t>milliárd forinttal több az egy évvel korábbi összegnél.</w:t>
      </w:r>
    </w:p>
    <w:p w14:paraId="34036852" w14:textId="5D969438" w:rsidR="40B3576B" w:rsidRDefault="40B3576B" w:rsidP="40B3576B">
      <w:r>
        <w:t xml:space="preserve">Az </w:t>
      </w:r>
      <w:r w:rsidRPr="40B3576B">
        <w:rPr>
          <w:b/>
          <w:bCs/>
        </w:rPr>
        <w:t>állami vagyonnal kapcsolatos befizetések</w:t>
      </w:r>
      <w:r>
        <w:t xml:space="preserve"> összege május végéig 17</w:t>
      </w:r>
      <w:r w:rsidR="00156230">
        <w:t>9</w:t>
      </w:r>
      <w:r>
        <w:t>,8</w:t>
      </w:r>
      <w:r w:rsidR="001B3E12">
        <w:t> </w:t>
      </w:r>
      <w:r>
        <w:t>milliárd forint volt, melynek meghatározó tételei a frekvenciahasznosítás</w:t>
      </w:r>
      <w:r w:rsidR="00ED1E68">
        <w:t>sal</w:t>
      </w:r>
      <w:r>
        <w:t xml:space="preserve"> kapcsolatos 128,5</w:t>
      </w:r>
      <w:r w:rsidR="001B3E12">
        <w:t> </w:t>
      </w:r>
      <w:r>
        <w:t>milliárd forintos összeg, a kvótaértékesítésből származó bevétel és az MNV Zrt. rábízott vagyonával kapcsolatos bevételek. A befizetések összetételét a következő diagram szemlélteti.</w:t>
      </w:r>
    </w:p>
    <w:p w14:paraId="5DFB8B32" w14:textId="2E941106" w:rsidR="006E1878" w:rsidRDefault="006E1878" w:rsidP="40B3576B">
      <w:r>
        <w:rPr>
          <w:noProof/>
        </w:rPr>
        <w:lastRenderedPageBreak/>
        <w:drawing>
          <wp:inline distT="0" distB="0" distL="0" distR="0" wp14:anchorId="015DE2E8" wp14:editId="180F84D4">
            <wp:extent cx="5940425" cy="3755390"/>
            <wp:effectExtent l="0" t="0" r="317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yon_befizetések.png"/>
                    <pic:cNvPicPr/>
                  </pic:nvPicPr>
                  <pic:blipFill>
                    <a:blip r:embed="rId17">
                      <a:extLst>
                        <a:ext uri="{28A0092B-C50C-407E-A947-70E740481C1C}">
                          <a14:useLocalDpi xmlns:a14="http://schemas.microsoft.com/office/drawing/2010/main" val="0"/>
                        </a:ext>
                      </a:extLst>
                    </a:blip>
                    <a:stretch>
                      <a:fillRect/>
                    </a:stretch>
                  </pic:blipFill>
                  <pic:spPr>
                    <a:xfrm>
                      <a:off x="0" y="0"/>
                      <a:ext cx="5940425" cy="3755390"/>
                    </a:xfrm>
                    <a:prstGeom prst="rect">
                      <a:avLst/>
                    </a:prstGeom>
                  </pic:spPr>
                </pic:pic>
              </a:graphicData>
            </a:graphic>
          </wp:inline>
        </w:drawing>
      </w:r>
    </w:p>
    <w:p w14:paraId="68155718" w14:textId="2ECEA4D0" w:rsidR="00896FA0" w:rsidRDefault="40B3576B" w:rsidP="7F7E3D1C">
      <w:pPr>
        <w:spacing w:before="240"/>
      </w:pPr>
      <w:r>
        <w:t xml:space="preserve">Az </w:t>
      </w:r>
      <w:r w:rsidRPr="40B3576B">
        <w:rPr>
          <w:b/>
          <w:bCs/>
        </w:rPr>
        <w:t>uniós bevételek</w:t>
      </w:r>
      <w:r>
        <w:t xml:space="preserve"> főszabály szerint a XLII. A költségvetés közvetlen bevételei és kiadásai fejezetbe érkeznek, ezek kimutatására szolgál az „Uniós programok bevételei” mérlegsor, valamint az „Egyéb uniós bevételek” mérlegsor.</w:t>
      </w:r>
    </w:p>
    <w:p w14:paraId="2A9A20D1" w14:textId="37537868" w:rsidR="7710508F" w:rsidRDefault="40B3576B" w:rsidP="59C21105">
      <w:pPr>
        <w:spacing w:before="240"/>
      </w:pPr>
      <w:r>
        <w:t>Az „</w:t>
      </w:r>
      <w:r w:rsidRPr="40B3576B">
        <w:rPr>
          <w:b/>
          <w:bCs/>
        </w:rPr>
        <w:t>Uniós programok bevételei</w:t>
      </w:r>
      <w:r>
        <w:t>” mérlegsoron 2020. első öt hónapjában 486,2 milliárd forint bevétel keletkezett. Ez az összeg az éves előirányzat 32,8%-át teszi ki.</w:t>
      </w:r>
    </w:p>
    <w:p w14:paraId="69CE6340" w14:textId="79B0E251" w:rsidR="007B0E38" w:rsidRPr="0019680E" w:rsidRDefault="40B3576B" w:rsidP="59C21105">
      <w:pPr>
        <w:spacing w:before="240"/>
      </w:pPr>
      <w:r>
        <w:t>A „</w:t>
      </w:r>
      <w:r w:rsidRPr="40B3576B">
        <w:rPr>
          <w:b/>
          <w:bCs/>
        </w:rPr>
        <w:t>Egyéb uniós bevétel</w:t>
      </w:r>
      <w:r w:rsidRPr="00933F7B">
        <w:rPr>
          <w:b/>
          <w:bCs/>
        </w:rPr>
        <w:t>e</w:t>
      </w:r>
      <w:r w:rsidRPr="00933F7B">
        <w:rPr>
          <w:b/>
        </w:rPr>
        <w:t>k</w:t>
      </w:r>
      <w:r>
        <w:t>” soron belül a vámbeszedési költség megtérítése 6,4</w:t>
      </w:r>
      <w:r w:rsidR="0099660B">
        <w:t> </w:t>
      </w:r>
      <w:r>
        <w:t>milliárd forintot tett ki május végéig. Ez az összeg az éves előirányzat 37,3%-a, és 0,4</w:t>
      </w:r>
      <w:r w:rsidR="0099660B">
        <w:t> </w:t>
      </w:r>
      <w:r>
        <w:t>milliárd forinttal marad</w:t>
      </w:r>
      <w:r w:rsidR="0099660B">
        <w:t>t</w:t>
      </w:r>
      <w:r>
        <w:t xml:space="preserve"> el a 2019. év azonos időszakában keletkezett bevételtől. Az </w:t>
      </w:r>
      <w:r w:rsidR="0099660B">
        <w:t>„</w:t>
      </w:r>
      <w:r>
        <w:t>Uniós támogatások utólagos megtérítése</w:t>
      </w:r>
      <w:r w:rsidR="0099660B">
        <w:t>”</w:t>
      </w:r>
      <w:r>
        <w:t xml:space="preserve"> soron 2020 május végéig minimális, 0,4</w:t>
      </w:r>
      <w:r w:rsidR="0099660B">
        <w:t> </w:t>
      </w:r>
      <w:r>
        <w:t>milliárd forint bevétel keletkezett, amely mögött maradvány és számlaegyenleg</w:t>
      </w:r>
      <w:r w:rsidR="00777D19">
        <w:t>-</w:t>
      </w:r>
      <w:r>
        <w:t>beutalás áll.</w:t>
      </w:r>
    </w:p>
    <w:p w14:paraId="6D369440" w14:textId="2BD35E7E" w:rsidR="00271D40" w:rsidRDefault="60A05D1C" w:rsidP="00C132B3">
      <w:r>
        <w:t xml:space="preserve">Az év első </w:t>
      </w:r>
      <w:r w:rsidR="00652658">
        <w:t>öt</w:t>
      </w:r>
      <w:r>
        <w:t xml:space="preserve"> hónapjában </w:t>
      </w:r>
      <w:r w:rsidRPr="60A05D1C">
        <w:rPr>
          <w:b/>
          <w:bCs/>
        </w:rPr>
        <w:t>a szociális hozzájárulási adóból és járulékokból a Nyugdíjbiztosítási Alapot megillető bevételek</w:t>
      </w:r>
      <w:r>
        <w:t xml:space="preserve"> (</w:t>
      </w:r>
      <w:r w:rsidR="00652658" w:rsidRPr="00652658">
        <w:t>1396,2</w:t>
      </w:r>
      <w:r w:rsidR="00080BBB">
        <w:t> </w:t>
      </w:r>
      <w:r w:rsidR="00652658">
        <w:t>milliárd forint) 0</w:t>
      </w:r>
      <w:r>
        <w:t>,</w:t>
      </w:r>
      <w:r w:rsidR="00652658">
        <w:t>3</w:t>
      </w:r>
      <w:r>
        <w:t>%</w:t>
      </w:r>
      <w:r w:rsidR="00015230">
        <w:t>-</w:t>
      </w:r>
      <w:r>
        <w:t xml:space="preserve">kal, </w:t>
      </w:r>
      <w:r w:rsidR="00652658">
        <w:t>4</w:t>
      </w:r>
      <w:r>
        <w:t>,</w:t>
      </w:r>
      <w:r w:rsidR="00652658">
        <w:t>3</w:t>
      </w:r>
      <w:r w:rsidR="00015230">
        <w:t> </w:t>
      </w:r>
      <w:r>
        <w:t xml:space="preserve">milliárd forinttal haladták meg az előző évi </w:t>
      </w:r>
      <w:r w:rsidR="000C18FE">
        <w:t xml:space="preserve">I-V. havi </w:t>
      </w:r>
      <w:r w:rsidR="00652658">
        <w:t xml:space="preserve">halmozott </w:t>
      </w:r>
      <w:r>
        <w:t>bevételt.</w:t>
      </w:r>
      <w:r w:rsidR="00652658" w:rsidRPr="00652658">
        <w:t xml:space="preserve"> A szociális hozzájárulási adó és járulékok előző évhez viszonyított elemzésekor figyelembe kell venni, hogy 2020-ban a szociális hozzájárulási adó bevétel 71,63%-a, 2019-ban 70,22%</w:t>
      </w:r>
      <w:r w:rsidR="00F73DF0">
        <w:noBreakHyphen/>
      </w:r>
      <w:r w:rsidR="00652658" w:rsidRPr="00652658">
        <w:t>a illette meg a Ny</w:t>
      </w:r>
      <w:r w:rsidR="000E366F">
        <w:t>ugdíjbiztosítási</w:t>
      </w:r>
      <w:r w:rsidR="00652658" w:rsidRPr="00652658">
        <w:t xml:space="preserve"> Alapot. 2020 januárjában továbbá 17,5%-os, 2019</w:t>
      </w:r>
      <w:r w:rsidR="005B76DB">
        <w:t> </w:t>
      </w:r>
      <w:r w:rsidR="00652658" w:rsidRPr="00652658">
        <w:t>januárjában pedig 19,5%-os szociális hozzájárulási adó teher mellett tör</w:t>
      </w:r>
      <w:r w:rsidR="00337D38">
        <w:t xml:space="preserve">tént a befizetés. A járvány </w:t>
      </w:r>
      <w:r w:rsidR="00652658" w:rsidRPr="00652658">
        <w:t>már második hónapja éreztet</w:t>
      </w:r>
      <w:r w:rsidR="00337D38">
        <w:t>i</w:t>
      </w:r>
      <w:r w:rsidR="00652658" w:rsidRPr="00652658">
        <w:t xml:space="preserve"> hatás</w:t>
      </w:r>
      <w:r w:rsidR="00337D38">
        <w:t>át</w:t>
      </w:r>
      <w:r w:rsidR="00652658" w:rsidRPr="00652658">
        <w:t xml:space="preserve"> a bevételekre nézve, a bevezetett munkaadói és munkavállalói kedvezmények pedig további elmaradásokat eredményeztek. A fenti hatások eredőjeként az év első öt hónapjában a Ny</w:t>
      </w:r>
      <w:r w:rsidR="00F02644">
        <w:t>ugdíjbiztosítási</w:t>
      </w:r>
      <w:r w:rsidR="00652658" w:rsidRPr="00652658">
        <w:t xml:space="preserve"> Alapot megillető szociális hozzájárulási adóbevétel 3,9%-kal (30,7</w:t>
      </w:r>
      <w:r w:rsidR="00484E5A">
        <w:t> </w:t>
      </w:r>
      <w:r w:rsidR="00652658" w:rsidRPr="00652658">
        <w:t>milliárd forint) csökkent a 2019</w:t>
      </w:r>
      <w:r w:rsidR="00C924D5">
        <w:t>. év</w:t>
      </w:r>
      <w:r w:rsidR="00652658" w:rsidRPr="00652658">
        <w:t xml:space="preserve"> azonos időszakában befolyt összeghez képest. Az adó- és járulékbevételeken belül a biztosítottak által fizetett nyugdíjjárulék 2020 első öt hónapjában 35,0</w:t>
      </w:r>
      <w:r w:rsidR="00484E5A">
        <w:t> </w:t>
      </w:r>
      <w:r w:rsidR="00652658" w:rsidRPr="00652658">
        <w:t>milliárd forinttal, 5,8%-kal növekedett a bázishoz képest</w:t>
      </w:r>
      <w:r w:rsidR="00F23CE9">
        <w:t>.</w:t>
      </w:r>
      <w:r w:rsidR="00652658" w:rsidRPr="00652658">
        <w:t xml:space="preserve"> </w:t>
      </w:r>
      <w:r w:rsidR="00F23CE9">
        <w:t xml:space="preserve">Ennek </w:t>
      </w:r>
      <w:r w:rsidR="00652658" w:rsidRPr="00652658">
        <w:lastRenderedPageBreak/>
        <w:t>hátterében a bruttókereset-növekedés áll, melyet a koronavírus</w:t>
      </w:r>
      <w:r w:rsidR="00B60014">
        <w:t>-</w:t>
      </w:r>
      <w:r w:rsidR="00652658" w:rsidRPr="00652658">
        <w:t>járvány miatt bevezetett intézkedések mérsékelnek.</w:t>
      </w:r>
    </w:p>
    <w:p w14:paraId="1ECF6ABB" w14:textId="7C4A6C33" w:rsidR="00C132B3" w:rsidRDefault="40B3576B" w:rsidP="00C132B3">
      <w:r>
        <w:t>A</w:t>
      </w:r>
      <w:r w:rsidRPr="40B3576B">
        <w:rPr>
          <w:rFonts w:eastAsia="Calibri"/>
        </w:rPr>
        <w:t xml:space="preserve">z </w:t>
      </w:r>
      <w:r w:rsidRPr="40B3576B">
        <w:rPr>
          <w:rFonts w:eastAsia="Calibri"/>
          <w:b/>
          <w:bCs/>
        </w:rPr>
        <w:t xml:space="preserve">Egészségbiztosítási Alap </w:t>
      </w:r>
      <w:r w:rsidRPr="40B3576B">
        <w:rPr>
          <w:rFonts w:eastAsia="Calibri"/>
        </w:rPr>
        <w:t xml:space="preserve">esetében a </w:t>
      </w:r>
      <w:r w:rsidRPr="40B3576B">
        <w:rPr>
          <w:rFonts w:eastAsia="Calibri"/>
          <w:b/>
          <w:bCs/>
        </w:rPr>
        <w:t>szociális hozzájárulási adóból és járulékokból</w:t>
      </w:r>
      <w:r w:rsidRPr="40B3576B">
        <w:rPr>
          <w:rFonts w:eastAsia="Calibri"/>
        </w:rPr>
        <w:t xml:space="preserve"> származó első </w:t>
      </w:r>
      <w:r w:rsidR="00652658">
        <w:rPr>
          <w:rFonts w:eastAsia="Calibri"/>
        </w:rPr>
        <w:t>öt</w:t>
      </w:r>
      <w:r w:rsidRPr="40B3576B">
        <w:rPr>
          <w:rFonts w:eastAsia="Calibri"/>
        </w:rPr>
        <w:t xml:space="preserve">havi bevételek </w:t>
      </w:r>
      <w:r>
        <w:t>(</w:t>
      </w:r>
      <w:r w:rsidR="00652658" w:rsidRPr="00652658">
        <w:t>729,6</w:t>
      </w:r>
      <w:r w:rsidR="00773CD0">
        <w:t> </w:t>
      </w:r>
      <w:r w:rsidR="00652658" w:rsidRPr="00652658">
        <w:t>milliárd forint</w:t>
      </w:r>
      <w:r>
        <w:t xml:space="preserve">) </w:t>
      </w:r>
      <w:r w:rsidR="00652658">
        <w:t>2</w:t>
      </w:r>
      <w:r>
        <w:t>,</w:t>
      </w:r>
      <w:r w:rsidR="00652658">
        <w:t>8</w:t>
      </w:r>
      <w:r>
        <w:t xml:space="preserve">%-kal, </w:t>
      </w:r>
      <w:r w:rsidR="00652658">
        <w:t>19</w:t>
      </w:r>
      <w:r>
        <w:t>,</w:t>
      </w:r>
      <w:r w:rsidR="00DB3CE2">
        <w:t>6</w:t>
      </w:r>
      <w:r>
        <w:t> milliárd forinttal haladták meg az előző év azonos időszakának bevételeit.</w:t>
      </w:r>
      <w:r w:rsidR="00652658" w:rsidRPr="00652658">
        <w:t xml:space="preserve"> A szociális hozzájárulási adó és járulékok előző évhez viszonyított elemzésekor figyelembe kell venni, hogy megváltozott a szociális hozzájárulási adó megosztási aránya. 2020-ban a szociális hozzájárulási adó megfizetett összegének 28,37%-a, 2019-ben 27,31%-a az E</w:t>
      </w:r>
      <w:r w:rsidR="00637FCE">
        <w:t>gészségbiztosítási</w:t>
      </w:r>
      <w:r w:rsidR="00652658" w:rsidRPr="00652658">
        <w:t xml:space="preserve"> Alapot illette meg. 2020</w:t>
      </w:r>
      <w:r w:rsidR="00773CD0">
        <w:t> </w:t>
      </w:r>
      <w:r w:rsidR="00652658" w:rsidRPr="00652658">
        <w:t>januárjában továbbá 17,5%-os, 2019 januárjában pedig 19,5%-os szociális hozzájárulási adó teher mellett történt a befizetés. A befolyt bevételből 298,</w:t>
      </w:r>
      <w:r w:rsidR="001E57B5">
        <w:t>3</w:t>
      </w:r>
      <w:r w:rsidR="00773CD0">
        <w:t> </w:t>
      </w:r>
      <w:r w:rsidR="00652658" w:rsidRPr="00652658">
        <w:t>milliárd forint a szociális hozzájárulási adó (40,9%) és 431,</w:t>
      </w:r>
      <w:r w:rsidR="001E57B5">
        <w:t>3</w:t>
      </w:r>
      <w:r w:rsidR="00773CD0">
        <w:t> </w:t>
      </w:r>
      <w:r w:rsidR="00652658" w:rsidRPr="00652658">
        <w:t xml:space="preserve">milliárd forint a biztosítotti egészségbiztosítási járulékbevétel (59,1%). </w:t>
      </w:r>
      <w:r w:rsidR="00CA6074">
        <w:t xml:space="preserve">A járvány </w:t>
      </w:r>
      <w:r w:rsidR="00CA6074" w:rsidRPr="00652658">
        <w:t>már második hónapja éreztet</w:t>
      </w:r>
      <w:r w:rsidR="00CA6074">
        <w:t>i</w:t>
      </w:r>
      <w:r w:rsidR="00CA6074" w:rsidRPr="00652658">
        <w:t xml:space="preserve"> hatás</w:t>
      </w:r>
      <w:r w:rsidR="00CA6074">
        <w:t>át</w:t>
      </w:r>
      <w:r w:rsidR="00CA6074" w:rsidRPr="00652658">
        <w:t xml:space="preserve"> </w:t>
      </w:r>
      <w:r w:rsidR="00652658" w:rsidRPr="00652658">
        <w:t>a bevételekre nézve, a bevezetett munkaadói és munkavállalói kedvezmények pedig további elmaradásokat eredményeztek. Az előbbiek hatását a bevételek korábbi, dinamikus növekedési ütemének visszaes</w:t>
      </w:r>
      <w:r w:rsidR="003245D7">
        <w:t>ése</w:t>
      </w:r>
      <w:r w:rsidR="00652658" w:rsidRPr="00652658">
        <w:t xml:space="preserve"> is jól tükrözi</w:t>
      </w:r>
      <w:r>
        <w:t>.</w:t>
      </w:r>
    </w:p>
    <w:p w14:paraId="6A4C12B9" w14:textId="64FCD6A3" w:rsidR="00BF59D1" w:rsidRDefault="60A05D1C" w:rsidP="008A2E55">
      <w:r>
        <w:t xml:space="preserve">Az </w:t>
      </w:r>
      <w:r w:rsidRPr="60A05D1C">
        <w:rPr>
          <w:b/>
          <w:bCs/>
        </w:rPr>
        <w:t>egészségbiztosítási és munkaerő-piaci járulék Nemzeti Foglalkoztatási Alapot</w:t>
      </w:r>
      <w:r w:rsidR="00785147">
        <w:rPr>
          <w:b/>
          <w:bCs/>
        </w:rPr>
        <w:t xml:space="preserve"> </w:t>
      </w:r>
      <w:r w:rsidR="00785147" w:rsidRPr="5B83E8AE">
        <w:t>(NFA)</w:t>
      </w:r>
      <w:r w:rsidRPr="5B83E8AE">
        <w:t xml:space="preserve"> </w:t>
      </w:r>
      <w:r w:rsidRPr="60A05D1C">
        <w:rPr>
          <w:b/>
          <w:bCs/>
        </w:rPr>
        <w:t>megillető hányad</w:t>
      </w:r>
      <w:r w:rsidR="00AA3B84">
        <w:rPr>
          <w:b/>
          <w:bCs/>
        </w:rPr>
        <w:t xml:space="preserve">ából </w:t>
      </w:r>
      <w:r w:rsidR="00AA3B84" w:rsidRPr="5B83E8AE">
        <w:t>származó</w:t>
      </w:r>
      <w:r w:rsidRPr="00AA3B84">
        <w:t xml:space="preserve"> </w:t>
      </w:r>
      <w:r w:rsidR="00AA3B84">
        <w:t>bevételek (</w:t>
      </w:r>
      <w:r w:rsidR="003169E0">
        <w:t>95</w:t>
      </w:r>
      <w:r w:rsidR="00AA3B84">
        <w:t>,</w:t>
      </w:r>
      <w:r w:rsidR="003169E0">
        <w:t>7</w:t>
      </w:r>
      <w:r w:rsidR="00AA3B84">
        <w:t xml:space="preserve"> milliárd forint) </w:t>
      </w:r>
      <w:r>
        <w:t xml:space="preserve">2020 első </w:t>
      </w:r>
      <w:r w:rsidR="003169E0">
        <w:t>öt</w:t>
      </w:r>
      <w:r>
        <w:t xml:space="preserve"> hónapjában a bevételek </w:t>
      </w:r>
      <w:r w:rsidR="003169E0">
        <w:t>6</w:t>
      </w:r>
      <w:r>
        <w:t>,</w:t>
      </w:r>
      <w:r w:rsidR="00212841">
        <w:t>5</w:t>
      </w:r>
      <w:r>
        <w:t>%</w:t>
      </w:r>
      <w:r w:rsidR="006E7875">
        <w:noBreakHyphen/>
      </w:r>
      <w:r>
        <w:t xml:space="preserve">kal, </w:t>
      </w:r>
      <w:r w:rsidR="003169E0">
        <w:t>5</w:t>
      </w:r>
      <w:r>
        <w:t>,</w:t>
      </w:r>
      <w:r w:rsidR="00212841">
        <w:t>8</w:t>
      </w:r>
      <w:r w:rsidR="006E7875">
        <w:t> </w:t>
      </w:r>
      <w:r>
        <w:t xml:space="preserve">milliárd forinttal haladták meg a bázist. </w:t>
      </w:r>
      <w:r w:rsidR="003169E0" w:rsidRPr="003169E0">
        <w:t xml:space="preserve">A bevétel növekedésének oka a bruttó keresetek növekedése. </w:t>
      </w:r>
      <w:r w:rsidR="00776678">
        <w:t xml:space="preserve">A </w:t>
      </w:r>
      <w:r w:rsidR="00776678" w:rsidRPr="5B83E8AE">
        <w:rPr>
          <w:b/>
          <w:bCs/>
        </w:rPr>
        <w:t>s</w:t>
      </w:r>
      <w:r w:rsidR="00705AF8" w:rsidRPr="5B83E8AE">
        <w:rPr>
          <w:b/>
          <w:bCs/>
        </w:rPr>
        <w:t>zociális hozzájárulási adóból</w:t>
      </w:r>
      <w:r w:rsidR="00705AF8">
        <w:t xml:space="preserve"> az NFA idén nem részesül.</w:t>
      </w:r>
    </w:p>
    <w:p w14:paraId="5376B2A2" w14:textId="6E721D81" w:rsidR="00C04F10" w:rsidRPr="00284495" w:rsidRDefault="00652658" w:rsidP="40B3576B">
      <w:pPr>
        <w:rPr>
          <w:rFonts w:eastAsia="Calibri"/>
        </w:rPr>
      </w:pPr>
      <w:r>
        <w:rPr>
          <w:rFonts w:eastAsia="Calibri"/>
        </w:rPr>
        <w:t>Május</w:t>
      </w:r>
      <w:r w:rsidR="60A05D1C" w:rsidRPr="60A05D1C">
        <w:rPr>
          <w:rFonts w:eastAsia="Calibri"/>
        </w:rPr>
        <w:t xml:space="preserve"> végéig az Egészségbiztosítási Alap </w:t>
      </w:r>
      <w:r w:rsidR="60A05D1C" w:rsidRPr="60A05D1C">
        <w:rPr>
          <w:rFonts w:eastAsia="Calibri"/>
          <w:b/>
          <w:bCs/>
        </w:rPr>
        <w:t xml:space="preserve">egészségügyi hozzájárulásból </w:t>
      </w:r>
      <w:r w:rsidR="60A05D1C" w:rsidRPr="60A05D1C">
        <w:rPr>
          <w:rFonts w:eastAsia="Calibri"/>
        </w:rPr>
        <w:t>származó bevétele</w:t>
      </w:r>
      <w:r w:rsidR="008D3506">
        <w:rPr>
          <w:rFonts w:eastAsia="Calibri"/>
        </w:rPr>
        <w:t>i</w:t>
      </w:r>
      <w:r w:rsidR="60A05D1C" w:rsidRPr="60A05D1C">
        <w:rPr>
          <w:rFonts w:eastAsia="Calibri"/>
        </w:rPr>
        <w:t xml:space="preserve"> 0,</w:t>
      </w:r>
      <w:r>
        <w:rPr>
          <w:rFonts w:eastAsia="Calibri"/>
        </w:rPr>
        <w:t>8</w:t>
      </w:r>
      <w:r w:rsidR="00D06530">
        <w:rPr>
          <w:rFonts w:eastAsia="Calibri"/>
        </w:rPr>
        <w:t> </w:t>
      </w:r>
      <w:r w:rsidR="60A05D1C" w:rsidRPr="60A05D1C">
        <w:rPr>
          <w:rFonts w:eastAsia="Calibri"/>
        </w:rPr>
        <w:t xml:space="preserve">milliárd forintot tettek ki, amely </w:t>
      </w:r>
      <w:r>
        <w:rPr>
          <w:rFonts w:eastAsia="Calibri"/>
        </w:rPr>
        <w:t>40</w:t>
      </w:r>
      <w:r w:rsidR="60A05D1C" w:rsidRPr="60A05D1C">
        <w:rPr>
          <w:rFonts w:eastAsia="Calibri"/>
        </w:rPr>
        <w:t>,</w:t>
      </w:r>
      <w:r w:rsidR="001D4BEC">
        <w:rPr>
          <w:rFonts w:eastAsia="Calibri"/>
        </w:rPr>
        <w:t>0</w:t>
      </w:r>
      <w:r w:rsidR="00E125C7">
        <w:rPr>
          <w:rFonts w:eastAsia="Calibri"/>
        </w:rPr>
        <w:t> </w:t>
      </w:r>
      <w:r w:rsidR="60A05D1C" w:rsidRPr="60A05D1C">
        <w:rPr>
          <w:rFonts w:eastAsia="Calibri"/>
        </w:rPr>
        <w:t>milliárd forinttal alacsonyabb, mint az előző év</w:t>
      </w:r>
      <w:r w:rsidR="00315639">
        <w:rPr>
          <w:rFonts w:eastAsia="Calibri"/>
        </w:rPr>
        <w:t xml:space="preserve"> azonos időszakában</w:t>
      </w:r>
      <w:r w:rsidR="60A05D1C" w:rsidRPr="60A05D1C">
        <w:rPr>
          <w:rFonts w:eastAsia="Calibri"/>
        </w:rPr>
        <w:t xml:space="preserve"> befolyt összeg. E bevétel alakulásában szerepet játszik, hogy </w:t>
      </w:r>
      <w:r w:rsidR="00206263" w:rsidRPr="60A05D1C">
        <w:rPr>
          <w:rFonts w:eastAsia="Calibri"/>
        </w:rPr>
        <w:t xml:space="preserve">2019-ben </w:t>
      </w:r>
      <w:r w:rsidR="60A05D1C" w:rsidRPr="60A05D1C">
        <w:rPr>
          <w:rFonts w:eastAsia="Calibri"/>
        </w:rPr>
        <w:t>az egészségügyi hozzájárulás beolvadt a szociális hozzájárulási adóba, emiatt 2020</w:t>
      </w:r>
      <w:r w:rsidR="00EF6310">
        <w:rPr>
          <w:rFonts w:eastAsia="Calibri"/>
        </w:rPr>
        <w:noBreakHyphen/>
      </w:r>
      <w:r w:rsidR="60A05D1C" w:rsidRPr="60A05D1C">
        <w:rPr>
          <w:rFonts w:eastAsia="Calibri"/>
        </w:rPr>
        <w:t xml:space="preserve">ban </w:t>
      </w:r>
      <w:r w:rsidR="00206263" w:rsidRPr="60A05D1C">
        <w:rPr>
          <w:rFonts w:eastAsia="Calibri"/>
        </w:rPr>
        <w:t xml:space="preserve">az adónemben </w:t>
      </w:r>
      <w:r w:rsidR="60A05D1C" w:rsidRPr="60A05D1C">
        <w:rPr>
          <w:rFonts w:eastAsia="Calibri"/>
        </w:rPr>
        <w:t>már csak kis</w:t>
      </w:r>
      <w:r w:rsidR="00A7732F">
        <w:rPr>
          <w:rFonts w:eastAsia="Calibri"/>
        </w:rPr>
        <w:t>ebb tételek, önrevíziók várható</w:t>
      </w:r>
      <w:r w:rsidR="60A05D1C" w:rsidRPr="60A05D1C">
        <w:rPr>
          <w:rFonts w:eastAsia="Calibri"/>
        </w:rPr>
        <w:t>k.</w:t>
      </w:r>
    </w:p>
    <w:p w14:paraId="6DD0D992" w14:textId="2D13AE64" w:rsidR="5B83E8AE" w:rsidRDefault="40B3576B" w:rsidP="5B83E8AE">
      <w:pPr>
        <w:spacing w:after="240"/>
      </w:pPr>
      <w:r>
        <w:t xml:space="preserve">A </w:t>
      </w:r>
      <w:r w:rsidRPr="40B3576B">
        <w:rPr>
          <w:b/>
          <w:bCs/>
        </w:rPr>
        <w:t>Nyugdíjbiztosítási Alap</w:t>
      </w:r>
      <w:r>
        <w:t xml:space="preserve"> 2020-ban 46,9 milliárd forint </w:t>
      </w:r>
      <w:r w:rsidRPr="40B3576B">
        <w:rPr>
          <w:b/>
          <w:bCs/>
        </w:rPr>
        <w:t>központi költségvetési támogatásban</w:t>
      </w:r>
      <w:r>
        <w:t xml:space="preserve"> részesül. A támogatás 19,6 milliárd forintos, I-V. havi időarányos összegét a Magyar Államkincstár a Nyugdíjbiztosítási Alap részére átutalta.</w:t>
      </w:r>
    </w:p>
    <w:p w14:paraId="6DE99F8A" w14:textId="4EBA72CF" w:rsidR="5B83E8AE" w:rsidRDefault="40B3576B" w:rsidP="5B83E8AE">
      <w:r w:rsidRPr="00A609F7">
        <w:t xml:space="preserve">Az </w:t>
      </w:r>
      <w:r w:rsidRPr="00A609F7">
        <w:rPr>
          <w:b/>
        </w:rPr>
        <w:t>Egészségbiztosítási Alap költségvetési támogatásai, térítései</w:t>
      </w:r>
      <w:r w:rsidRPr="00A609F7">
        <w:t xml:space="preserve"> 2020 első öt hónapjában összesen 244,4</w:t>
      </w:r>
      <w:r w:rsidR="0070133C">
        <w:t> </w:t>
      </w:r>
      <w:r w:rsidRPr="00A609F7">
        <w:t>milliárd forintot tettek ki, amely 59,9</w:t>
      </w:r>
      <w:r w:rsidR="0070133C">
        <w:t> </w:t>
      </w:r>
      <w:r w:rsidRPr="00A609F7">
        <w:t xml:space="preserve">milliárd forinttal magasabb, mint az előző év azonos időszakában átutalt összeg. </w:t>
      </w:r>
      <w:r w:rsidR="0021751F">
        <w:t xml:space="preserve">Ebből </w:t>
      </w:r>
      <w:r w:rsidRPr="00A609F7">
        <w:t>2020 I-V. hónapjában az Egészségbiztosítási Alap járulék címen átvett pénzeszközként 193,1</w:t>
      </w:r>
      <w:r w:rsidR="0070133C">
        <w:t> </w:t>
      </w:r>
      <w:r w:rsidRPr="00A609F7">
        <w:t>milliárd forint támogatást kapott, szemben a tavalyi év azonos időszakában átutalt 182,3</w:t>
      </w:r>
      <w:r w:rsidR="0070133C">
        <w:t> </w:t>
      </w:r>
      <w:r w:rsidRPr="00A609F7">
        <w:t xml:space="preserve">milliárd forintos összeggel. </w:t>
      </w:r>
    </w:p>
    <w:p w14:paraId="0B65FEAA" w14:textId="26322E03" w:rsidR="000F6073" w:rsidRDefault="5B83E8AE" w:rsidP="5B83E8AE">
      <w:pPr>
        <w:rPr>
          <w:b/>
          <w:bCs/>
          <w:smallCaps/>
        </w:rPr>
      </w:pPr>
      <w:r w:rsidRPr="5B83E8AE">
        <w:rPr>
          <w:rFonts w:eastAsia="Calibri"/>
        </w:rPr>
        <w:t xml:space="preserve"> </w:t>
      </w:r>
      <w:r w:rsidR="60A05D1C">
        <w:br w:type="page"/>
      </w:r>
    </w:p>
    <w:p w14:paraId="5D4F02CB" w14:textId="5640B4D4" w:rsidR="006E4EA6" w:rsidRDefault="40B3576B" w:rsidP="40B3576B">
      <w:pPr>
        <w:pStyle w:val="Cmsor3"/>
        <w:numPr>
          <w:ilvl w:val="0"/>
          <w:numId w:val="8"/>
        </w:numPr>
        <w:spacing w:before="0" w:after="120"/>
        <w:jc w:val="left"/>
        <w:rPr>
          <w:sz w:val="26"/>
          <w:szCs w:val="26"/>
        </w:rPr>
      </w:pPr>
      <w:r w:rsidRPr="40B3576B">
        <w:rPr>
          <w:sz w:val="26"/>
          <w:szCs w:val="26"/>
        </w:rPr>
        <w:lastRenderedPageBreak/>
        <w:t xml:space="preserve">A főbb kiadások </w:t>
      </w:r>
    </w:p>
    <w:p w14:paraId="66A0F3A1" w14:textId="77777777" w:rsidR="00953258" w:rsidRDefault="00953258" w:rsidP="00953258">
      <w:pPr>
        <w:rPr>
          <w:b/>
        </w:rPr>
      </w:pPr>
    </w:p>
    <w:p w14:paraId="0B082D2D" w14:textId="0E05AF09" w:rsidR="006064B8" w:rsidRPr="006064B8" w:rsidRDefault="40B3576B" w:rsidP="40B3576B">
      <w:pPr>
        <w:rPr>
          <w:b/>
          <w:bCs/>
        </w:rPr>
      </w:pPr>
      <w:r w:rsidRPr="40B3576B">
        <w:rPr>
          <w:b/>
          <w:bCs/>
        </w:rPr>
        <w:t xml:space="preserve">A központi alrendszer 2020. évi május végi 10 091,5 milliárd forint összegű kiadásai 1487,4 milliárd forinttal, 17,3%-kal haladták meg az előző év azonos időszakának a teljesítését, mely elsősorban a költségvetési szervek kiadásainak és az egyéb szakmai fejezeti kezelésű előirányzatok kiadásainak, valamint az uniós programok kiadásainak a 2019. év első öt hónapjához viszonyított magasabb teljesülésével függ össze. Magasabban alakultak továbbá az előző év azonos időszakához képest a kamatkiadások, a nyugellátásokra és a gyógyító-megelőző ellátásra fordított összegek is. </w:t>
      </w:r>
    </w:p>
    <w:p w14:paraId="7D7BB282" w14:textId="77777777" w:rsidR="00242D74" w:rsidRDefault="00242D74" w:rsidP="002109F5"/>
    <w:p w14:paraId="547BC2FD" w14:textId="3995A8DB" w:rsidR="0094753F" w:rsidRDefault="007C2675" w:rsidP="002109F5">
      <w:r>
        <w:rPr>
          <w:noProof/>
        </w:rPr>
        <w:drawing>
          <wp:inline distT="0" distB="0" distL="0" distR="0" wp14:anchorId="3D7BB7E5" wp14:editId="18B438C3">
            <wp:extent cx="5940425" cy="2082165"/>
            <wp:effectExtent l="0" t="0" r="317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adás_megoszlás.png"/>
                    <pic:cNvPicPr/>
                  </pic:nvPicPr>
                  <pic:blipFill>
                    <a:blip r:embed="rId18">
                      <a:extLst>
                        <a:ext uri="{28A0092B-C50C-407E-A947-70E740481C1C}">
                          <a14:useLocalDpi xmlns:a14="http://schemas.microsoft.com/office/drawing/2010/main" val="0"/>
                        </a:ext>
                      </a:extLst>
                    </a:blip>
                    <a:stretch>
                      <a:fillRect/>
                    </a:stretch>
                  </pic:blipFill>
                  <pic:spPr>
                    <a:xfrm>
                      <a:off x="0" y="0"/>
                      <a:ext cx="5940425" cy="2082165"/>
                    </a:xfrm>
                    <a:prstGeom prst="rect">
                      <a:avLst/>
                    </a:prstGeom>
                  </pic:spPr>
                </pic:pic>
              </a:graphicData>
            </a:graphic>
          </wp:inline>
        </w:drawing>
      </w:r>
    </w:p>
    <w:p w14:paraId="1C2B6BF0" w14:textId="77777777" w:rsidR="007C2675" w:rsidRDefault="007C2675" w:rsidP="002109F5"/>
    <w:p w14:paraId="05B672CC" w14:textId="74F17602" w:rsidR="00C35D30" w:rsidRDefault="40B3576B" w:rsidP="00C35D30">
      <w:r>
        <w:t>Az</w:t>
      </w:r>
      <w:r w:rsidRPr="40B3576B">
        <w:rPr>
          <w:b/>
          <w:bCs/>
        </w:rPr>
        <w:t xml:space="preserve"> egyedi és normatív támogatásokra</w:t>
      </w:r>
      <w:r>
        <w:t xml:space="preserve"> fordított kiadások május végéig 22</w:t>
      </w:r>
      <w:r w:rsidR="00D26C88">
        <w:t>8,0</w:t>
      </w:r>
      <w:r w:rsidR="00C03AA1">
        <w:t> </w:t>
      </w:r>
      <w:r>
        <w:t>milliárd forintot tettek ki, amely 20,</w:t>
      </w:r>
      <w:r w:rsidR="00D26C88">
        <w:t>7</w:t>
      </w:r>
      <w:r w:rsidR="00C03AA1">
        <w:t> </w:t>
      </w:r>
      <w:r>
        <w:t>milliárd forinttal haladta meg az előző év azonos időszakának teljesítését. Az eltérést az magyarázza, hogy a vasúti pályahálózat-működtetési költségtérítésre idén 8,1</w:t>
      </w:r>
      <w:r w:rsidR="00C03AA1">
        <w:t> </w:t>
      </w:r>
      <w:r>
        <w:t>milliárd forinttal, az elővárosi közösségi közlekedés támogatására 1,6</w:t>
      </w:r>
      <w:r w:rsidR="00C03AA1">
        <w:t> </w:t>
      </w:r>
      <w:r>
        <w:t>milliárd forinttal, a közösségi közlekedés személyszállítási költségtérítésére pedig 13,9</w:t>
      </w:r>
      <w:r w:rsidR="00C03AA1">
        <w:t> </w:t>
      </w:r>
      <w:r>
        <w:t>milliárd forinttal több kiadás lett elszámolva. Az Eximbank Zrt. részére nyújtott kamatkiegyenlítés összege viszont 2,9</w:t>
      </w:r>
      <w:r w:rsidR="00C03AA1">
        <w:t> </w:t>
      </w:r>
      <w:r>
        <w:t>milliárd forinttal alacsonyabb lett az egy évvel korábbinál.</w:t>
      </w:r>
    </w:p>
    <w:p w14:paraId="1BE6339D" w14:textId="71808173" w:rsidR="00693A8F" w:rsidRDefault="40B3576B" w:rsidP="00693A8F">
      <w:r>
        <w:t>A főbb tételek alakulását a következő diagram szemlélteti:</w:t>
      </w:r>
    </w:p>
    <w:p w14:paraId="2BDAEF5C" w14:textId="73B5D3E5" w:rsidR="00752FA6" w:rsidRDefault="0085321E" w:rsidP="002109F5">
      <w:r>
        <w:rPr>
          <w:noProof/>
        </w:rPr>
        <w:lastRenderedPageBreak/>
        <w:drawing>
          <wp:inline distT="0" distB="0" distL="0" distR="0" wp14:anchorId="218EDE3F" wp14:editId="04C97A98">
            <wp:extent cx="5940425" cy="3524250"/>
            <wp:effectExtent l="0" t="0" r="3175"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edi_és_normatív_tám.png"/>
                    <pic:cNvPicPr/>
                  </pic:nvPicPr>
                  <pic:blipFill>
                    <a:blip r:embed="rId19">
                      <a:extLst>
                        <a:ext uri="{28A0092B-C50C-407E-A947-70E740481C1C}">
                          <a14:useLocalDpi xmlns:a14="http://schemas.microsoft.com/office/drawing/2010/main" val="0"/>
                        </a:ext>
                      </a:extLst>
                    </a:blip>
                    <a:stretch>
                      <a:fillRect/>
                    </a:stretch>
                  </pic:blipFill>
                  <pic:spPr>
                    <a:xfrm>
                      <a:off x="0" y="0"/>
                      <a:ext cx="5940425" cy="3524250"/>
                    </a:xfrm>
                    <a:prstGeom prst="rect">
                      <a:avLst/>
                    </a:prstGeom>
                  </pic:spPr>
                </pic:pic>
              </a:graphicData>
            </a:graphic>
          </wp:inline>
        </w:drawing>
      </w:r>
    </w:p>
    <w:p w14:paraId="4070CC48" w14:textId="77777777" w:rsidR="0085321E" w:rsidRDefault="0085321E" w:rsidP="002109F5"/>
    <w:p w14:paraId="47E495F8" w14:textId="238B0BDB" w:rsidR="00567033" w:rsidRPr="00342044" w:rsidRDefault="40B3576B" w:rsidP="40B3576B">
      <w:pPr>
        <w:rPr>
          <w:rFonts w:cs="Tahoma"/>
          <w:color w:val="000000" w:themeColor="text1"/>
        </w:rPr>
      </w:pPr>
      <w:r w:rsidRPr="40B3576B">
        <w:rPr>
          <w:rFonts w:cs="Tahoma"/>
          <w:color w:val="000000" w:themeColor="text1"/>
        </w:rPr>
        <w:t xml:space="preserve">A </w:t>
      </w:r>
      <w:r w:rsidRPr="40B3576B">
        <w:rPr>
          <w:rFonts w:cs="Tahoma"/>
          <w:b/>
          <w:bCs/>
          <w:color w:val="000000" w:themeColor="text1"/>
        </w:rPr>
        <w:t>lakásépítési támogatásokra</w:t>
      </w:r>
      <w:r w:rsidRPr="40B3576B">
        <w:rPr>
          <w:rFonts w:cs="Tahoma"/>
          <w:color w:val="000000" w:themeColor="text1"/>
        </w:rPr>
        <w:t xml:space="preserve"> fordított kiadások összege az év első öt hónapjában 108,2 milliárd forint volt, mely az előző év azonos időszakához viszonyítva 29,</w:t>
      </w:r>
      <w:r w:rsidR="003F7417">
        <w:rPr>
          <w:rFonts w:cs="Tahoma"/>
          <w:color w:val="000000" w:themeColor="text1"/>
        </w:rPr>
        <w:t>3</w:t>
      </w:r>
      <w:r w:rsidRPr="40B3576B">
        <w:rPr>
          <w:rFonts w:cs="Tahoma"/>
          <w:color w:val="000000" w:themeColor="text1"/>
        </w:rPr>
        <w:t> milliárd forinttal teljesült magasabban. Az eltérés elsősorban a 2018. július 1-jétől egyes meglévő konstrukciók – ilyen a családi otthonteremtési kedvezmény – új elemekkel történő kiterjesztésére vezethető vissza. Az idei kifizetés emelkedését okozta még a szintén 2018. július 1-jétől kezdődően a többgyermekes családok lakáscélú jelzáloghitel-tartozásának csökkentésére nyújtott támogatás igénybevételi lehetőségének kibővítése, valamint összegének jelentős megemelése. Ezenfelül az árfolyam- és a referenciahozamok, valamint a további konstrukciókat igénybe vevők létszámának alakulása is befolyásolta a kifizetéseket.</w:t>
      </w:r>
    </w:p>
    <w:p w14:paraId="10F6EA13" w14:textId="3513840B" w:rsidR="009F77CF" w:rsidRDefault="40B3576B" w:rsidP="51CD5D50">
      <w:r w:rsidRPr="40B3576B">
        <w:rPr>
          <w:rFonts w:cs="Tahoma"/>
          <w:color w:val="000000" w:themeColor="text1"/>
        </w:rPr>
        <w:t xml:space="preserve">A </w:t>
      </w:r>
      <w:r w:rsidRPr="40B3576B">
        <w:rPr>
          <w:rFonts w:cs="Tahoma"/>
          <w:b/>
          <w:bCs/>
          <w:color w:val="000000" w:themeColor="text1"/>
        </w:rPr>
        <w:t>Nemzeti Család- és Szociálpolitikai Alap</w:t>
      </w:r>
      <w:r w:rsidRPr="40B3576B">
        <w:rPr>
          <w:rFonts w:cs="Tahoma"/>
          <w:color w:val="000000" w:themeColor="text1"/>
        </w:rPr>
        <w:t xml:space="preserve"> a családi támogatásokat, a korhatár alatti ellátásokat, a jövedelempótló és jövedelemkiegészítő szociális támogatásokat, </w:t>
      </w:r>
      <w:r>
        <w:t>valamint a különféle jogcímen adott térítéseket tartalmazza. A főbb támogatásokat a következő táblázat részletezi:</w:t>
      </w:r>
      <w:r w:rsidR="5B83E8AE">
        <w:br w:type="page"/>
      </w:r>
    </w:p>
    <w:tbl>
      <w:tblPr>
        <w:tblW w:w="7167" w:type="dxa"/>
        <w:tblInd w:w="637" w:type="dxa"/>
        <w:tblCellMar>
          <w:left w:w="70" w:type="dxa"/>
          <w:right w:w="70" w:type="dxa"/>
        </w:tblCellMar>
        <w:tblLook w:val="04A0" w:firstRow="1" w:lastRow="0" w:firstColumn="1" w:lastColumn="0" w:noHBand="0" w:noVBand="1"/>
      </w:tblPr>
      <w:tblGrid>
        <w:gridCol w:w="3827"/>
        <w:gridCol w:w="980"/>
        <w:gridCol w:w="960"/>
        <w:gridCol w:w="807"/>
        <w:gridCol w:w="593"/>
      </w:tblGrid>
      <w:tr w:rsidR="006C06F6" w:rsidRPr="006C06F6" w14:paraId="36177F6A" w14:textId="77777777" w:rsidTr="40B3576B">
        <w:trPr>
          <w:trHeight w:val="270"/>
        </w:trPr>
        <w:tc>
          <w:tcPr>
            <w:tcW w:w="3827"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3E9B33F9" w14:textId="77777777" w:rsidR="006C06F6" w:rsidRPr="006C06F6" w:rsidRDefault="40B3576B" w:rsidP="40B3576B">
            <w:pPr>
              <w:spacing w:after="0"/>
              <w:jc w:val="center"/>
              <w:rPr>
                <w:b/>
                <w:bCs/>
                <w:sz w:val="14"/>
                <w:szCs w:val="14"/>
              </w:rPr>
            </w:pPr>
            <w:r w:rsidRPr="40B3576B">
              <w:rPr>
                <w:b/>
                <w:bCs/>
                <w:sz w:val="14"/>
                <w:szCs w:val="14"/>
              </w:rPr>
              <w:lastRenderedPageBreak/>
              <w:t>Megnevezés</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5A47B" w14:textId="77777777" w:rsidR="006C06F6" w:rsidRPr="006C06F6" w:rsidRDefault="40B3576B" w:rsidP="40B3576B">
            <w:pPr>
              <w:spacing w:after="0"/>
              <w:jc w:val="center"/>
              <w:rPr>
                <w:b/>
                <w:bCs/>
                <w:sz w:val="14"/>
                <w:szCs w:val="14"/>
              </w:rPr>
            </w:pPr>
            <w:r w:rsidRPr="40B3576B">
              <w:rPr>
                <w:b/>
                <w:bCs/>
                <w:sz w:val="14"/>
                <w:szCs w:val="14"/>
              </w:rPr>
              <w:t xml:space="preserve">2019. </w:t>
            </w:r>
            <w:r w:rsidR="006C06F6">
              <w:br/>
            </w:r>
            <w:r w:rsidRPr="40B3576B">
              <w:rPr>
                <w:b/>
                <w:bCs/>
                <w:sz w:val="14"/>
                <w:szCs w:val="14"/>
              </w:rPr>
              <w:t>I-V. hó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23F866" w14:textId="77777777" w:rsidR="006C06F6" w:rsidRPr="006C06F6" w:rsidRDefault="40B3576B" w:rsidP="40B3576B">
            <w:pPr>
              <w:spacing w:after="0"/>
              <w:jc w:val="center"/>
              <w:rPr>
                <w:b/>
                <w:bCs/>
                <w:sz w:val="14"/>
                <w:szCs w:val="14"/>
              </w:rPr>
            </w:pPr>
            <w:r w:rsidRPr="40B3576B">
              <w:rPr>
                <w:b/>
                <w:bCs/>
                <w:sz w:val="14"/>
                <w:szCs w:val="14"/>
              </w:rPr>
              <w:t>2020.</w:t>
            </w:r>
            <w:r w:rsidR="006C06F6">
              <w:br/>
            </w:r>
            <w:r w:rsidRPr="40B3576B">
              <w:rPr>
                <w:b/>
                <w:bCs/>
                <w:sz w:val="14"/>
                <w:szCs w:val="14"/>
              </w:rPr>
              <w:t>I-V. hó</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FD223F" w14:textId="77777777" w:rsidR="006C06F6" w:rsidRPr="006C06F6" w:rsidRDefault="40B3576B" w:rsidP="40B3576B">
            <w:pPr>
              <w:spacing w:after="0"/>
              <w:jc w:val="center"/>
              <w:rPr>
                <w:b/>
                <w:bCs/>
                <w:sz w:val="14"/>
                <w:szCs w:val="14"/>
              </w:rPr>
            </w:pPr>
            <w:r w:rsidRPr="40B3576B">
              <w:rPr>
                <w:b/>
                <w:bCs/>
                <w:sz w:val="14"/>
                <w:szCs w:val="14"/>
              </w:rPr>
              <w:t>Eltérés</w:t>
            </w:r>
          </w:p>
        </w:tc>
      </w:tr>
      <w:tr w:rsidR="006C06F6" w:rsidRPr="006C06F6" w14:paraId="0840515D" w14:textId="77777777" w:rsidTr="40B3576B">
        <w:trPr>
          <w:trHeight w:val="225"/>
        </w:trPr>
        <w:tc>
          <w:tcPr>
            <w:tcW w:w="3827" w:type="dxa"/>
            <w:vMerge/>
            <w:tcBorders>
              <w:top w:val="single" w:sz="4" w:space="0" w:color="auto"/>
              <w:left w:val="single" w:sz="4" w:space="0" w:color="auto"/>
              <w:bottom w:val="single" w:sz="4" w:space="0" w:color="000000"/>
              <w:right w:val="single" w:sz="4" w:space="0" w:color="auto"/>
            </w:tcBorders>
            <w:vAlign w:val="center"/>
            <w:hideMark/>
          </w:tcPr>
          <w:p w14:paraId="3E7FC5A6" w14:textId="77777777" w:rsidR="006C06F6" w:rsidRPr="006C06F6" w:rsidRDefault="006C06F6" w:rsidP="006C06F6">
            <w:pPr>
              <w:spacing w:after="0"/>
              <w:jc w:val="left"/>
              <w:rPr>
                <w:b/>
                <w:bCs/>
                <w:sz w:val="14"/>
                <w:szCs w:val="1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6CE375D" w14:textId="77777777" w:rsidR="006C06F6" w:rsidRPr="006C06F6" w:rsidRDefault="006C06F6" w:rsidP="006C06F6">
            <w:pPr>
              <w:spacing w:after="0"/>
              <w:jc w:val="left"/>
              <w:rPr>
                <w:b/>
                <w:bCs/>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02EBE41" w14:textId="77777777" w:rsidR="006C06F6" w:rsidRPr="006C06F6" w:rsidRDefault="006C06F6" w:rsidP="006C06F6">
            <w:pPr>
              <w:spacing w:after="0"/>
              <w:jc w:val="left"/>
              <w:rPr>
                <w:b/>
                <w:bCs/>
                <w:sz w:val="14"/>
                <w:szCs w:val="14"/>
              </w:rPr>
            </w:pPr>
          </w:p>
        </w:tc>
        <w:tc>
          <w:tcPr>
            <w:tcW w:w="807" w:type="dxa"/>
            <w:tcBorders>
              <w:top w:val="nil"/>
              <w:left w:val="nil"/>
              <w:bottom w:val="single" w:sz="4" w:space="0" w:color="auto"/>
              <w:right w:val="single" w:sz="4" w:space="0" w:color="auto"/>
            </w:tcBorders>
            <w:shd w:val="clear" w:color="auto" w:fill="auto"/>
            <w:noWrap/>
            <w:vAlign w:val="bottom"/>
            <w:hideMark/>
          </w:tcPr>
          <w:p w14:paraId="4C45AACA" w14:textId="77777777" w:rsidR="006C06F6" w:rsidRPr="006C06F6" w:rsidRDefault="40B3576B" w:rsidP="40B3576B">
            <w:pPr>
              <w:spacing w:after="0"/>
              <w:jc w:val="center"/>
              <w:rPr>
                <w:b/>
                <w:bCs/>
                <w:sz w:val="14"/>
                <w:szCs w:val="14"/>
              </w:rPr>
            </w:pPr>
            <w:r w:rsidRPr="40B3576B">
              <w:rPr>
                <w:b/>
                <w:bCs/>
                <w:sz w:val="14"/>
                <w:szCs w:val="14"/>
              </w:rPr>
              <w:t>Mrd Ft</w:t>
            </w:r>
          </w:p>
        </w:tc>
        <w:tc>
          <w:tcPr>
            <w:tcW w:w="593" w:type="dxa"/>
            <w:tcBorders>
              <w:top w:val="nil"/>
              <w:left w:val="nil"/>
              <w:bottom w:val="single" w:sz="4" w:space="0" w:color="auto"/>
              <w:right w:val="single" w:sz="4" w:space="0" w:color="auto"/>
            </w:tcBorders>
            <w:shd w:val="clear" w:color="auto" w:fill="auto"/>
            <w:noWrap/>
            <w:vAlign w:val="bottom"/>
            <w:hideMark/>
          </w:tcPr>
          <w:p w14:paraId="27B5E5DF" w14:textId="77777777" w:rsidR="006C06F6" w:rsidRPr="006C06F6" w:rsidRDefault="40B3576B" w:rsidP="40B3576B">
            <w:pPr>
              <w:spacing w:after="0"/>
              <w:jc w:val="center"/>
              <w:rPr>
                <w:b/>
                <w:bCs/>
                <w:sz w:val="14"/>
                <w:szCs w:val="14"/>
              </w:rPr>
            </w:pPr>
            <w:r w:rsidRPr="40B3576B">
              <w:rPr>
                <w:b/>
                <w:bCs/>
                <w:sz w:val="14"/>
                <w:szCs w:val="14"/>
              </w:rPr>
              <w:t>%</w:t>
            </w:r>
          </w:p>
        </w:tc>
      </w:tr>
      <w:tr w:rsidR="006C06F6" w:rsidRPr="006C06F6" w14:paraId="27A81F51"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267E1CDA" w14:textId="77777777" w:rsidR="006C06F6" w:rsidRPr="006C06F6" w:rsidRDefault="40B3576B" w:rsidP="40B3576B">
            <w:pPr>
              <w:spacing w:after="0"/>
              <w:jc w:val="left"/>
              <w:rPr>
                <w:b/>
                <w:bCs/>
                <w:sz w:val="14"/>
                <w:szCs w:val="14"/>
              </w:rPr>
            </w:pPr>
            <w:r w:rsidRPr="40B3576B">
              <w:rPr>
                <w:b/>
                <w:bCs/>
                <w:sz w:val="14"/>
                <w:szCs w:val="14"/>
              </w:rPr>
              <w:t>Családi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4F259649" w14:textId="77777777" w:rsidR="006C06F6" w:rsidRPr="006C06F6" w:rsidRDefault="40B3576B" w:rsidP="40B3576B">
            <w:pPr>
              <w:spacing w:after="0"/>
              <w:jc w:val="right"/>
              <w:rPr>
                <w:b/>
                <w:bCs/>
                <w:sz w:val="14"/>
                <w:szCs w:val="14"/>
              </w:rPr>
            </w:pPr>
            <w:r w:rsidRPr="40B3576B">
              <w:rPr>
                <w:b/>
                <w:bCs/>
                <w:sz w:val="14"/>
                <w:szCs w:val="14"/>
              </w:rPr>
              <w:t>168,3</w:t>
            </w:r>
          </w:p>
        </w:tc>
        <w:tc>
          <w:tcPr>
            <w:tcW w:w="960" w:type="dxa"/>
            <w:tcBorders>
              <w:top w:val="nil"/>
              <w:left w:val="nil"/>
              <w:bottom w:val="single" w:sz="4" w:space="0" w:color="auto"/>
              <w:right w:val="single" w:sz="4" w:space="0" w:color="auto"/>
            </w:tcBorders>
            <w:shd w:val="clear" w:color="auto" w:fill="auto"/>
            <w:noWrap/>
            <w:vAlign w:val="bottom"/>
            <w:hideMark/>
          </w:tcPr>
          <w:p w14:paraId="7003461C" w14:textId="77777777" w:rsidR="006C06F6" w:rsidRPr="006C06F6" w:rsidRDefault="40B3576B" w:rsidP="40B3576B">
            <w:pPr>
              <w:spacing w:after="0"/>
              <w:jc w:val="right"/>
              <w:rPr>
                <w:b/>
                <w:bCs/>
                <w:sz w:val="14"/>
                <w:szCs w:val="14"/>
              </w:rPr>
            </w:pPr>
            <w:r w:rsidRPr="40B3576B">
              <w:rPr>
                <w:b/>
                <w:bCs/>
                <w:sz w:val="14"/>
                <w:szCs w:val="14"/>
              </w:rPr>
              <w:t>167,7</w:t>
            </w:r>
          </w:p>
        </w:tc>
        <w:tc>
          <w:tcPr>
            <w:tcW w:w="807" w:type="dxa"/>
            <w:tcBorders>
              <w:top w:val="nil"/>
              <w:left w:val="nil"/>
              <w:bottom w:val="single" w:sz="4" w:space="0" w:color="auto"/>
              <w:right w:val="single" w:sz="4" w:space="0" w:color="auto"/>
            </w:tcBorders>
            <w:shd w:val="clear" w:color="auto" w:fill="auto"/>
            <w:noWrap/>
            <w:vAlign w:val="bottom"/>
            <w:hideMark/>
          </w:tcPr>
          <w:p w14:paraId="48A586F9" w14:textId="77777777" w:rsidR="006C06F6" w:rsidRPr="006C06F6" w:rsidRDefault="40B3576B" w:rsidP="40B3576B">
            <w:pPr>
              <w:spacing w:after="0"/>
              <w:jc w:val="right"/>
              <w:rPr>
                <w:b/>
                <w:bCs/>
                <w:sz w:val="14"/>
                <w:szCs w:val="14"/>
              </w:rPr>
            </w:pPr>
            <w:r w:rsidRPr="40B3576B">
              <w:rPr>
                <w:b/>
                <w:bCs/>
                <w:sz w:val="14"/>
                <w:szCs w:val="14"/>
              </w:rPr>
              <w:t>-0,6</w:t>
            </w:r>
          </w:p>
        </w:tc>
        <w:tc>
          <w:tcPr>
            <w:tcW w:w="593" w:type="dxa"/>
            <w:tcBorders>
              <w:top w:val="nil"/>
              <w:left w:val="nil"/>
              <w:bottom w:val="single" w:sz="4" w:space="0" w:color="auto"/>
              <w:right w:val="single" w:sz="4" w:space="0" w:color="auto"/>
            </w:tcBorders>
            <w:shd w:val="clear" w:color="auto" w:fill="auto"/>
            <w:noWrap/>
            <w:vAlign w:val="bottom"/>
            <w:hideMark/>
          </w:tcPr>
          <w:p w14:paraId="1137E064" w14:textId="77777777" w:rsidR="006C06F6" w:rsidRPr="006C06F6" w:rsidRDefault="40B3576B" w:rsidP="40B3576B">
            <w:pPr>
              <w:spacing w:after="0"/>
              <w:jc w:val="right"/>
              <w:rPr>
                <w:b/>
                <w:bCs/>
                <w:sz w:val="14"/>
                <w:szCs w:val="14"/>
              </w:rPr>
            </w:pPr>
            <w:r w:rsidRPr="40B3576B">
              <w:rPr>
                <w:b/>
                <w:bCs/>
                <w:sz w:val="14"/>
                <w:szCs w:val="14"/>
              </w:rPr>
              <w:t>99,6</w:t>
            </w:r>
          </w:p>
        </w:tc>
      </w:tr>
      <w:tr w:rsidR="006C06F6" w:rsidRPr="006C06F6" w14:paraId="7BE15355"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77C628BC" w14:textId="77777777" w:rsidR="006C06F6" w:rsidRPr="006C06F6" w:rsidRDefault="40B3576B" w:rsidP="40B3576B">
            <w:pPr>
              <w:spacing w:after="0"/>
              <w:ind w:firstLineChars="100" w:firstLine="140"/>
              <w:jc w:val="left"/>
              <w:rPr>
                <w:i/>
                <w:iCs/>
                <w:sz w:val="14"/>
                <w:szCs w:val="14"/>
              </w:rPr>
            </w:pPr>
            <w:r w:rsidRPr="40B3576B">
              <w:rPr>
                <w:i/>
                <w:iCs/>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0815AAFD" w14:textId="77777777" w:rsidR="006C06F6" w:rsidRPr="006C06F6" w:rsidRDefault="40B3576B" w:rsidP="40B3576B">
            <w:pPr>
              <w:spacing w:after="0"/>
              <w:jc w:val="right"/>
              <w:rPr>
                <w:sz w:val="14"/>
                <w:szCs w:val="14"/>
              </w:rPr>
            </w:pPr>
            <w:r w:rsidRPr="40B3576B">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424D5499" w14:textId="77777777" w:rsidR="006C06F6" w:rsidRPr="006C06F6" w:rsidRDefault="40B3576B" w:rsidP="40B3576B">
            <w:pPr>
              <w:spacing w:after="0"/>
              <w:jc w:val="right"/>
              <w:rPr>
                <w:sz w:val="14"/>
                <w:szCs w:val="14"/>
              </w:rPr>
            </w:pPr>
            <w:r w:rsidRPr="40B3576B">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2BB33D43" w14:textId="77777777" w:rsidR="006C06F6" w:rsidRPr="006C06F6" w:rsidRDefault="40B3576B" w:rsidP="40B3576B">
            <w:pPr>
              <w:spacing w:after="0"/>
              <w:jc w:val="right"/>
              <w:rPr>
                <w:sz w:val="14"/>
                <w:szCs w:val="14"/>
              </w:rPr>
            </w:pPr>
            <w:r w:rsidRPr="40B3576B">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1641F85A" w14:textId="77777777" w:rsidR="006C06F6" w:rsidRPr="006C06F6" w:rsidRDefault="40B3576B" w:rsidP="40B3576B">
            <w:pPr>
              <w:spacing w:after="0"/>
              <w:jc w:val="right"/>
              <w:rPr>
                <w:sz w:val="14"/>
                <w:szCs w:val="14"/>
              </w:rPr>
            </w:pPr>
            <w:r w:rsidRPr="40B3576B">
              <w:rPr>
                <w:sz w:val="14"/>
                <w:szCs w:val="14"/>
              </w:rPr>
              <w:t> </w:t>
            </w:r>
          </w:p>
        </w:tc>
      </w:tr>
      <w:tr w:rsidR="006C06F6" w:rsidRPr="006C06F6" w14:paraId="080782EE"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0E46DE64" w14:textId="77777777" w:rsidR="006C06F6" w:rsidRPr="006C06F6" w:rsidRDefault="40B3576B" w:rsidP="40B3576B">
            <w:pPr>
              <w:spacing w:after="0"/>
              <w:ind w:firstLineChars="400" w:firstLine="560"/>
              <w:jc w:val="left"/>
              <w:rPr>
                <w:i/>
                <w:iCs/>
                <w:sz w:val="14"/>
                <w:szCs w:val="14"/>
              </w:rPr>
            </w:pPr>
            <w:r w:rsidRPr="40B3576B">
              <w:rPr>
                <w:i/>
                <w:iCs/>
                <w:sz w:val="14"/>
                <w:szCs w:val="14"/>
              </w:rPr>
              <w:t>családi pótlék</w:t>
            </w:r>
          </w:p>
        </w:tc>
        <w:tc>
          <w:tcPr>
            <w:tcW w:w="980" w:type="dxa"/>
            <w:tcBorders>
              <w:top w:val="nil"/>
              <w:left w:val="nil"/>
              <w:bottom w:val="single" w:sz="4" w:space="0" w:color="auto"/>
              <w:right w:val="single" w:sz="4" w:space="0" w:color="auto"/>
            </w:tcBorders>
            <w:shd w:val="clear" w:color="auto" w:fill="auto"/>
            <w:noWrap/>
            <w:vAlign w:val="bottom"/>
            <w:hideMark/>
          </w:tcPr>
          <w:p w14:paraId="4FCE5534" w14:textId="77777777" w:rsidR="006C06F6" w:rsidRPr="006C06F6" w:rsidRDefault="40B3576B" w:rsidP="40B3576B">
            <w:pPr>
              <w:spacing w:after="0"/>
              <w:jc w:val="right"/>
              <w:rPr>
                <w:sz w:val="14"/>
                <w:szCs w:val="14"/>
              </w:rPr>
            </w:pPr>
            <w:r w:rsidRPr="40B3576B">
              <w:rPr>
                <w:sz w:val="14"/>
                <w:szCs w:val="14"/>
              </w:rPr>
              <w:t>130,4</w:t>
            </w:r>
          </w:p>
        </w:tc>
        <w:tc>
          <w:tcPr>
            <w:tcW w:w="960" w:type="dxa"/>
            <w:tcBorders>
              <w:top w:val="nil"/>
              <w:left w:val="nil"/>
              <w:bottom w:val="single" w:sz="4" w:space="0" w:color="auto"/>
              <w:right w:val="single" w:sz="4" w:space="0" w:color="auto"/>
            </w:tcBorders>
            <w:shd w:val="clear" w:color="auto" w:fill="auto"/>
            <w:noWrap/>
            <w:vAlign w:val="bottom"/>
            <w:hideMark/>
          </w:tcPr>
          <w:p w14:paraId="39A7928B" w14:textId="77777777" w:rsidR="006C06F6" w:rsidRPr="006C06F6" w:rsidRDefault="40B3576B" w:rsidP="40B3576B">
            <w:pPr>
              <w:spacing w:after="0"/>
              <w:jc w:val="right"/>
              <w:rPr>
                <w:sz w:val="14"/>
                <w:szCs w:val="14"/>
              </w:rPr>
            </w:pPr>
            <w:r w:rsidRPr="40B3576B">
              <w:rPr>
                <w:sz w:val="14"/>
                <w:szCs w:val="14"/>
              </w:rPr>
              <w:t>128,9</w:t>
            </w:r>
          </w:p>
        </w:tc>
        <w:tc>
          <w:tcPr>
            <w:tcW w:w="807" w:type="dxa"/>
            <w:tcBorders>
              <w:top w:val="nil"/>
              <w:left w:val="nil"/>
              <w:bottom w:val="single" w:sz="4" w:space="0" w:color="auto"/>
              <w:right w:val="single" w:sz="4" w:space="0" w:color="auto"/>
            </w:tcBorders>
            <w:shd w:val="clear" w:color="auto" w:fill="auto"/>
            <w:noWrap/>
            <w:vAlign w:val="bottom"/>
            <w:hideMark/>
          </w:tcPr>
          <w:p w14:paraId="6CADB27D" w14:textId="77777777" w:rsidR="006C06F6" w:rsidRPr="006C06F6" w:rsidRDefault="40B3576B" w:rsidP="40B3576B">
            <w:pPr>
              <w:spacing w:after="0"/>
              <w:jc w:val="right"/>
              <w:rPr>
                <w:sz w:val="14"/>
                <w:szCs w:val="14"/>
              </w:rPr>
            </w:pPr>
            <w:r w:rsidRPr="40B3576B">
              <w:rPr>
                <w:sz w:val="14"/>
                <w:szCs w:val="14"/>
              </w:rPr>
              <w:t>-1,5</w:t>
            </w:r>
          </w:p>
        </w:tc>
        <w:tc>
          <w:tcPr>
            <w:tcW w:w="593" w:type="dxa"/>
            <w:tcBorders>
              <w:top w:val="nil"/>
              <w:left w:val="nil"/>
              <w:bottom w:val="single" w:sz="4" w:space="0" w:color="auto"/>
              <w:right w:val="single" w:sz="4" w:space="0" w:color="auto"/>
            </w:tcBorders>
            <w:shd w:val="clear" w:color="auto" w:fill="auto"/>
            <w:noWrap/>
            <w:vAlign w:val="bottom"/>
            <w:hideMark/>
          </w:tcPr>
          <w:p w14:paraId="5EA55700" w14:textId="77777777" w:rsidR="006C06F6" w:rsidRPr="006C06F6" w:rsidRDefault="40B3576B" w:rsidP="40B3576B">
            <w:pPr>
              <w:spacing w:after="0"/>
              <w:jc w:val="right"/>
              <w:rPr>
                <w:sz w:val="14"/>
                <w:szCs w:val="14"/>
              </w:rPr>
            </w:pPr>
            <w:r w:rsidRPr="40B3576B">
              <w:rPr>
                <w:sz w:val="14"/>
                <w:szCs w:val="14"/>
              </w:rPr>
              <w:t>98,8</w:t>
            </w:r>
          </w:p>
        </w:tc>
      </w:tr>
      <w:tr w:rsidR="006C06F6" w:rsidRPr="006C06F6" w14:paraId="707766BD"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3369577" w14:textId="77777777" w:rsidR="006C06F6" w:rsidRPr="006C06F6" w:rsidRDefault="40B3576B" w:rsidP="40B3576B">
            <w:pPr>
              <w:spacing w:after="0"/>
              <w:ind w:firstLineChars="400" w:firstLine="560"/>
              <w:jc w:val="left"/>
              <w:rPr>
                <w:i/>
                <w:iCs/>
                <w:sz w:val="14"/>
                <w:szCs w:val="14"/>
              </w:rPr>
            </w:pPr>
            <w:r w:rsidRPr="40B3576B">
              <w:rPr>
                <w:i/>
                <w:iCs/>
                <w:sz w:val="14"/>
                <w:szCs w:val="14"/>
              </w:rPr>
              <w:t>gyermekgondozást segítő ellátás</w:t>
            </w:r>
          </w:p>
        </w:tc>
        <w:tc>
          <w:tcPr>
            <w:tcW w:w="980" w:type="dxa"/>
            <w:tcBorders>
              <w:top w:val="nil"/>
              <w:left w:val="nil"/>
              <w:bottom w:val="single" w:sz="4" w:space="0" w:color="auto"/>
              <w:right w:val="single" w:sz="4" w:space="0" w:color="auto"/>
            </w:tcBorders>
            <w:shd w:val="clear" w:color="auto" w:fill="auto"/>
            <w:noWrap/>
            <w:vAlign w:val="bottom"/>
            <w:hideMark/>
          </w:tcPr>
          <w:p w14:paraId="0010C822" w14:textId="77777777" w:rsidR="006C06F6" w:rsidRPr="006C06F6" w:rsidRDefault="40B3576B" w:rsidP="40B3576B">
            <w:pPr>
              <w:spacing w:after="0"/>
              <w:jc w:val="right"/>
              <w:rPr>
                <w:sz w:val="14"/>
                <w:szCs w:val="14"/>
              </w:rPr>
            </w:pPr>
            <w:r w:rsidRPr="40B3576B">
              <w:rPr>
                <w:sz w:val="14"/>
                <w:szCs w:val="14"/>
              </w:rPr>
              <w:t>24,7</w:t>
            </w:r>
          </w:p>
        </w:tc>
        <w:tc>
          <w:tcPr>
            <w:tcW w:w="960" w:type="dxa"/>
            <w:tcBorders>
              <w:top w:val="nil"/>
              <w:left w:val="nil"/>
              <w:bottom w:val="single" w:sz="4" w:space="0" w:color="auto"/>
              <w:right w:val="single" w:sz="4" w:space="0" w:color="auto"/>
            </w:tcBorders>
            <w:shd w:val="clear" w:color="auto" w:fill="auto"/>
            <w:noWrap/>
            <w:vAlign w:val="bottom"/>
            <w:hideMark/>
          </w:tcPr>
          <w:p w14:paraId="1EDA61EC" w14:textId="77777777" w:rsidR="006C06F6" w:rsidRPr="006C06F6" w:rsidRDefault="40B3576B" w:rsidP="40B3576B">
            <w:pPr>
              <w:spacing w:after="0"/>
              <w:jc w:val="right"/>
              <w:rPr>
                <w:sz w:val="14"/>
                <w:szCs w:val="14"/>
              </w:rPr>
            </w:pPr>
            <w:r w:rsidRPr="40B3576B">
              <w:rPr>
                <w:sz w:val="14"/>
                <w:szCs w:val="14"/>
              </w:rPr>
              <w:t>23,9</w:t>
            </w:r>
          </w:p>
        </w:tc>
        <w:tc>
          <w:tcPr>
            <w:tcW w:w="807" w:type="dxa"/>
            <w:tcBorders>
              <w:top w:val="nil"/>
              <w:left w:val="nil"/>
              <w:bottom w:val="single" w:sz="4" w:space="0" w:color="auto"/>
              <w:right w:val="single" w:sz="4" w:space="0" w:color="auto"/>
            </w:tcBorders>
            <w:shd w:val="clear" w:color="auto" w:fill="auto"/>
            <w:noWrap/>
            <w:vAlign w:val="bottom"/>
            <w:hideMark/>
          </w:tcPr>
          <w:p w14:paraId="3AEB5C99" w14:textId="77777777" w:rsidR="006C06F6" w:rsidRPr="006C06F6" w:rsidRDefault="40B3576B" w:rsidP="40B3576B">
            <w:pPr>
              <w:spacing w:after="0"/>
              <w:jc w:val="right"/>
              <w:rPr>
                <w:sz w:val="14"/>
                <w:szCs w:val="14"/>
              </w:rPr>
            </w:pPr>
            <w:r w:rsidRPr="40B3576B">
              <w:rPr>
                <w:sz w:val="14"/>
                <w:szCs w:val="14"/>
              </w:rPr>
              <w:t>-0,8</w:t>
            </w:r>
          </w:p>
        </w:tc>
        <w:tc>
          <w:tcPr>
            <w:tcW w:w="593" w:type="dxa"/>
            <w:tcBorders>
              <w:top w:val="nil"/>
              <w:left w:val="nil"/>
              <w:bottom w:val="single" w:sz="4" w:space="0" w:color="auto"/>
              <w:right w:val="single" w:sz="4" w:space="0" w:color="auto"/>
            </w:tcBorders>
            <w:shd w:val="clear" w:color="auto" w:fill="auto"/>
            <w:noWrap/>
            <w:vAlign w:val="bottom"/>
            <w:hideMark/>
          </w:tcPr>
          <w:p w14:paraId="724C3418" w14:textId="77777777" w:rsidR="006C06F6" w:rsidRPr="006C06F6" w:rsidRDefault="40B3576B" w:rsidP="40B3576B">
            <w:pPr>
              <w:spacing w:after="0"/>
              <w:jc w:val="right"/>
              <w:rPr>
                <w:sz w:val="14"/>
                <w:szCs w:val="14"/>
              </w:rPr>
            </w:pPr>
            <w:r w:rsidRPr="40B3576B">
              <w:rPr>
                <w:sz w:val="14"/>
                <w:szCs w:val="14"/>
              </w:rPr>
              <w:t>96,8</w:t>
            </w:r>
          </w:p>
        </w:tc>
      </w:tr>
      <w:tr w:rsidR="006C06F6" w:rsidRPr="006C06F6" w14:paraId="32A2E7DA"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FAD61C3" w14:textId="77777777" w:rsidR="006C06F6" w:rsidRPr="006C06F6" w:rsidRDefault="40B3576B" w:rsidP="40B3576B">
            <w:pPr>
              <w:spacing w:after="0"/>
              <w:ind w:firstLineChars="400" w:firstLine="560"/>
              <w:jc w:val="left"/>
              <w:rPr>
                <w:i/>
                <w:iCs/>
                <w:sz w:val="14"/>
                <w:szCs w:val="14"/>
              </w:rPr>
            </w:pPr>
            <w:r w:rsidRPr="40B3576B">
              <w:rPr>
                <w:i/>
                <w:iCs/>
                <w:sz w:val="14"/>
                <w:szCs w:val="14"/>
              </w:rPr>
              <w:t>gyermeknevelési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298C4E7B" w14:textId="77777777" w:rsidR="006C06F6" w:rsidRPr="006C06F6" w:rsidRDefault="40B3576B" w:rsidP="40B3576B">
            <w:pPr>
              <w:spacing w:after="0"/>
              <w:jc w:val="right"/>
              <w:rPr>
                <w:sz w:val="14"/>
                <w:szCs w:val="14"/>
              </w:rPr>
            </w:pPr>
            <w:r w:rsidRPr="40B3576B">
              <w:rPr>
                <w:sz w:val="14"/>
                <w:szCs w:val="14"/>
              </w:rPr>
              <w:t>4,6</w:t>
            </w:r>
          </w:p>
        </w:tc>
        <w:tc>
          <w:tcPr>
            <w:tcW w:w="960" w:type="dxa"/>
            <w:tcBorders>
              <w:top w:val="nil"/>
              <w:left w:val="nil"/>
              <w:bottom w:val="single" w:sz="4" w:space="0" w:color="auto"/>
              <w:right w:val="single" w:sz="4" w:space="0" w:color="auto"/>
            </w:tcBorders>
            <w:shd w:val="clear" w:color="auto" w:fill="auto"/>
            <w:noWrap/>
            <w:vAlign w:val="bottom"/>
            <w:hideMark/>
          </w:tcPr>
          <w:p w14:paraId="06AB99F5" w14:textId="77777777" w:rsidR="006C06F6" w:rsidRPr="006C06F6" w:rsidRDefault="40B3576B" w:rsidP="40B3576B">
            <w:pPr>
              <w:spacing w:after="0"/>
              <w:jc w:val="right"/>
              <w:rPr>
                <w:sz w:val="14"/>
                <w:szCs w:val="14"/>
              </w:rPr>
            </w:pPr>
            <w:r w:rsidRPr="40B3576B">
              <w:rPr>
                <w:sz w:val="14"/>
                <w:szCs w:val="14"/>
              </w:rPr>
              <w:t>4,9</w:t>
            </w:r>
          </w:p>
        </w:tc>
        <w:tc>
          <w:tcPr>
            <w:tcW w:w="807" w:type="dxa"/>
            <w:tcBorders>
              <w:top w:val="nil"/>
              <w:left w:val="nil"/>
              <w:bottom w:val="single" w:sz="4" w:space="0" w:color="auto"/>
              <w:right w:val="single" w:sz="4" w:space="0" w:color="auto"/>
            </w:tcBorders>
            <w:shd w:val="clear" w:color="auto" w:fill="auto"/>
            <w:noWrap/>
            <w:vAlign w:val="bottom"/>
            <w:hideMark/>
          </w:tcPr>
          <w:p w14:paraId="003DF43F" w14:textId="77777777" w:rsidR="006C06F6" w:rsidRPr="006C06F6" w:rsidRDefault="40B3576B" w:rsidP="40B3576B">
            <w:pPr>
              <w:spacing w:after="0"/>
              <w:jc w:val="right"/>
              <w:rPr>
                <w:sz w:val="14"/>
                <w:szCs w:val="14"/>
              </w:rPr>
            </w:pPr>
            <w:r w:rsidRPr="40B3576B">
              <w:rPr>
                <w:sz w:val="14"/>
                <w:szCs w:val="14"/>
              </w:rPr>
              <w:t>0,3</w:t>
            </w:r>
          </w:p>
        </w:tc>
        <w:tc>
          <w:tcPr>
            <w:tcW w:w="593" w:type="dxa"/>
            <w:tcBorders>
              <w:top w:val="nil"/>
              <w:left w:val="nil"/>
              <w:bottom w:val="single" w:sz="4" w:space="0" w:color="auto"/>
              <w:right w:val="single" w:sz="4" w:space="0" w:color="auto"/>
            </w:tcBorders>
            <w:shd w:val="clear" w:color="auto" w:fill="auto"/>
            <w:noWrap/>
            <w:vAlign w:val="bottom"/>
            <w:hideMark/>
          </w:tcPr>
          <w:p w14:paraId="63CFB6C1" w14:textId="77777777" w:rsidR="006C06F6" w:rsidRPr="006C06F6" w:rsidRDefault="40B3576B" w:rsidP="40B3576B">
            <w:pPr>
              <w:spacing w:after="0"/>
              <w:jc w:val="right"/>
              <w:rPr>
                <w:sz w:val="14"/>
                <w:szCs w:val="14"/>
              </w:rPr>
            </w:pPr>
            <w:r w:rsidRPr="40B3576B">
              <w:rPr>
                <w:sz w:val="14"/>
                <w:szCs w:val="14"/>
              </w:rPr>
              <w:t>106,5</w:t>
            </w:r>
          </w:p>
        </w:tc>
      </w:tr>
      <w:tr w:rsidR="006C06F6" w:rsidRPr="006C06F6" w14:paraId="219EC125"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EA560FA" w14:textId="77777777" w:rsidR="006C06F6" w:rsidRPr="006C06F6" w:rsidRDefault="40B3576B" w:rsidP="40B3576B">
            <w:pPr>
              <w:spacing w:after="0"/>
              <w:ind w:firstLineChars="400" w:firstLine="560"/>
              <w:jc w:val="left"/>
              <w:rPr>
                <w:i/>
                <w:iCs/>
                <w:sz w:val="14"/>
                <w:szCs w:val="14"/>
              </w:rPr>
            </w:pPr>
            <w:r w:rsidRPr="40B3576B">
              <w:rPr>
                <w:i/>
                <w:iCs/>
                <w:sz w:val="14"/>
                <w:szCs w:val="14"/>
              </w:rPr>
              <w:t>életkezdési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198614F0" w14:textId="77777777" w:rsidR="006C06F6" w:rsidRPr="006C06F6" w:rsidRDefault="40B3576B" w:rsidP="40B3576B">
            <w:pPr>
              <w:spacing w:after="0"/>
              <w:jc w:val="right"/>
              <w:rPr>
                <w:sz w:val="14"/>
                <w:szCs w:val="14"/>
              </w:rPr>
            </w:pPr>
            <w:r w:rsidRPr="40B3576B">
              <w:rPr>
                <w:sz w:val="14"/>
                <w:szCs w:val="14"/>
              </w:rPr>
              <w:t>4,4</w:t>
            </w:r>
          </w:p>
        </w:tc>
        <w:tc>
          <w:tcPr>
            <w:tcW w:w="960" w:type="dxa"/>
            <w:tcBorders>
              <w:top w:val="nil"/>
              <w:left w:val="nil"/>
              <w:bottom w:val="single" w:sz="4" w:space="0" w:color="auto"/>
              <w:right w:val="single" w:sz="4" w:space="0" w:color="auto"/>
            </w:tcBorders>
            <w:shd w:val="clear" w:color="auto" w:fill="auto"/>
            <w:noWrap/>
            <w:vAlign w:val="bottom"/>
            <w:hideMark/>
          </w:tcPr>
          <w:p w14:paraId="47DE04EB" w14:textId="77777777" w:rsidR="006C06F6" w:rsidRPr="006C06F6" w:rsidRDefault="40B3576B" w:rsidP="40B3576B">
            <w:pPr>
              <w:spacing w:after="0"/>
              <w:jc w:val="right"/>
              <w:rPr>
                <w:sz w:val="14"/>
                <w:szCs w:val="14"/>
              </w:rPr>
            </w:pPr>
            <w:r w:rsidRPr="40B3576B">
              <w:rPr>
                <w:sz w:val="14"/>
                <w:szCs w:val="14"/>
              </w:rPr>
              <w:t>5,2</w:t>
            </w:r>
          </w:p>
        </w:tc>
        <w:tc>
          <w:tcPr>
            <w:tcW w:w="807" w:type="dxa"/>
            <w:tcBorders>
              <w:top w:val="nil"/>
              <w:left w:val="nil"/>
              <w:bottom w:val="single" w:sz="4" w:space="0" w:color="auto"/>
              <w:right w:val="single" w:sz="4" w:space="0" w:color="auto"/>
            </w:tcBorders>
            <w:shd w:val="clear" w:color="auto" w:fill="auto"/>
            <w:noWrap/>
            <w:vAlign w:val="bottom"/>
            <w:hideMark/>
          </w:tcPr>
          <w:p w14:paraId="2B6F7B05" w14:textId="77777777" w:rsidR="006C06F6" w:rsidRPr="006C06F6" w:rsidRDefault="40B3576B" w:rsidP="40B3576B">
            <w:pPr>
              <w:spacing w:after="0"/>
              <w:jc w:val="right"/>
              <w:rPr>
                <w:sz w:val="14"/>
                <w:szCs w:val="14"/>
              </w:rPr>
            </w:pPr>
            <w:r w:rsidRPr="40B3576B">
              <w:rPr>
                <w:sz w:val="14"/>
                <w:szCs w:val="14"/>
              </w:rPr>
              <w:t>0,8</w:t>
            </w:r>
          </w:p>
        </w:tc>
        <w:tc>
          <w:tcPr>
            <w:tcW w:w="593" w:type="dxa"/>
            <w:tcBorders>
              <w:top w:val="nil"/>
              <w:left w:val="nil"/>
              <w:bottom w:val="single" w:sz="4" w:space="0" w:color="auto"/>
              <w:right w:val="single" w:sz="4" w:space="0" w:color="auto"/>
            </w:tcBorders>
            <w:shd w:val="clear" w:color="auto" w:fill="auto"/>
            <w:noWrap/>
            <w:vAlign w:val="bottom"/>
            <w:hideMark/>
          </w:tcPr>
          <w:p w14:paraId="6ECF4BE0" w14:textId="77777777" w:rsidR="006C06F6" w:rsidRPr="006C06F6" w:rsidRDefault="40B3576B" w:rsidP="40B3576B">
            <w:pPr>
              <w:spacing w:after="0"/>
              <w:jc w:val="right"/>
              <w:rPr>
                <w:sz w:val="14"/>
                <w:szCs w:val="14"/>
              </w:rPr>
            </w:pPr>
            <w:r w:rsidRPr="40B3576B">
              <w:rPr>
                <w:sz w:val="14"/>
                <w:szCs w:val="14"/>
              </w:rPr>
              <w:t>118,2</w:t>
            </w:r>
          </w:p>
        </w:tc>
      </w:tr>
      <w:tr w:rsidR="006C06F6" w:rsidRPr="006C06F6" w14:paraId="086549CA"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2646A27" w14:textId="77777777" w:rsidR="006C06F6" w:rsidRPr="006C06F6" w:rsidRDefault="40B3576B" w:rsidP="40B3576B">
            <w:pPr>
              <w:spacing w:after="0"/>
              <w:jc w:val="left"/>
              <w:rPr>
                <w:b/>
                <w:bCs/>
                <w:sz w:val="14"/>
                <w:szCs w:val="14"/>
              </w:rPr>
            </w:pPr>
            <w:r w:rsidRPr="40B3576B">
              <w:rPr>
                <w:b/>
                <w:bCs/>
                <w:sz w:val="14"/>
                <w:szCs w:val="14"/>
              </w:rPr>
              <w:t>Korhatár alatti ellátások</w:t>
            </w:r>
          </w:p>
        </w:tc>
        <w:tc>
          <w:tcPr>
            <w:tcW w:w="980" w:type="dxa"/>
            <w:tcBorders>
              <w:top w:val="nil"/>
              <w:left w:val="nil"/>
              <w:bottom w:val="single" w:sz="4" w:space="0" w:color="auto"/>
              <w:right w:val="single" w:sz="4" w:space="0" w:color="auto"/>
            </w:tcBorders>
            <w:shd w:val="clear" w:color="auto" w:fill="auto"/>
            <w:noWrap/>
            <w:vAlign w:val="bottom"/>
            <w:hideMark/>
          </w:tcPr>
          <w:p w14:paraId="41493F79" w14:textId="77777777" w:rsidR="006C06F6" w:rsidRPr="006C06F6" w:rsidRDefault="40B3576B" w:rsidP="40B3576B">
            <w:pPr>
              <w:spacing w:after="0"/>
              <w:jc w:val="right"/>
              <w:rPr>
                <w:b/>
                <w:bCs/>
                <w:sz w:val="14"/>
                <w:szCs w:val="14"/>
              </w:rPr>
            </w:pPr>
            <w:r w:rsidRPr="40B3576B">
              <w:rPr>
                <w:b/>
                <w:bCs/>
                <w:sz w:val="14"/>
                <w:szCs w:val="14"/>
              </w:rPr>
              <w:t>39,1</w:t>
            </w:r>
          </w:p>
        </w:tc>
        <w:tc>
          <w:tcPr>
            <w:tcW w:w="960" w:type="dxa"/>
            <w:tcBorders>
              <w:top w:val="nil"/>
              <w:left w:val="nil"/>
              <w:bottom w:val="single" w:sz="4" w:space="0" w:color="auto"/>
              <w:right w:val="single" w:sz="4" w:space="0" w:color="auto"/>
            </w:tcBorders>
            <w:shd w:val="clear" w:color="auto" w:fill="auto"/>
            <w:noWrap/>
            <w:vAlign w:val="bottom"/>
            <w:hideMark/>
          </w:tcPr>
          <w:p w14:paraId="3214CE9D" w14:textId="77777777" w:rsidR="006C06F6" w:rsidRPr="006C06F6" w:rsidRDefault="40B3576B" w:rsidP="40B3576B">
            <w:pPr>
              <w:spacing w:after="0"/>
              <w:jc w:val="right"/>
              <w:rPr>
                <w:b/>
                <w:bCs/>
                <w:sz w:val="14"/>
                <w:szCs w:val="14"/>
              </w:rPr>
            </w:pPr>
            <w:r w:rsidRPr="40B3576B">
              <w:rPr>
                <w:b/>
                <w:bCs/>
                <w:sz w:val="14"/>
                <w:szCs w:val="14"/>
              </w:rPr>
              <w:t>38,2</w:t>
            </w:r>
          </w:p>
        </w:tc>
        <w:tc>
          <w:tcPr>
            <w:tcW w:w="807" w:type="dxa"/>
            <w:tcBorders>
              <w:top w:val="nil"/>
              <w:left w:val="nil"/>
              <w:bottom w:val="single" w:sz="4" w:space="0" w:color="auto"/>
              <w:right w:val="single" w:sz="4" w:space="0" w:color="auto"/>
            </w:tcBorders>
            <w:shd w:val="clear" w:color="auto" w:fill="auto"/>
            <w:noWrap/>
            <w:vAlign w:val="bottom"/>
            <w:hideMark/>
          </w:tcPr>
          <w:p w14:paraId="634725B7" w14:textId="77777777" w:rsidR="006C06F6" w:rsidRPr="006C06F6" w:rsidRDefault="40B3576B" w:rsidP="40B3576B">
            <w:pPr>
              <w:spacing w:after="0"/>
              <w:jc w:val="right"/>
              <w:rPr>
                <w:b/>
                <w:bCs/>
                <w:sz w:val="14"/>
                <w:szCs w:val="14"/>
              </w:rPr>
            </w:pPr>
            <w:r w:rsidRPr="40B3576B">
              <w:rPr>
                <w:b/>
                <w:bCs/>
                <w:sz w:val="14"/>
                <w:szCs w:val="14"/>
              </w:rPr>
              <w:t>-0,9</w:t>
            </w:r>
          </w:p>
        </w:tc>
        <w:tc>
          <w:tcPr>
            <w:tcW w:w="593" w:type="dxa"/>
            <w:tcBorders>
              <w:top w:val="nil"/>
              <w:left w:val="nil"/>
              <w:bottom w:val="single" w:sz="4" w:space="0" w:color="auto"/>
              <w:right w:val="single" w:sz="4" w:space="0" w:color="auto"/>
            </w:tcBorders>
            <w:shd w:val="clear" w:color="auto" w:fill="auto"/>
            <w:noWrap/>
            <w:vAlign w:val="bottom"/>
            <w:hideMark/>
          </w:tcPr>
          <w:p w14:paraId="3B7EBEAA" w14:textId="77777777" w:rsidR="006C06F6" w:rsidRPr="006C06F6" w:rsidRDefault="40B3576B" w:rsidP="40B3576B">
            <w:pPr>
              <w:spacing w:after="0"/>
              <w:jc w:val="right"/>
              <w:rPr>
                <w:b/>
                <w:bCs/>
                <w:sz w:val="14"/>
                <w:szCs w:val="14"/>
              </w:rPr>
            </w:pPr>
            <w:r w:rsidRPr="40B3576B">
              <w:rPr>
                <w:b/>
                <w:bCs/>
                <w:sz w:val="14"/>
                <w:szCs w:val="14"/>
              </w:rPr>
              <w:t>97,7</w:t>
            </w:r>
          </w:p>
        </w:tc>
      </w:tr>
      <w:tr w:rsidR="006C06F6" w:rsidRPr="006C06F6" w14:paraId="5CE7B798"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30CC8F8B" w14:textId="77777777" w:rsidR="006C06F6" w:rsidRPr="006C06F6" w:rsidRDefault="40B3576B" w:rsidP="40B3576B">
            <w:pPr>
              <w:spacing w:after="0"/>
              <w:ind w:firstLineChars="100" w:firstLine="140"/>
              <w:jc w:val="left"/>
              <w:rPr>
                <w:i/>
                <w:iCs/>
                <w:sz w:val="14"/>
                <w:szCs w:val="14"/>
              </w:rPr>
            </w:pPr>
            <w:r w:rsidRPr="40B3576B">
              <w:rPr>
                <w:i/>
                <w:iCs/>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32AB9413" w14:textId="77777777" w:rsidR="006C06F6" w:rsidRPr="006C06F6" w:rsidRDefault="40B3576B" w:rsidP="40B3576B">
            <w:pPr>
              <w:spacing w:after="0"/>
              <w:jc w:val="right"/>
              <w:rPr>
                <w:sz w:val="14"/>
                <w:szCs w:val="14"/>
              </w:rPr>
            </w:pPr>
            <w:r w:rsidRPr="40B3576B">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7B5C68CD" w14:textId="77777777" w:rsidR="006C06F6" w:rsidRPr="006C06F6" w:rsidRDefault="40B3576B" w:rsidP="40B3576B">
            <w:pPr>
              <w:spacing w:after="0"/>
              <w:jc w:val="right"/>
              <w:rPr>
                <w:sz w:val="14"/>
                <w:szCs w:val="14"/>
              </w:rPr>
            </w:pPr>
            <w:r w:rsidRPr="40B3576B">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232D80C1" w14:textId="77777777" w:rsidR="006C06F6" w:rsidRPr="006C06F6" w:rsidRDefault="40B3576B" w:rsidP="40B3576B">
            <w:pPr>
              <w:spacing w:after="0"/>
              <w:jc w:val="right"/>
              <w:rPr>
                <w:sz w:val="14"/>
                <w:szCs w:val="14"/>
              </w:rPr>
            </w:pPr>
            <w:r w:rsidRPr="40B3576B">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23B11E64" w14:textId="77777777" w:rsidR="006C06F6" w:rsidRPr="006C06F6" w:rsidRDefault="40B3576B" w:rsidP="40B3576B">
            <w:pPr>
              <w:spacing w:after="0"/>
              <w:jc w:val="right"/>
              <w:rPr>
                <w:sz w:val="14"/>
                <w:szCs w:val="14"/>
              </w:rPr>
            </w:pPr>
            <w:r w:rsidRPr="40B3576B">
              <w:rPr>
                <w:sz w:val="14"/>
                <w:szCs w:val="14"/>
              </w:rPr>
              <w:t> </w:t>
            </w:r>
          </w:p>
        </w:tc>
      </w:tr>
      <w:tr w:rsidR="006C06F6" w:rsidRPr="006C06F6" w14:paraId="39BC8F06"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07B372F" w14:textId="77777777" w:rsidR="006C06F6" w:rsidRPr="006C06F6" w:rsidRDefault="40B3576B" w:rsidP="40B3576B">
            <w:pPr>
              <w:spacing w:after="0"/>
              <w:ind w:firstLineChars="400" w:firstLine="560"/>
              <w:jc w:val="left"/>
              <w:rPr>
                <w:i/>
                <w:iCs/>
                <w:sz w:val="14"/>
                <w:szCs w:val="14"/>
              </w:rPr>
            </w:pPr>
            <w:r w:rsidRPr="40B3576B">
              <w:rPr>
                <w:i/>
                <w:iCs/>
                <w:sz w:val="14"/>
                <w:szCs w:val="14"/>
              </w:rPr>
              <w:t>korhatár előtti ellátás és táncművészeti életjáradék</w:t>
            </w:r>
          </w:p>
        </w:tc>
        <w:tc>
          <w:tcPr>
            <w:tcW w:w="980" w:type="dxa"/>
            <w:tcBorders>
              <w:top w:val="nil"/>
              <w:left w:val="nil"/>
              <w:bottom w:val="single" w:sz="4" w:space="0" w:color="auto"/>
              <w:right w:val="single" w:sz="4" w:space="0" w:color="auto"/>
            </w:tcBorders>
            <w:shd w:val="clear" w:color="auto" w:fill="auto"/>
            <w:noWrap/>
            <w:vAlign w:val="bottom"/>
            <w:hideMark/>
          </w:tcPr>
          <w:p w14:paraId="5200CE4E" w14:textId="77777777" w:rsidR="006C06F6" w:rsidRPr="006C06F6" w:rsidRDefault="40B3576B" w:rsidP="40B3576B">
            <w:pPr>
              <w:spacing w:after="0"/>
              <w:jc w:val="right"/>
              <w:rPr>
                <w:sz w:val="14"/>
                <w:szCs w:val="14"/>
              </w:rPr>
            </w:pPr>
            <w:r w:rsidRPr="40B3576B">
              <w:rPr>
                <w:sz w:val="14"/>
                <w:szCs w:val="14"/>
              </w:rPr>
              <w:t>8,6</w:t>
            </w:r>
          </w:p>
        </w:tc>
        <w:tc>
          <w:tcPr>
            <w:tcW w:w="960" w:type="dxa"/>
            <w:tcBorders>
              <w:top w:val="nil"/>
              <w:left w:val="nil"/>
              <w:bottom w:val="single" w:sz="4" w:space="0" w:color="auto"/>
              <w:right w:val="single" w:sz="4" w:space="0" w:color="auto"/>
            </w:tcBorders>
            <w:shd w:val="clear" w:color="auto" w:fill="auto"/>
            <w:noWrap/>
            <w:vAlign w:val="bottom"/>
            <w:hideMark/>
          </w:tcPr>
          <w:p w14:paraId="03F76413" w14:textId="77777777" w:rsidR="006C06F6" w:rsidRPr="006C06F6" w:rsidRDefault="40B3576B" w:rsidP="40B3576B">
            <w:pPr>
              <w:spacing w:after="0"/>
              <w:jc w:val="right"/>
              <w:rPr>
                <w:sz w:val="14"/>
                <w:szCs w:val="14"/>
              </w:rPr>
            </w:pPr>
            <w:r w:rsidRPr="40B3576B">
              <w:rPr>
                <w:sz w:val="14"/>
                <w:szCs w:val="14"/>
              </w:rPr>
              <w:t>8,6</w:t>
            </w:r>
          </w:p>
        </w:tc>
        <w:tc>
          <w:tcPr>
            <w:tcW w:w="807" w:type="dxa"/>
            <w:tcBorders>
              <w:top w:val="nil"/>
              <w:left w:val="nil"/>
              <w:bottom w:val="single" w:sz="4" w:space="0" w:color="auto"/>
              <w:right w:val="single" w:sz="4" w:space="0" w:color="auto"/>
            </w:tcBorders>
            <w:shd w:val="clear" w:color="auto" w:fill="auto"/>
            <w:noWrap/>
            <w:vAlign w:val="bottom"/>
            <w:hideMark/>
          </w:tcPr>
          <w:p w14:paraId="44C6E94B" w14:textId="77777777" w:rsidR="006C06F6" w:rsidRPr="006C06F6" w:rsidRDefault="40B3576B" w:rsidP="40B3576B">
            <w:pPr>
              <w:spacing w:after="0"/>
              <w:jc w:val="right"/>
              <w:rPr>
                <w:sz w:val="14"/>
                <w:szCs w:val="14"/>
              </w:rPr>
            </w:pPr>
            <w:r w:rsidRPr="40B3576B">
              <w:rPr>
                <w:sz w:val="14"/>
                <w:szCs w:val="14"/>
              </w:rPr>
              <w:t>0,0</w:t>
            </w:r>
          </w:p>
        </w:tc>
        <w:tc>
          <w:tcPr>
            <w:tcW w:w="593" w:type="dxa"/>
            <w:tcBorders>
              <w:top w:val="nil"/>
              <w:left w:val="nil"/>
              <w:bottom w:val="single" w:sz="4" w:space="0" w:color="auto"/>
              <w:right w:val="single" w:sz="4" w:space="0" w:color="auto"/>
            </w:tcBorders>
            <w:shd w:val="clear" w:color="auto" w:fill="auto"/>
            <w:noWrap/>
            <w:vAlign w:val="bottom"/>
            <w:hideMark/>
          </w:tcPr>
          <w:p w14:paraId="1DF0CB86" w14:textId="77777777" w:rsidR="006C06F6" w:rsidRPr="006C06F6" w:rsidRDefault="40B3576B" w:rsidP="40B3576B">
            <w:pPr>
              <w:spacing w:after="0"/>
              <w:jc w:val="right"/>
              <w:rPr>
                <w:sz w:val="14"/>
                <w:szCs w:val="14"/>
              </w:rPr>
            </w:pPr>
            <w:r w:rsidRPr="40B3576B">
              <w:rPr>
                <w:sz w:val="14"/>
                <w:szCs w:val="14"/>
              </w:rPr>
              <w:t>100,0</w:t>
            </w:r>
          </w:p>
        </w:tc>
      </w:tr>
      <w:tr w:rsidR="006C06F6" w:rsidRPr="006C06F6" w14:paraId="10578B60"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11C7ADA1" w14:textId="77777777" w:rsidR="006C06F6" w:rsidRPr="006C06F6" w:rsidRDefault="40B3576B" w:rsidP="40B3576B">
            <w:pPr>
              <w:spacing w:after="0"/>
              <w:ind w:firstLineChars="400" w:firstLine="560"/>
              <w:jc w:val="left"/>
              <w:rPr>
                <w:i/>
                <w:iCs/>
                <w:sz w:val="14"/>
                <w:szCs w:val="14"/>
              </w:rPr>
            </w:pPr>
            <w:r w:rsidRPr="40B3576B">
              <w:rPr>
                <w:i/>
                <w:iCs/>
                <w:sz w:val="14"/>
                <w:szCs w:val="14"/>
              </w:rPr>
              <w:t>szolgálati járandóság</w:t>
            </w:r>
          </w:p>
        </w:tc>
        <w:tc>
          <w:tcPr>
            <w:tcW w:w="980" w:type="dxa"/>
            <w:tcBorders>
              <w:top w:val="nil"/>
              <w:left w:val="nil"/>
              <w:bottom w:val="single" w:sz="4" w:space="0" w:color="auto"/>
              <w:right w:val="single" w:sz="4" w:space="0" w:color="auto"/>
            </w:tcBorders>
            <w:shd w:val="clear" w:color="auto" w:fill="auto"/>
            <w:noWrap/>
            <w:vAlign w:val="bottom"/>
            <w:hideMark/>
          </w:tcPr>
          <w:p w14:paraId="345CA1CD" w14:textId="77777777" w:rsidR="006C06F6" w:rsidRPr="006C06F6" w:rsidRDefault="40B3576B" w:rsidP="40B3576B">
            <w:pPr>
              <w:spacing w:after="0"/>
              <w:jc w:val="right"/>
              <w:rPr>
                <w:sz w:val="14"/>
                <w:szCs w:val="14"/>
              </w:rPr>
            </w:pPr>
            <w:r w:rsidRPr="40B3576B">
              <w:rPr>
                <w:sz w:val="14"/>
                <w:szCs w:val="14"/>
              </w:rPr>
              <w:t>30,5</w:t>
            </w:r>
          </w:p>
        </w:tc>
        <w:tc>
          <w:tcPr>
            <w:tcW w:w="960" w:type="dxa"/>
            <w:tcBorders>
              <w:top w:val="nil"/>
              <w:left w:val="nil"/>
              <w:bottom w:val="single" w:sz="4" w:space="0" w:color="auto"/>
              <w:right w:val="single" w:sz="4" w:space="0" w:color="auto"/>
            </w:tcBorders>
            <w:shd w:val="clear" w:color="auto" w:fill="auto"/>
            <w:noWrap/>
            <w:vAlign w:val="bottom"/>
            <w:hideMark/>
          </w:tcPr>
          <w:p w14:paraId="60B804AC" w14:textId="77777777" w:rsidR="006C06F6" w:rsidRPr="006C06F6" w:rsidRDefault="40B3576B" w:rsidP="40B3576B">
            <w:pPr>
              <w:spacing w:after="0"/>
              <w:jc w:val="right"/>
              <w:rPr>
                <w:sz w:val="14"/>
                <w:szCs w:val="14"/>
              </w:rPr>
            </w:pPr>
            <w:r w:rsidRPr="40B3576B">
              <w:rPr>
                <w:sz w:val="14"/>
                <w:szCs w:val="14"/>
              </w:rPr>
              <w:t>29,6</w:t>
            </w:r>
          </w:p>
        </w:tc>
        <w:tc>
          <w:tcPr>
            <w:tcW w:w="807" w:type="dxa"/>
            <w:tcBorders>
              <w:top w:val="nil"/>
              <w:left w:val="nil"/>
              <w:bottom w:val="single" w:sz="4" w:space="0" w:color="auto"/>
              <w:right w:val="single" w:sz="4" w:space="0" w:color="auto"/>
            </w:tcBorders>
            <w:shd w:val="clear" w:color="auto" w:fill="auto"/>
            <w:noWrap/>
            <w:vAlign w:val="bottom"/>
            <w:hideMark/>
          </w:tcPr>
          <w:p w14:paraId="0E98141A" w14:textId="77777777" w:rsidR="006C06F6" w:rsidRPr="006C06F6" w:rsidRDefault="40B3576B" w:rsidP="40B3576B">
            <w:pPr>
              <w:spacing w:after="0"/>
              <w:jc w:val="right"/>
              <w:rPr>
                <w:sz w:val="14"/>
                <w:szCs w:val="14"/>
              </w:rPr>
            </w:pPr>
            <w:r w:rsidRPr="40B3576B">
              <w:rPr>
                <w:sz w:val="14"/>
                <w:szCs w:val="14"/>
              </w:rPr>
              <w:t>-0,9</w:t>
            </w:r>
          </w:p>
        </w:tc>
        <w:tc>
          <w:tcPr>
            <w:tcW w:w="593" w:type="dxa"/>
            <w:tcBorders>
              <w:top w:val="nil"/>
              <w:left w:val="nil"/>
              <w:bottom w:val="single" w:sz="4" w:space="0" w:color="auto"/>
              <w:right w:val="single" w:sz="4" w:space="0" w:color="auto"/>
            </w:tcBorders>
            <w:shd w:val="clear" w:color="auto" w:fill="auto"/>
            <w:noWrap/>
            <w:vAlign w:val="bottom"/>
            <w:hideMark/>
          </w:tcPr>
          <w:p w14:paraId="7B47E635" w14:textId="77777777" w:rsidR="006C06F6" w:rsidRPr="006C06F6" w:rsidRDefault="40B3576B" w:rsidP="40B3576B">
            <w:pPr>
              <w:spacing w:after="0"/>
              <w:jc w:val="right"/>
              <w:rPr>
                <w:sz w:val="14"/>
                <w:szCs w:val="14"/>
              </w:rPr>
            </w:pPr>
            <w:r w:rsidRPr="40B3576B">
              <w:rPr>
                <w:sz w:val="14"/>
                <w:szCs w:val="14"/>
              </w:rPr>
              <w:t>97,0</w:t>
            </w:r>
          </w:p>
        </w:tc>
      </w:tr>
      <w:tr w:rsidR="006C06F6" w:rsidRPr="006C06F6" w14:paraId="5266691E"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098A88C4" w14:textId="77777777" w:rsidR="006C06F6" w:rsidRPr="006C06F6" w:rsidRDefault="40B3576B" w:rsidP="40B3576B">
            <w:pPr>
              <w:spacing w:after="0"/>
              <w:jc w:val="left"/>
              <w:rPr>
                <w:b/>
                <w:bCs/>
                <w:sz w:val="14"/>
                <w:szCs w:val="14"/>
              </w:rPr>
            </w:pPr>
            <w:r w:rsidRPr="40B3576B">
              <w:rPr>
                <w:b/>
                <w:bCs/>
                <w:sz w:val="14"/>
                <w:szCs w:val="14"/>
              </w:rPr>
              <w:t>Jövedelempótló és jövedelemkiegészítő szociális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22AD8519" w14:textId="77777777" w:rsidR="006C06F6" w:rsidRPr="006C06F6" w:rsidRDefault="40B3576B" w:rsidP="40B3576B">
            <w:pPr>
              <w:spacing w:after="0"/>
              <w:jc w:val="right"/>
              <w:rPr>
                <w:b/>
                <w:bCs/>
                <w:sz w:val="14"/>
                <w:szCs w:val="14"/>
              </w:rPr>
            </w:pPr>
            <w:r w:rsidRPr="40B3576B">
              <w:rPr>
                <w:b/>
                <w:bCs/>
                <w:sz w:val="14"/>
                <w:szCs w:val="14"/>
              </w:rPr>
              <w:t>56,9</w:t>
            </w:r>
          </w:p>
        </w:tc>
        <w:tc>
          <w:tcPr>
            <w:tcW w:w="960" w:type="dxa"/>
            <w:tcBorders>
              <w:top w:val="nil"/>
              <w:left w:val="nil"/>
              <w:bottom w:val="single" w:sz="4" w:space="0" w:color="auto"/>
              <w:right w:val="single" w:sz="4" w:space="0" w:color="auto"/>
            </w:tcBorders>
            <w:shd w:val="clear" w:color="auto" w:fill="auto"/>
            <w:noWrap/>
            <w:vAlign w:val="bottom"/>
            <w:hideMark/>
          </w:tcPr>
          <w:p w14:paraId="75D7C4E7" w14:textId="77777777" w:rsidR="006C06F6" w:rsidRPr="006C06F6" w:rsidRDefault="40B3576B" w:rsidP="40B3576B">
            <w:pPr>
              <w:spacing w:after="0"/>
              <w:jc w:val="right"/>
              <w:rPr>
                <w:b/>
                <w:bCs/>
                <w:sz w:val="14"/>
                <w:szCs w:val="14"/>
              </w:rPr>
            </w:pPr>
            <w:r w:rsidRPr="40B3576B">
              <w:rPr>
                <w:b/>
                <w:bCs/>
                <w:sz w:val="14"/>
                <w:szCs w:val="14"/>
              </w:rPr>
              <w:t>58,2</w:t>
            </w:r>
          </w:p>
        </w:tc>
        <w:tc>
          <w:tcPr>
            <w:tcW w:w="807" w:type="dxa"/>
            <w:tcBorders>
              <w:top w:val="nil"/>
              <w:left w:val="nil"/>
              <w:bottom w:val="single" w:sz="4" w:space="0" w:color="auto"/>
              <w:right w:val="single" w:sz="4" w:space="0" w:color="auto"/>
            </w:tcBorders>
            <w:shd w:val="clear" w:color="auto" w:fill="auto"/>
            <w:noWrap/>
            <w:vAlign w:val="bottom"/>
            <w:hideMark/>
          </w:tcPr>
          <w:p w14:paraId="71A9D44A" w14:textId="77777777" w:rsidR="006C06F6" w:rsidRPr="006C06F6" w:rsidRDefault="40B3576B" w:rsidP="40B3576B">
            <w:pPr>
              <w:spacing w:after="0"/>
              <w:jc w:val="right"/>
              <w:rPr>
                <w:b/>
                <w:bCs/>
                <w:sz w:val="14"/>
                <w:szCs w:val="14"/>
              </w:rPr>
            </w:pPr>
            <w:r w:rsidRPr="40B3576B">
              <w:rPr>
                <w:b/>
                <w:bCs/>
                <w:sz w:val="14"/>
                <w:szCs w:val="14"/>
              </w:rPr>
              <w:t>1,3</w:t>
            </w:r>
          </w:p>
        </w:tc>
        <w:tc>
          <w:tcPr>
            <w:tcW w:w="593" w:type="dxa"/>
            <w:tcBorders>
              <w:top w:val="nil"/>
              <w:left w:val="nil"/>
              <w:bottom w:val="single" w:sz="4" w:space="0" w:color="auto"/>
              <w:right w:val="single" w:sz="4" w:space="0" w:color="auto"/>
            </w:tcBorders>
            <w:shd w:val="clear" w:color="auto" w:fill="auto"/>
            <w:noWrap/>
            <w:vAlign w:val="bottom"/>
            <w:hideMark/>
          </w:tcPr>
          <w:p w14:paraId="1B421D30" w14:textId="77777777" w:rsidR="006C06F6" w:rsidRPr="006C06F6" w:rsidRDefault="40B3576B" w:rsidP="40B3576B">
            <w:pPr>
              <w:spacing w:after="0"/>
              <w:jc w:val="right"/>
              <w:rPr>
                <w:b/>
                <w:bCs/>
                <w:sz w:val="14"/>
                <w:szCs w:val="14"/>
              </w:rPr>
            </w:pPr>
            <w:r w:rsidRPr="40B3576B">
              <w:rPr>
                <w:b/>
                <w:bCs/>
                <w:sz w:val="14"/>
                <w:szCs w:val="14"/>
              </w:rPr>
              <w:t>102,3</w:t>
            </w:r>
          </w:p>
        </w:tc>
      </w:tr>
      <w:tr w:rsidR="006C06F6" w:rsidRPr="006C06F6" w14:paraId="3E83DA36"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3DDB83F5" w14:textId="77777777" w:rsidR="006C06F6" w:rsidRPr="006C06F6" w:rsidRDefault="40B3576B" w:rsidP="40B3576B">
            <w:pPr>
              <w:spacing w:after="0"/>
              <w:ind w:firstLineChars="100" w:firstLine="140"/>
              <w:jc w:val="left"/>
              <w:rPr>
                <w:i/>
                <w:iCs/>
                <w:sz w:val="14"/>
                <w:szCs w:val="14"/>
              </w:rPr>
            </w:pPr>
            <w:r w:rsidRPr="40B3576B">
              <w:rPr>
                <w:i/>
                <w:iCs/>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2962229A" w14:textId="77777777" w:rsidR="006C06F6" w:rsidRPr="006C06F6" w:rsidRDefault="40B3576B" w:rsidP="40B3576B">
            <w:pPr>
              <w:spacing w:after="0"/>
              <w:jc w:val="right"/>
              <w:rPr>
                <w:sz w:val="14"/>
                <w:szCs w:val="14"/>
              </w:rPr>
            </w:pPr>
            <w:r w:rsidRPr="40B3576B">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34D62432" w14:textId="77777777" w:rsidR="006C06F6" w:rsidRPr="006C06F6" w:rsidRDefault="40B3576B" w:rsidP="40B3576B">
            <w:pPr>
              <w:spacing w:after="0"/>
              <w:jc w:val="right"/>
              <w:rPr>
                <w:sz w:val="14"/>
                <w:szCs w:val="14"/>
              </w:rPr>
            </w:pPr>
            <w:r w:rsidRPr="40B3576B">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16375920" w14:textId="77777777" w:rsidR="006C06F6" w:rsidRPr="006C06F6" w:rsidRDefault="40B3576B" w:rsidP="40B3576B">
            <w:pPr>
              <w:spacing w:after="0"/>
              <w:jc w:val="right"/>
              <w:rPr>
                <w:sz w:val="14"/>
                <w:szCs w:val="14"/>
              </w:rPr>
            </w:pPr>
            <w:r w:rsidRPr="40B3576B">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6462D4A0" w14:textId="77777777" w:rsidR="006C06F6" w:rsidRPr="006C06F6" w:rsidRDefault="40B3576B" w:rsidP="40B3576B">
            <w:pPr>
              <w:spacing w:after="0"/>
              <w:jc w:val="right"/>
              <w:rPr>
                <w:b/>
                <w:bCs/>
                <w:sz w:val="14"/>
                <w:szCs w:val="14"/>
              </w:rPr>
            </w:pPr>
            <w:r w:rsidRPr="40B3576B">
              <w:rPr>
                <w:b/>
                <w:bCs/>
                <w:sz w:val="14"/>
                <w:szCs w:val="14"/>
              </w:rPr>
              <w:t> </w:t>
            </w:r>
          </w:p>
        </w:tc>
      </w:tr>
      <w:tr w:rsidR="006C06F6" w:rsidRPr="006C06F6" w14:paraId="59ED5400"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63572C85" w14:textId="77777777" w:rsidR="006C06F6" w:rsidRPr="006C06F6" w:rsidRDefault="40B3576B" w:rsidP="40B3576B">
            <w:pPr>
              <w:spacing w:after="0"/>
              <w:ind w:firstLineChars="400" w:firstLine="560"/>
              <w:jc w:val="left"/>
              <w:rPr>
                <w:i/>
                <w:iCs/>
                <w:sz w:val="14"/>
                <w:szCs w:val="14"/>
              </w:rPr>
            </w:pPr>
            <w:r w:rsidRPr="40B3576B">
              <w:rPr>
                <w:i/>
                <w:iCs/>
                <w:sz w:val="14"/>
                <w:szCs w:val="14"/>
              </w:rPr>
              <w:t>járási szociális feladatok ellátása</w:t>
            </w:r>
          </w:p>
        </w:tc>
        <w:tc>
          <w:tcPr>
            <w:tcW w:w="980" w:type="dxa"/>
            <w:tcBorders>
              <w:top w:val="nil"/>
              <w:left w:val="nil"/>
              <w:bottom w:val="single" w:sz="4" w:space="0" w:color="auto"/>
              <w:right w:val="single" w:sz="4" w:space="0" w:color="auto"/>
            </w:tcBorders>
            <w:shd w:val="clear" w:color="auto" w:fill="auto"/>
            <w:noWrap/>
            <w:vAlign w:val="bottom"/>
            <w:hideMark/>
          </w:tcPr>
          <w:p w14:paraId="2253E188" w14:textId="77777777" w:rsidR="006C06F6" w:rsidRPr="006C06F6" w:rsidRDefault="40B3576B" w:rsidP="40B3576B">
            <w:pPr>
              <w:spacing w:after="0"/>
              <w:jc w:val="right"/>
              <w:rPr>
                <w:sz w:val="14"/>
                <w:szCs w:val="14"/>
              </w:rPr>
            </w:pPr>
            <w:r w:rsidRPr="40B3576B">
              <w:rPr>
                <w:sz w:val="14"/>
                <w:szCs w:val="14"/>
              </w:rPr>
              <w:t>32,2</w:t>
            </w:r>
          </w:p>
        </w:tc>
        <w:tc>
          <w:tcPr>
            <w:tcW w:w="960" w:type="dxa"/>
            <w:tcBorders>
              <w:top w:val="nil"/>
              <w:left w:val="nil"/>
              <w:bottom w:val="single" w:sz="4" w:space="0" w:color="auto"/>
              <w:right w:val="single" w:sz="4" w:space="0" w:color="auto"/>
            </w:tcBorders>
            <w:shd w:val="clear" w:color="auto" w:fill="auto"/>
            <w:noWrap/>
            <w:vAlign w:val="bottom"/>
            <w:hideMark/>
          </w:tcPr>
          <w:p w14:paraId="06FFD183" w14:textId="77777777" w:rsidR="006C06F6" w:rsidRPr="006C06F6" w:rsidRDefault="40B3576B" w:rsidP="40B3576B">
            <w:pPr>
              <w:spacing w:after="0"/>
              <w:jc w:val="right"/>
              <w:rPr>
                <w:sz w:val="14"/>
                <w:szCs w:val="14"/>
              </w:rPr>
            </w:pPr>
            <w:r w:rsidRPr="40B3576B">
              <w:rPr>
                <w:sz w:val="14"/>
                <w:szCs w:val="14"/>
              </w:rPr>
              <w:t>33,7</w:t>
            </w:r>
          </w:p>
        </w:tc>
        <w:tc>
          <w:tcPr>
            <w:tcW w:w="807" w:type="dxa"/>
            <w:tcBorders>
              <w:top w:val="nil"/>
              <w:left w:val="nil"/>
              <w:bottom w:val="single" w:sz="4" w:space="0" w:color="auto"/>
              <w:right w:val="single" w:sz="4" w:space="0" w:color="auto"/>
            </w:tcBorders>
            <w:shd w:val="clear" w:color="auto" w:fill="auto"/>
            <w:noWrap/>
            <w:vAlign w:val="bottom"/>
            <w:hideMark/>
          </w:tcPr>
          <w:p w14:paraId="1F153D6C" w14:textId="77777777" w:rsidR="006C06F6" w:rsidRPr="006C06F6" w:rsidRDefault="40B3576B" w:rsidP="40B3576B">
            <w:pPr>
              <w:spacing w:after="0"/>
              <w:jc w:val="right"/>
              <w:rPr>
                <w:sz w:val="14"/>
                <w:szCs w:val="14"/>
              </w:rPr>
            </w:pPr>
            <w:r w:rsidRPr="40B3576B">
              <w:rPr>
                <w:sz w:val="14"/>
                <w:szCs w:val="14"/>
              </w:rPr>
              <w:t>1,5</w:t>
            </w:r>
          </w:p>
        </w:tc>
        <w:tc>
          <w:tcPr>
            <w:tcW w:w="593" w:type="dxa"/>
            <w:tcBorders>
              <w:top w:val="nil"/>
              <w:left w:val="nil"/>
              <w:bottom w:val="single" w:sz="4" w:space="0" w:color="auto"/>
              <w:right w:val="single" w:sz="4" w:space="0" w:color="auto"/>
            </w:tcBorders>
            <w:shd w:val="clear" w:color="auto" w:fill="auto"/>
            <w:noWrap/>
            <w:vAlign w:val="bottom"/>
            <w:hideMark/>
          </w:tcPr>
          <w:p w14:paraId="0CE21FDF" w14:textId="77777777" w:rsidR="006C06F6" w:rsidRPr="006C06F6" w:rsidRDefault="40B3576B" w:rsidP="40B3576B">
            <w:pPr>
              <w:spacing w:after="0"/>
              <w:jc w:val="right"/>
              <w:rPr>
                <w:sz w:val="14"/>
                <w:szCs w:val="14"/>
              </w:rPr>
            </w:pPr>
            <w:r w:rsidRPr="40B3576B">
              <w:rPr>
                <w:sz w:val="14"/>
                <w:szCs w:val="14"/>
              </w:rPr>
              <w:t>104,7</w:t>
            </w:r>
          </w:p>
        </w:tc>
      </w:tr>
      <w:tr w:rsidR="006C06F6" w:rsidRPr="006C06F6" w14:paraId="72A64AEB"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00BC615D" w14:textId="77777777" w:rsidR="006C06F6" w:rsidRPr="006C06F6" w:rsidRDefault="40B3576B" w:rsidP="40B3576B">
            <w:pPr>
              <w:spacing w:after="0"/>
              <w:ind w:firstLineChars="400" w:firstLine="560"/>
              <w:jc w:val="left"/>
              <w:rPr>
                <w:i/>
                <w:iCs/>
                <w:sz w:val="14"/>
                <w:szCs w:val="14"/>
              </w:rPr>
            </w:pPr>
            <w:r w:rsidRPr="40B3576B">
              <w:rPr>
                <w:i/>
                <w:iCs/>
                <w:sz w:val="14"/>
                <w:szCs w:val="14"/>
              </w:rPr>
              <w:t>fogyatékossági támogatás és vakok személyi járadéka</w:t>
            </w:r>
          </w:p>
        </w:tc>
        <w:tc>
          <w:tcPr>
            <w:tcW w:w="980" w:type="dxa"/>
            <w:tcBorders>
              <w:top w:val="nil"/>
              <w:left w:val="nil"/>
              <w:bottom w:val="single" w:sz="4" w:space="0" w:color="auto"/>
              <w:right w:val="single" w:sz="4" w:space="0" w:color="auto"/>
            </w:tcBorders>
            <w:shd w:val="clear" w:color="auto" w:fill="auto"/>
            <w:noWrap/>
            <w:vAlign w:val="bottom"/>
            <w:hideMark/>
          </w:tcPr>
          <w:p w14:paraId="55EFECB3" w14:textId="77777777" w:rsidR="006C06F6" w:rsidRPr="006C06F6" w:rsidRDefault="40B3576B" w:rsidP="40B3576B">
            <w:pPr>
              <w:spacing w:after="0"/>
              <w:jc w:val="right"/>
              <w:rPr>
                <w:sz w:val="14"/>
                <w:szCs w:val="14"/>
              </w:rPr>
            </w:pPr>
            <w:r w:rsidRPr="40B3576B">
              <w:rPr>
                <w:sz w:val="14"/>
                <w:szCs w:val="14"/>
              </w:rPr>
              <w:t>14,7</w:t>
            </w:r>
          </w:p>
        </w:tc>
        <w:tc>
          <w:tcPr>
            <w:tcW w:w="960" w:type="dxa"/>
            <w:tcBorders>
              <w:top w:val="nil"/>
              <w:left w:val="nil"/>
              <w:bottom w:val="single" w:sz="4" w:space="0" w:color="auto"/>
              <w:right w:val="single" w:sz="4" w:space="0" w:color="auto"/>
            </w:tcBorders>
            <w:shd w:val="clear" w:color="auto" w:fill="auto"/>
            <w:noWrap/>
            <w:vAlign w:val="bottom"/>
            <w:hideMark/>
          </w:tcPr>
          <w:p w14:paraId="7058668B" w14:textId="77777777" w:rsidR="006C06F6" w:rsidRPr="006C06F6" w:rsidRDefault="40B3576B" w:rsidP="40B3576B">
            <w:pPr>
              <w:spacing w:after="0"/>
              <w:jc w:val="right"/>
              <w:rPr>
                <w:sz w:val="14"/>
                <w:szCs w:val="14"/>
              </w:rPr>
            </w:pPr>
            <w:r w:rsidRPr="40B3576B">
              <w:rPr>
                <w:sz w:val="14"/>
                <w:szCs w:val="14"/>
              </w:rPr>
              <w:t>15,0</w:t>
            </w:r>
          </w:p>
        </w:tc>
        <w:tc>
          <w:tcPr>
            <w:tcW w:w="807" w:type="dxa"/>
            <w:tcBorders>
              <w:top w:val="nil"/>
              <w:left w:val="nil"/>
              <w:bottom w:val="single" w:sz="4" w:space="0" w:color="auto"/>
              <w:right w:val="single" w:sz="4" w:space="0" w:color="auto"/>
            </w:tcBorders>
            <w:shd w:val="clear" w:color="auto" w:fill="auto"/>
            <w:noWrap/>
            <w:vAlign w:val="bottom"/>
            <w:hideMark/>
          </w:tcPr>
          <w:p w14:paraId="0A62CDCC" w14:textId="77777777" w:rsidR="006C06F6" w:rsidRPr="006C06F6" w:rsidRDefault="40B3576B" w:rsidP="40B3576B">
            <w:pPr>
              <w:spacing w:after="0"/>
              <w:jc w:val="right"/>
              <w:rPr>
                <w:sz w:val="14"/>
                <w:szCs w:val="14"/>
              </w:rPr>
            </w:pPr>
            <w:r w:rsidRPr="40B3576B">
              <w:rPr>
                <w:sz w:val="14"/>
                <w:szCs w:val="14"/>
              </w:rPr>
              <w:t>0,3</w:t>
            </w:r>
          </w:p>
        </w:tc>
        <w:tc>
          <w:tcPr>
            <w:tcW w:w="593" w:type="dxa"/>
            <w:tcBorders>
              <w:top w:val="nil"/>
              <w:left w:val="nil"/>
              <w:bottom w:val="single" w:sz="4" w:space="0" w:color="auto"/>
              <w:right w:val="single" w:sz="4" w:space="0" w:color="auto"/>
            </w:tcBorders>
            <w:shd w:val="clear" w:color="auto" w:fill="auto"/>
            <w:noWrap/>
            <w:vAlign w:val="bottom"/>
            <w:hideMark/>
          </w:tcPr>
          <w:p w14:paraId="0B7DC2C9" w14:textId="77777777" w:rsidR="006C06F6" w:rsidRPr="006C06F6" w:rsidRDefault="40B3576B" w:rsidP="40B3576B">
            <w:pPr>
              <w:spacing w:after="0"/>
              <w:jc w:val="right"/>
              <w:rPr>
                <w:sz w:val="14"/>
                <w:szCs w:val="14"/>
              </w:rPr>
            </w:pPr>
            <w:r w:rsidRPr="40B3576B">
              <w:rPr>
                <w:sz w:val="14"/>
                <w:szCs w:val="14"/>
              </w:rPr>
              <w:t>102,0</w:t>
            </w:r>
          </w:p>
        </w:tc>
      </w:tr>
      <w:tr w:rsidR="006C06F6" w:rsidRPr="006C06F6" w14:paraId="5F6C14F9"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70951886" w14:textId="77777777" w:rsidR="006C06F6" w:rsidRPr="006C06F6" w:rsidRDefault="40B3576B" w:rsidP="40B3576B">
            <w:pPr>
              <w:spacing w:after="0"/>
              <w:ind w:firstLineChars="400" w:firstLine="560"/>
              <w:jc w:val="left"/>
              <w:rPr>
                <w:i/>
                <w:iCs/>
                <w:sz w:val="14"/>
                <w:szCs w:val="14"/>
              </w:rPr>
            </w:pPr>
            <w:r w:rsidRPr="40B3576B">
              <w:rPr>
                <w:i/>
                <w:iCs/>
                <w:sz w:val="14"/>
                <w:szCs w:val="14"/>
              </w:rPr>
              <w:t>politikai rehabilitációs és más nyugdíj-kiegészítések</w:t>
            </w:r>
          </w:p>
        </w:tc>
        <w:tc>
          <w:tcPr>
            <w:tcW w:w="980" w:type="dxa"/>
            <w:tcBorders>
              <w:top w:val="nil"/>
              <w:left w:val="nil"/>
              <w:bottom w:val="single" w:sz="4" w:space="0" w:color="auto"/>
              <w:right w:val="single" w:sz="4" w:space="0" w:color="auto"/>
            </w:tcBorders>
            <w:shd w:val="clear" w:color="auto" w:fill="auto"/>
            <w:noWrap/>
            <w:vAlign w:val="bottom"/>
            <w:hideMark/>
          </w:tcPr>
          <w:p w14:paraId="22DAAFF6" w14:textId="77777777" w:rsidR="006C06F6" w:rsidRPr="006C06F6" w:rsidRDefault="40B3576B" w:rsidP="40B3576B">
            <w:pPr>
              <w:spacing w:after="0"/>
              <w:jc w:val="right"/>
              <w:rPr>
                <w:sz w:val="14"/>
                <w:szCs w:val="14"/>
              </w:rPr>
            </w:pPr>
            <w:r w:rsidRPr="40B3576B">
              <w:rPr>
                <w:sz w:val="14"/>
                <w:szCs w:val="14"/>
              </w:rPr>
              <w:t>5,9</w:t>
            </w:r>
          </w:p>
        </w:tc>
        <w:tc>
          <w:tcPr>
            <w:tcW w:w="960" w:type="dxa"/>
            <w:tcBorders>
              <w:top w:val="nil"/>
              <w:left w:val="nil"/>
              <w:bottom w:val="single" w:sz="4" w:space="0" w:color="auto"/>
              <w:right w:val="single" w:sz="4" w:space="0" w:color="auto"/>
            </w:tcBorders>
            <w:shd w:val="clear" w:color="auto" w:fill="auto"/>
            <w:noWrap/>
            <w:vAlign w:val="bottom"/>
            <w:hideMark/>
          </w:tcPr>
          <w:p w14:paraId="3A9D3DC5" w14:textId="77777777" w:rsidR="006C06F6" w:rsidRPr="006C06F6" w:rsidRDefault="40B3576B" w:rsidP="40B3576B">
            <w:pPr>
              <w:spacing w:after="0"/>
              <w:jc w:val="right"/>
              <w:rPr>
                <w:sz w:val="14"/>
                <w:szCs w:val="14"/>
              </w:rPr>
            </w:pPr>
            <w:r w:rsidRPr="40B3576B">
              <w:rPr>
                <w:sz w:val="14"/>
                <w:szCs w:val="14"/>
              </w:rPr>
              <w:t>5,6</w:t>
            </w:r>
          </w:p>
        </w:tc>
        <w:tc>
          <w:tcPr>
            <w:tcW w:w="807" w:type="dxa"/>
            <w:tcBorders>
              <w:top w:val="nil"/>
              <w:left w:val="nil"/>
              <w:bottom w:val="single" w:sz="4" w:space="0" w:color="auto"/>
              <w:right w:val="single" w:sz="4" w:space="0" w:color="auto"/>
            </w:tcBorders>
            <w:shd w:val="clear" w:color="auto" w:fill="auto"/>
            <w:noWrap/>
            <w:vAlign w:val="bottom"/>
            <w:hideMark/>
          </w:tcPr>
          <w:p w14:paraId="3D577A65" w14:textId="77777777" w:rsidR="006C06F6" w:rsidRPr="006C06F6" w:rsidRDefault="40B3576B" w:rsidP="40B3576B">
            <w:pPr>
              <w:spacing w:after="0"/>
              <w:jc w:val="right"/>
              <w:rPr>
                <w:sz w:val="14"/>
                <w:szCs w:val="14"/>
              </w:rPr>
            </w:pPr>
            <w:r w:rsidRPr="40B3576B">
              <w:rPr>
                <w:sz w:val="14"/>
                <w:szCs w:val="14"/>
              </w:rPr>
              <w:t>-0,3</w:t>
            </w:r>
          </w:p>
        </w:tc>
        <w:tc>
          <w:tcPr>
            <w:tcW w:w="593" w:type="dxa"/>
            <w:tcBorders>
              <w:top w:val="nil"/>
              <w:left w:val="nil"/>
              <w:bottom w:val="single" w:sz="4" w:space="0" w:color="auto"/>
              <w:right w:val="single" w:sz="4" w:space="0" w:color="auto"/>
            </w:tcBorders>
            <w:shd w:val="clear" w:color="auto" w:fill="auto"/>
            <w:noWrap/>
            <w:vAlign w:val="bottom"/>
            <w:hideMark/>
          </w:tcPr>
          <w:p w14:paraId="5FFF47A3" w14:textId="77777777" w:rsidR="006C06F6" w:rsidRPr="006C06F6" w:rsidRDefault="40B3576B" w:rsidP="40B3576B">
            <w:pPr>
              <w:spacing w:after="0"/>
              <w:jc w:val="right"/>
              <w:rPr>
                <w:sz w:val="14"/>
                <w:szCs w:val="14"/>
              </w:rPr>
            </w:pPr>
            <w:r w:rsidRPr="40B3576B">
              <w:rPr>
                <w:sz w:val="14"/>
                <w:szCs w:val="14"/>
              </w:rPr>
              <w:t>94,9</w:t>
            </w:r>
          </w:p>
        </w:tc>
      </w:tr>
      <w:tr w:rsidR="006C06F6" w:rsidRPr="006C06F6" w14:paraId="157B71A4"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06D8FB7" w14:textId="77777777" w:rsidR="006C06F6" w:rsidRPr="006C06F6" w:rsidRDefault="40B3576B" w:rsidP="40B3576B">
            <w:pPr>
              <w:spacing w:after="0"/>
              <w:jc w:val="left"/>
              <w:rPr>
                <w:b/>
                <w:bCs/>
                <w:sz w:val="14"/>
                <w:szCs w:val="14"/>
              </w:rPr>
            </w:pPr>
            <w:r w:rsidRPr="40B3576B">
              <w:rPr>
                <w:b/>
                <w:bCs/>
                <w:sz w:val="14"/>
                <w:szCs w:val="14"/>
              </w:rPr>
              <w:t>Különféle jogcímen adott térítések</w:t>
            </w:r>
          </w:p>
        </w:tc>
        <w:tc>
          <w:tcPr>
            <w:tcW w:w="980" w:type="dxa"/>
            <w:tcBorders>
              <w:top w:val="nil"/>
              <w:left w:val="nil"/>
              <w:bottom w:val="single" w:sz="4" w:space="0" w:color="auto"/>
              <w:right w:val="single" w:sz="4" w:space="0" w:color="auto"/>
            </w:tcBorders>
            <w:shd w:val="clear" w:color="auto" w:fill="auto"/>
            <w:noWrap/>
            <w:vAlign w:val="bottom"/>
            <w:hideMark/>
          </w:tcPr>
          <w:p w14:paraId="162F319B" w14:textId="77777777" w:rsidR="006C06F6" w:rsidRPr="006C06F6" w:rsidRDefault="40B3576B" w:rsidP="40B3576B">
            <w:pPr>
              <w:spacing w:after="0"/>
              <w:jc w:val="right"/>
              <w:rPr>
                <w:b/>
                <w:bCs/>
                <w:sz w:val="14"/>
                <w:szCs w:val="14"/>
              </w:rPr>
            </w:pPr>
            <w:r w:rsidRPr="40B3576B">
              <w:rPr>
                <w:b/>
                <w:bCs/>
                <w:sz w:val="14"/>
                <w:szCs w:val="14"/>
              </w:rPr>
              <w:t>9,7</w:t>
            </w:r>
          </w:p>
        </w:tc>
        <w:tc>
          <w:tcPr>
            <w:tcW w:w="960" w:type="dxa"/>
            <w:tcBorders>
              <w:top w:val="nil"/>
              <w:left w:val="nil"/>
              <w:bottom w:val="single" w:sz="4" w:space="0" w:color="auto"/>
              <w:right w:val="single" w:sz="4" w:space="0" w:color="auto"/>
            </w:tcBorders>
            <w:shd w:val="clear" w:color="auto" w:fill="auto"/>
            <w:noWrap/>
            <w:vAlign w:val="bottom"/>
            <w:hideMark/>
          </w:tcPr>
          <w:p w14:paraId="2B8EBDC8" w14:textId="77777777" w:rsidR="006C06F6" w:rsidRPr="006C06F6" w:rsidRDefault="40B3576B" w:rsidP="40B3576B">
            <w:pPr>
              <w:spacing w:after="0"/>
              <w:jc w:val="right"/>
              <w:rPr>
                <w:b/>
                <w:bCs/>
                <w:sz w:val="14"/>
                <w:szCs w:val="14"/>
              </w:rPr>
            </w:pPr>
            <w:r w:rsidRPr="40B3576B">
              <w:rPr>
                <w:b/>
                <w:bCs/>
                <w:sz w:val="14"/>
                <w:szCs w:val="14"/>
              </w:rPr>
              <w:t>10,1</w:t>
            </w:r>
          </w:p>
        </w:tc>
        <w:tc>
          <w:tcPr>
            <w:tcW w:w="807" w:type="dxa"/>
            <w:tcBorders>
              <w:top w:val="nil"/>
              <w:left w:val="nil"/>
              <w:bottom w:val="single" w:sz="4" w:space="0" w:color="auto"/>
              <w:right w:val="single" w:sz="4" w:space="0" w:color="auto"/>
            </w:tcBorders>
            <w:shd w:val="clear" w:color="auto" w:fill="auto"/>
            <w:noWrap/>
            <w:vAlign w:val="bottom"/>
            <w:hideMark/>
          </w:tcPr>
          <w:p w14:paraId="1E137D85" w14:textId="77777777" w:rsidR="006C06F6" w:rsidRPr="006C06F6" w:rsidRDefault="40B3576B" w:rsidP="40B3576B">
            <w:pPr>
              <w:spacing w:after="0"/>
              <w:jc w:val="right"/>
              <w:rPr>
                <w:b/>
                <w:bCs/>
                <w:sz w:val="14"/>
                <w:szCs w:val="14"/>
              </w:rPr>
            </w:pPr>
            <w:r w:rsidRPr="40B3576B">
              <w:rPr>
                <w:b/>
                <w:bCs/>
                <w:sz w:val="14"/>
                <w:szCs w:val="14"/>
              </w:rPr>
              <w:t>0,4</w:t>
            </w:r>
          </w:p>
        </w:tc>
        <w:tc>
          <w:tcPr>
            <w:tcW w:w="593" w:type="dxa"/>
            <w:tcBorders>
              <w:top w:val="nil"/>
              <w:left w:val="nil"/>
              <w:bottom w:val="single" w:sz="4" w:space="0" w:color="auto"/>
              <w:right w:val="single" w:sz="4" w:space="0" w:color="auto"/>
            </w:tcBorders>
            <w:shd w:val="clear" w:color="auto" w:fill="auto"/>
            <w:noWrap/>
            <w:vAlign w:val="bottom"/>
            <w:hideMark/>
          </w:tcPr>
          <w:p w14:paraId="6CC32550" w14:textId="77777777" w:rsidR="006C06F6" w:rsidRPr="006C06F6" w:rsidRDefault="40B3576B" w:rsidP="40B3576B">
            <w:pPr>
              <w:spacing w:after="0"/>
              <w:jc w:val="right"/>
              <w:rPr>
                <w:b/>
                <w:bCs/>
                <w:sz w:val="14"/>
                <w:szCs w:val="14"/>
              </w:rPr>
            </w:pPr>
            <w:r w:rsidRPr="40B3576B">
              <w:rPr>
                <w:b/>
                <w:bCs/>
                <w:sz w:val="14"/>
                <w:szCs w:val="14"/>
              </w:rPr>
              <w:t>104,1</w:t>
            </w:r>
          </w:p>
        </w:tc>
      </w:tr>
      <w:tr w:rsidR="006C06F6" w:rsidRPr="006C06F6" w14:paraId="2A71D3D7"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3BC3528E" w14:textId="77777777" w:rsidR="006C06F6" w:rsidRPr="006C06F6" w:rsidRDefault="40B3576B" w:rsidP="40B3576B">
            <w:pPr>
              <w:spacing w:after="0"/>
              <w:ind w:firstLineChars="100" w:firstLine="140"/>
              <w:jc w:val="left"/>
              <w:rPr>
                <w:i/>
                <w:iCs/>
                <w:sz w:val="14"/>
                <w:szCs w:val="14"/>
              </w:rPr>
            </w:pPr>
            <w:r w:rsidRPr="40B3576B">
              <w:rPr>
                <w:i/>
                <w:iCs/>
                <w:sz w:val="14"/>
                <w:szCs w:val="14"/>
              </w:rPr>
              <w:t xml:space="preserve">Ebből: </w:t>
            </w:r>
          </w:p>
        </w:tc>
        <w:tc>
          <w:tcPr>
            <w:tcW w:w="980" w:type="dxa"/>
            <w:tcBorders>
              <w:top w:val="nil"/>
              <w:left w:val="nil"/>
              <w:bottom w:val="single" w:sz="4" w:space="0" w:color="auto"/>
              <w:right w:val="single" w:sz="4" w:space="0" w:color="auto"/>
            </w:tcBorders>
            <w:shd w:val="clear" w:color="auto" w:fill="auto"/>
            <w:noWrap/>
            <w:vAlign w:val="bottom"/>
            <w:hideMark/>
          </w:tcPr>
          <w:p w14:paraId="4F42F158" w14:textId="77777777" w:rsidR="006C06F6" w:rsidRPr="006C06F6" w:rsidRDefault="40B3576B" w:rsidP="40B3576B">
            <w:pPr>
              <w:spacing w:after="0"/>
              <w:jc w:val="right"/>
              <w:rPr>
                <w:sz w:val="14"/>
                <w:szCs w:val="14"/>
              </w:rPr>
            </w:pPr>
            <w:r w:rsidRPr="40B3576B">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56319C0D" w14:textId="77777777" w:rsidR="006C06F6" w:rsidRPr="006C06F6" w:rsidRDefault="40B3576B" w:rsidP="40B3576B">
            <w:pPr>
              <w:spacing w:after="0"/>
              <w:jc w:val="right"/>
              <w:rPr>
                <w:sz w:val="14"/>
                <w:szCs w:val="14"/>
              </w:rPr>
            </w:pPr>
            <w:r w:rsidRPr="40B3576B">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483C8BD1" w14:textId="77777777" w:rsidR="006C06F6" w:rsidRPr="006C06F6" w:rsidRDefault="40B3576B" w:rsidP="40B3576B">
            <w:pPr>
              <w:spacing w:after="0"/>
              <w:jc w:val="right"/>
              <w:rPr>
                <w:sz w:val="14"/>
                <w:szCs w:val="14"/>
              </w:rPr>
            </w:pPr>
            <w:r w:rsidRPr="40B3576B">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55CCBCBF" w14:textId="77777777" w:rsidR="006C06F6" w:rsidRPr="006C06F6" w:rsidRDefault="40B3576B" w:rsidP="40B3576B">
            <w:pPr>
              <w:spacing w:after="0"/>
              <w:jc w:val="right"/>
              <w:rPr>
                <w:sz w:val="14"/>
                <w:szCs w:val="14"/>
              </w:rPr>
            </w:pPr>
            <w:r w:rsidRPr="40B3576B">
              <w:rPr>
                <w:sz w:val="14"/>
                <w:szCs w:val="14"/>
              </w:rPr>
              <w:t> </w:t>
            </w:r>
          </w:p>
        </w:tc>
      </w:tr>
      <w:tr w:rsidR="006C06F6" w:rsidRPr="006C06F6" w14:paraId="1F6532EC"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BD89A85" w14:textId="77777777" w:rsidR="006C06F6" w:rsidRPr="006C06F6" w:rsidRDefault="40B3576B" w:rsidP="40B3576B">
            <w:pPr>
              <w:spacing w:after="0"/>
              <w:ind w:firstLineChars="400" w:firstLine="560"/>
              <w:jc w:val="left"/>
              <w:rPr>
                <w:i/>
                <w:iCs/>
                <w:sz w:val="14"/>
                <w:szCs w:val="14"/>
              </w:rPr>
            </w:pPr>
            <w:r w:rsidRPr="40B3576B">
              <w:rPr>
                <w:i/>
                <w:iCs/>
                <w:sz w:val="14"/>
                <w:szCs w:val="14"/>
              </w:rPr>
              <w:t>közgyógyellátás</w:t>
            </w:r>
          </w:p>
        </w:tc>
        <w:tc>
          <w:tcPr>
            <w:tcW w:w="980" w:type="dxa"/>
            <w:tcBorders>
              <w:top w:val="nil"/>
              <w:left w:val="nil"/>
              <w:bottom w:val="single" w:sz="4" w:space="0" w:color="auto"/>
              <w:right w:val="single" w:sz="4" w:space="0" w:color="auto"/>
            </w:tcBorders>
            <w:shd w:val="clear" w:color="auto" w:fill="auto"/>
            <w:noWrap/>
            <w:vAlign w:val="bottom"/>
            <w:hideMark/>
          </w:tcPr>
          <w:p w14:paraId="6FACE217" w14:textId="77777777" w:rsidR="006C06F6" w:rsidRPr="006C06F6" w:rsidRDefault="40B3576B" w:rsidP="40B3576B">
            <w:pPr>
              <w:spacing w:after="0"/>
              <w:jc w:val="right"/>
              <w:rPr>
                <w:sz w:val="14"/>
                <w:szCs w:val="14"/>
              </w:rPr>
            </w:pPr>
            <w:r w:rsidRPr="40B3576B">
              <w:rPr>
                <w:sz w:val="14"/>
                <w:szCs w:val="14"/>
              </w:rPr>
              <w:t>6,7</w:t>
            </w:r>
          </w:p>
        </w:tc>
        <w:tc>
          <w:tcPr>
            <w:tcW w:w="960" w:type="dxa"/>
            <w:tcBorders>
              <w:top w:val="nil"/>
              <w:left w:val="nil"/>
              <w:bottom w:val="single" w:sz="4" w:space="0" w:color="auto"/>
              <w:right w:val="single" w:sz="4" w:space="0" w:color="auto"/>
            </w:tcBorders>
            <w:shd w:val="clear" w:color="auto" w:fill="auto"/>
            <w:noWrap/>
            <w:vAlign w:val="bottom"/>
            <w:hideMark/>
          </w:tcPr>
          <w:p w14:paraId="566A7D45" w14:textId="77777777" w:rsidR="006C06F6" w:rsidRPr="006C06F6" w:rsidRDefault="40B3576B" w:rsidP="40B3576B">
            <w:pPr>
              <w:spacing w:after="0"/>
              <w:jc w:val="right"/>
              <w:rPr>
                <w:sz w:val="14"/>
                <w:szCs w:val="14"/>
              </w:rPr>
            </w:pPr>
            <w:r w:rsidRPr="40B3576B">
              <w:rPr>
                <w:sz w:val="14"/>
                <w:szCs w:val="14"/>
              </w:rPr>
              <w:t>7,1</w:t>
            </w:r>
          </w:p>
        </w:tc>
        <w:tc>
          <w:tcPr>
            <w:tcW w:w="807" w:type="dxa"/>
            <w:tcBorders>
              <w:top w:val="nil"/>
              <w:left w:val="nil"/>
              <w:bottom w:val="single" w:sz="4" w:space="0" w:color="auto"/>
              <w:right w:val="single" w:sz="4" w:space="0" w:color="auto"/>
            </w:tcBorders>
            <w:shd w:val="clear" w:color="auto" w:fill="auto"/>
            <w:noWrap/>
            <w:vAlign w:val="bottom"/>
            <w:hideMark/>
          </w:tcPr>
          <w:p w14:paraId="4E54B614" w14:textId="77777777" w:rsidR="006C06F6" w:rsidRPr="006C06F6" w:rsidRDefault="40B3576B" w:rsidP="40B3576B">
            <w:pPr>
              <w:spacing w:after="0"/>
              <w:jc w:val="right"/>
              <w:rPr>
                <w:sz w:val="14"/>
                <w:szCs w:val="14"/>
              </w:rPr>
            </w:pPr>
            <w:r w:rsidRPr="40B3576B">
              <w:rPr>
                <w:sz w:val="14"/>
                <w:szCs w:val="14"/>
              </w:rPr>
              <w:t>0,4</w:t>
            </w:r>
          </w:p>
        </w:tc>
        <w:tc>
          <w:tcPr>
            <w:tcW w:w="593" w:type="dxa"/>
            <w:tcBorders>
              <w:top w:val="nil"/>
              <w:left w:val="nil"/>
              <w:bottom w:val="single" w:sz="4" w:space="0" w:color="auto"/>
              <w:right w:val="single" w:sz="4" w:space="0" w:color="auto"/>
            </w:tcBorders>
            <w:shd w:val="clear" w:color="auto" w:fill="auto"/>
            <w:noWrap/>
            <w:vAlign w:val="bottom"/>
            <w:hideMark/>
          </w:tcPr>
          <w:p w14:paraId="22D9FA54" w14:textId="77777777" w:rsidR="006C06F6" w:rsidRPr="006C06F6" w:rsidRDefault="40B3576B" w:rsidP="40B3576B">
            <w:pPr>
              <w:spacing w:after="0"/>
              <w:jc w:val="right"/>
              <w:rPr>
                <w:sz w:val="14"/>
                <w:szCs w:val="14"/>
              </w:rPr>
            </w:pPr>
            <w:r w:rsidRPr="40B3576B">
              <w:rPr>
                <w:sz w:val="14"/>
                <w:szCs w:val="14"/>
              </w:rPr>
              <w:t>106,0</w:t>
            </w:r>
          </w:p>
        </w:tc>
      </w:tr>
      <w:tr w:rsidR="006C06F6" w:rsidRPr="006C06F6" w14:paraId="7534D350" w14:textId="77777777" w:rsidTr="40B3576B">
        <w:trPr>
          <w:trHeight w:val="21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085F4960" w14:textId="77777777" w:rsidR="006C06F6" w:rsidRPr="006C06F6" w:rsidRDefault="40B3576B" w:rsidP="40B3576B">
            <w:pPr>
              <w:spacing w:after="0"/>
              <w:jc w:val="left"/>
              <w:rPr>
                <w:b/>
                <w:bCs/>
                <w:sz w:val="14"/>
                <w:szCs w:val="14"/>
              </w:rPr>
            </w:pPr>
            <w:r w:rsidRPr="40B3576B">
              <w:rPr>
                <w:b/>
                <w:bCs/>
                <w:sz w:val="14"/>
                <w:szCs w:val="14"/>
              </w:rPr>
              <w:t>Összesen</w:t>
            </w:r>
          </w:p>
        </w:tc>
        <w:tc>
          <w:tcPr>
            <w:tcW w:w="980" w:type="dxa"/>
            <w:tcBorders>
              <w:top w:val="nil"/>
              <w:left w:val="nil"/>
              <w:bottom w:val="single" w:sz="4" w:space="0" w:color="auto"/>
              <w:right w:val="single" w:sz="4" w:space="0" w:color="auto"/>
            </w:tcBorders>
            <w:shd w:val="clear" w:color="auto" w:fill="auto"/>
            <w:noWrap/>
            <w:vAlign w:val="bottom"/>
            <w:hideMark/>
          </w:tcPr>
          <w:p w14:paraId="4A8E9FD9" w14:textId="77777777" w:rsidR="006C06F6" w:rsidRPr="006C06F6" w:rsidRDefault="40B3576B" w:rsidP="40B3576B">
            <w:pPr>
              <w:spacing w:after="0"/>
              <w:jc w:val="right"/>
              <w:rPr>
                <w:b/>
                <w:bCs/>
                <w:sz w:val="14"/>
                <w:szCs w:val="14"/>
              </w:rPr>
            </w:pPr>
            <w:r w:rsidRPr="40B3576B">
              <w:rPr>
                <w:b/>
                <w:bCs/>
                <w:sz w:val="14"/>
                <w:szCs w:val="14"/>
              </w:rPr>
              <w:t>274,0</w:t>
            </w:r>
          </w:p>
        </w:tc>
        <w:tc>
          <w:tcPr>
            <w:tcW w:w="960" w:type="dxa"/>
            <w:tcBorders>
              <w:top w:val="nil"/>
              <w:left w:val="nil"/>
              <w:bottom w:val="single" w:sz="4" w:space="0" w:color="auto"/>
              <w:right w:val="single" w:sz="4" w:space="0" w:color="auto"/>
            </w:tcBorders>
            <w:shd w:val="clear" w:color="auto" w:fill="auto"/>
            <w:noWrap/>
            <w:vAlign w:val="bottom"/>
            <w:hideMark/>
          </w:tcPr>
          <w:p w14:paraId="5C97159B" w14:textId="77777777" w:rsidR="006C06F6" w:rsidRPr="006C06F6" w:rsidRDefault="40B3576B" w:rsidP="40B3576B">
            <w:pPr>
              <w:spacing w:after="0"/>
              <w:jc w:val="right"/>
              <w:rPr>
                <w:b/>
                <w:bCs/>
                <w:sz w:val="14"/>
                <w:szCs w:val="14"/>
              </w:rPr>
            </w:pPr>
            <w:r w:rsidRPr="40B3576B">
              <w:rPr>
                <w:b/>
                <w:bCs/>
                <w:sz w:val="14"/>
                <w:szCs w:val="14"/>
              </w:rPr>
              <w:t>274,2</w:t>
            </w:r>
          </w:p>
        </w:tc>
        <w:tc>
          <w:tcPr>
            <w:tcW w:w="807" w:type="dxa"/>
            <w:tcBorders>
              <w:top w:val="nil"/>
              <w:left w:val="nil"/>
              <w:bottom w:val="single" w:sz="4" w:space="0" w:color="auto"/>
              <w:right w:val="single" w:sz="4" w:space="0" w:color="auto"/>
            </w:tcBorders>
            <w:shd w:val="clear" w:color="auto" w:fill="auto"/>
            <w:noWrap/>
            <w:vAlign w:val="bottom"/>
            <w:hideMark/>
          </w:tcPr>
          <w:p w14:paraId="2B24C9FB" w14:textId="77777777" w:rsidR="006C06F6" w:rsidRPr="006C06F6" w:rsidRDefault="40B3576B" w:rsidP="40B3576B">
            <w:pPr>
              <w:spacing w:after="0"/>
              <w:jc w:val="right"/>
              <w:rPr>
                <w:b/>
                <w:bCs/>
                <w:sz w:val="14"/>
                <w:szCs w:val="14"/>
              </w:rPr>
            </w:pPr>
            <w:r w:rsidRPr="40B3576B">
              <w:rPr>
                <w:b/>
                <w:bCs/>
                <w:sz w:val="14"/>
                <w:szCs w:val="14"/>
              </w:rPr>
              <w:t>0,2</w:t>
            </w:r>
          </w:p>
        </w:tc>
        <w:tc>
          <w:tcPr>
            <w:tcW w:w="593" w:type="dxa"/>
            <w:tcBorders>
              <w:top w:val="nil"/>
              <w:left w:val="nil"/>
              <w:bottom w:val="single" w:sz="4" w:space="0" w:color="auto"/>
              <w:right w:val="single" w:sz="4" w:space="0" w:color="auto"/>
            </w:tcBorders>
            <w:shd w:val="clear" w:color="auto" w:fill="auto"/>
            <w:noWrap/>
            <w:vAlign w:val="bottom"/>
            <w:hideMark/>
          </w:tcPr>
          <w:p w14:paraId="3D656086" w14:textId="77777777" w:rsidR="006C06F6" w:rsidRPr="006C06F6" w:rsidRDefault="40B3576B" w:rsidP="40B3576B">
            <w:pPr>
              <w:spacing w:after="0"/>
              <w:jc w:val="right"/>
              <w:rPr>
                <w:b/>
                <w:bCs/>
                <w:sz w:val="14"/>
                <w:szCs w:val="14"/>
              </w:rPr>
            </w:pPr>
            <w:r w:rsidRPr="40B3576B">
              <w:rPr>
                <w:b/>
                <w:bCs/>
                <w:sz w:val="14"/>
                <w:szCs w:val="14"/>
              </w:rPr>
              <w:t>100,1</w:t>
            </w:r>
          </w:p>
        </w:tc>
      </w:tr>
    </w:tbl>
    <w:p w14:paraId="7187CCA4" w14:textId="77777777" w:rsidR="009F77CF" w:rsidRDefault="009F77CF" w:rsidP="51CD5D50"/>
    <w:p w14:paraId="4ED72BDD" w14:textId="77777777" w:rsidR="006062FE" w:rsidRPr="006062FE" w:rsidRDefault="40B3576B" w:rsidP="40B3576B">
      <w:pPr>
        <w:rPr>
          <w:rFonts w:cs="Tahoma"/>
          <w:color w:val="000000" w:themeColor="text1"/>
        </w:rPr>
      </w:pPr>
      <w:r w:rsidRPr="40B3576B">
        <w:rPr>
          <w:rFonts w:cs="Tahoma"/>
          <w:color w:val="000000" w:themeColor="text1"/>
        </w:rPr>
        <w:t xml:space="preserve">A </w:t>
      </w:r>
      <w:r w:rsidRPr="40B3576B">
        <w:rPr>
          <w:rFonts w:cs="Tahoma"/>
          <w:b/>
          <w:bCs/>
          <w:color w:val="000000" w:themeColor="text1"/>
        </w:rPr>
        <w:t>családi támogatásokra</w:t>
      </w:r>
      <w:r w:rsidRPr="40B3576B">
        <w:rPr>
          <w:rFonts w:cs="Tahoma"/>
          <w:color w:val="000000" w:themeColor="text1"/>
        </w:rPr>
        <w:t xml:space="preserve"> 2020. május végéig összesen 167,7 milliárd forintot fordítottak, mely 0,6 milliárd forinttal maradt el az előző év azonos időszakának teljesítésétől. Ezen belül a családi pótlék 1,5 milliárd forinttal, a gyermekgondozást segítő ellátás 0,8 milliárd forinttal volt kevesebb az egy évvel korábbi kifizetésnél. A családi pótlék esetében a csökkenés oka az, hogy a jogosultak száma – az ellátásból kilépők miatt – kismértékben csökkent az előző év azonos időszakához képest. A gyermekgondozást segítő ellátásnál az eltérés hátterében az áll, hogy a kisgyermeket nevelők közül többen szereznek jogosultságot a biztosítási alapú és a gyermekgondozást segítő ellátásnál magasabb összegű gyermekgondozási díjra. Az életkezdési támogatásra fordított összeg viszont 0,8 milliárd forinttal haladta meg a 2019. május végi teljesítést. Az idei kiadás azért magasabb a tavalyi év azonos időszakához képest, mert az életkezdési letéti számlákon nyilvántartott követelés összege és az erre az összegre tekintettel fizetett kamat mértéke is magasabb volt a tavalyihoz képest. </w:t>
      </w:r>
    </w:p>
    <w:p w14:paraId="2FBAA07E" w14:textId="77777777" w:rsidR="006062FE" w:rsidRPr="006062FE" w:rsidRDefault="40B3576B" w:rsidP="40B3576B">
      <w:pPr>
        <w:rPr>
          <w:rFonts w:cs="Tahoma"/>
          <w:color w:val="000000" w:themeColor="text1"/>
        </w:rPr>
      </w:pPr>
      <w:r w:rsidRPr="40B3576B">
        <w:rPr>
          <w:rFonts w:cs="Tahoma"/>
          <w:color w:val="000000" w:themeColor="text1"/>
        </w:rPr>
        <w:t xml:space="preserve">A </w:t>
      </w:r>
      <w:r w:rsidRPr="40B3576B">
        <w:rPr>
          <w:rFonts w:cs="Tahoma"/>
          <w:b/>
          <w:bCs/>
          <w:color w:val="000000" w:themeColor="text1"/>
        </w:rPr>
        <w:t>korhatár alatti ellátásokra</w:t>
      </w:r>
      <w:r w:rsidRPr="40B3576B">
        <w:rPr>
          <w:rFonts w:cs="Tahoma"/>
          <w:color w:val="000000" w:themeColor="text1"/>
        </w:rPr>
        <w:t xml:space="preserve"> idén az első öt hónapban 38,2 milliárd forintot folyósítottak, amely 0,9 milliárd forinttal alacsonyabb az előző év azonos időszakában e célra kifizetett összegnél. Ebből korhatár előtti ellátásra és táncművészeti életjáradékra 8,6 milliárd forintot, a szolgálati járandóságra pedig 29,6 milliárd forintot folyósítottak. Az adatok tartalmazzák ezen ellátások januárban végrehajtott emelésének (a nyugdíjakra vonatkozó szabályok szerint végrehajtott 2020.  évi januári 2,8%-os emelés, valamint a 2019. évi novemberi 0,7%-os kiegészítő emelés) hatását. A korhatár előtti ellátásban és a szolgálati járandóságban részesülők közül azok, akik elérik a nyugdíjkorhatárt, öregségi nyugdíjra válnak jogosulttá. </w:t>
      </w:r>
    </w:p>
    <w:p w14:paraId="25ABC822" w14:textId="77777777" w:rsidR="006062FE" w:rsidRPr="006062FE" w:rsidRDefault="40B3576B" w:rsidP="40B3576B">
      <w:pPr>
        <w:rPr>
          <w:rFonts w:cs="Tahoma"/>
          <w:color w:val="000000" w:themeColor="text1"/>
        </w:rPr>
      </w:pPr>
      <w:r w:rsidRPr="40B3576B">
        <w:rPr>
          <w:rFonts w:cs="Tahoma"/>
          <w:color w:val="000000" w:themeColor="text1"/>
        </w:rPr>
        <w:t xml:space="preserve">2020. május végéig a </w:t>
      </w:r>
      <w:r w:rsidRPr="40B3576B">
        <w:rPr>
          <w:rFonts w:cs="Tahoma"/>
          <w:b/>
          <w:bCs/>
          <w:color w:val="000000" w:themeColor="text1"/>
        </w:rPr>
        <w:t xml:space="preserve">jövedelempótló és jövedelemkiegészítő szociális támogatásokra </w:t>
      </w:r>
      <w:r w:rsidRPr="40B3576B">
        <w:rPr>
          <w:rFonts w:cs="Tahoma"/>
          <w:color w:val="000000" w:themeColor="text1"/>
        </w:rPr>
        <w:t xml:space="preserve">58,2 milliárd forintot fizettek ki, mely mintegy 2%-kal haladta meg az egy évvel korábbi kiadást. A jövedelempótló és jövedelemkiegészítő szociális támogatásokon belül a legnagyobb összeget (33,7 milliárd forint) a járási szociális feladatok ellátására (gyermekek otthongondozási díja, ápolási díj, időskorúak járadéka, foglalkoztatást helyettesítő támogatás, egészségkárosodási és gyermekfelügyeleti támogatás) fordították, e kiadások 1,5 milliárd forinttal haladták meg az előző évi első öthavi kiadásokat. Az </w:t>
      </w:r>
      <w:r w:rsidRPr="40B3576B">
        <w:rPr>
          <w:rFonts w:cs="Tahoma"/>
          <w:color w:val="000000" w:themeColor="text1"/>
        </w:rPr>
        <w:lastRenderedPageBreak/>
        <w:t xml:space="preserve">adatok tartalmazzák az ápolási díj 5%-os, valamint a gyermekek otthongondozási díja közel 24%-os emelésének hatását. 2020 első öt hónapjában a fogyatékossági támogatásra és a vakok személyi járadékára folyósított összeg (15,0 milliárd forint) 0,3 milliárd forinttal magasabb volt az előző évi azonos időszaki kifizetésnél, tekintettel arra, hogy a fogyatékossági támogatásnak és a vakok személyi járadékának az összege januárban a nyugdíjemelésre vonatkozó szabályok szerint emelkedett, ugyanakkor a jogosultak száma kismértékben csökken. A politikai rehabilitációs és más nyugdíj-kiegészítéseknél (5,6 milliárd forint), továbbá egyéb kisebb ellátásoknál (például mezőgazdasági járadék, házastársi pótlék) viszont csökkenés látható, figyelemmel arra, hogy ezek kifutó jellegű ellátások. </w:t>
      </w:r>
    </w:p>
    <w:p w14:paraId="4A298955" w14:textId="77777777" w:rsidR="006062FE" w:rsidRPr="006062FE" w:rsidRDefault="40B3576B" w:rsidP="40B3576B">
      <w:pPr>
        <w:rPr>
          <w:rFonts w:cs="Tahoma"/>
          <w:color w:val="000000" w:themeColor="text1"/>
        </w:rPr>
      </w:pPr>
      <w:r w:rsidRPr="40B3576B">
        <w:rPr>
          <w:rFonts w:cs="Tahoma"/>
          <w:color w:val="000000" w:themeColor="text1"/>
        </w:rPr>
        <w:t xml:space="preserve">A </w:t>
      </w:r>
      <w:r w:rsidRPr="40B3576B">
        <w:rPr>
          <w:rFonts w:cs="Tahoma"/>
          <w:b/>
          <w:bCs/>
          <w:color w:val="000000" w:themeColor="text1"/>
        </w:rPr>
        <w:t>különféle jogcímen adott térítések</w:t>
      </w:r>
      <w:r w:rsidRPr="40B3576B">
        <w:rPr>
          <w:rFonts w:cs="Tahoma"/>
          <w:color w:val="000000" w:themeColor="text1"/>
        </w:rPr>
        <w:t xml:space="preserve"> 2020. évi május végi összege (10,1 milliárd forint) 0,4 milliárd forinttal volt magasabb az előző év azonos időszakában kifizetett összegnél. A térítéseken belül a legnagyobb összeget, 7,1 milliárd forintot a közgyógyellátásra fizették ki, meghaladva a 2019. évi május végi összeget.</w:t>
      </w:r>
    </w:p>
    <w:p w14:paraId="20D55218" w14:textId="3006A6C4" w:rsidR="00AE0B19" w:rsidRPr="00AE0B19" w:rsidRDefault="40B3576B" w:rsidP="00AE0B19">
      <w:r>
        <w:t xml:space="preserve">A </w:t>
      </w:r>
      <w:r w:rsidRPr="40B3576B">
        <w:rPr>
          <w:b/>
          <w:bCs/>
        </w:rPr>
        <w:t>helyi önkormányzatok</w:t>
      </w:r>
      <w:r>
        <w:t xml:space="preserve"> 2020. évi feladataihoz a hatályos költségvetési törvény 739,0</w:t>
      </w:r>
      <w:r w:rsidR="00816612">
        <w:t> </w:t>
      </w:r>
      <w:r>
        <w:t>milliárd forint állami támogatást biztosít, ami a 2019. évi 728,9</w:t>
      </w:r>
      <w:r w:rsidR="00816612">
        <w:t> </w:t>
      </w:r>
      <w:r>
        <w:t>milliárd forintos törvényi előirányzatnál 10,1</w:t>
      </w:r>
      <w:r w:rsidR="00816612">
        <w:t> </w:t>
      </w:r>
      <w:r>
        <w:t>milliárd forinttal magasabb. E többlet döntően a 2017</w:t>
      </w:r>
      <w:r w:rsidR="00816612">
        <w:noBreakHyphen/>
      </w:r>
      <w:r>
        <w:t>2019.</w:t>
      </w:r>
      <w:r w:rsidR="00816612">
        <w:t> </w:t>
      </w:r>
      <w:r>
        <w:t>évi bérintézkedések hatásainak ágazati, (így a köznevelési, szociális, gyermekétkeztetési, valamint a kulturális) támogatásokba való beépítésére, valamint kisebb részben egyes működési célú feladatok ellátására szolgál fedezetül. Az említett ágazati bérintézkedések hatása ténylegesen 24,5</w:t>
      </w:r>
      <w:r w:rsidR="00816612">
        <w:t> </w:t>
      </w:r>
      <w:r>
        <w:t>milliárd forint többletet jelent a fejlesztési célú előirányzatok előző évhez viszonyított 2,9</w:t>
      </w:r>
      <w:r w:rsidR="007626A6">
        <w:t xml:space="preserve"> százalékpontos</w:t>
      </w:r>
      <w:r>
        <w:t xml:space="preserve"> csökkenése mellett. A csökkenés oka, hogy főként néhány kiemelt beruházás megvalósítása a végéhez közeledik (Pannon Park, Normafa Park beruházások), így az előirányzatuk összege is jelentősen csökkent. </w:t>
      </w:r>
    </w:p>
    <w:p w14:paraId="32BB2482" w14:textId="4C06F485" w:rsidR="00AE0B19" w:rsidRPr="00AE0B19" w:rsidRDefault="40B3576B" w:rsidP="00AE0B19">
      <w:r>
        <w:t xml:space="preserve">Fentieken túl </w:t>
      </w:r>
      <w:r w:rsidR="00821EFB">
        <w:t xml:space="preserve">a kormány </w:t>
      </w:r>
      <w:r>
        <w:t>az 1047/2020. (II.</w:t>
      </w:r>
      <w:r w:rsidR="00165DD6">
        <w:t xml:space="preserve"> </w:t>
      </w:r>
      <w:r>
        <w:t>18.) határozat</w:t>
      </w:r>
      <w:r w:rsidR="00821EFB">
        <w:t>á</w:t>
      </w:r>
      <w:r>
        <w:t>ban 10,3</w:t>
      </w:r>
      <w:r w:rsidR="008A47A5">
        <w:t> </w:t>
      </w:r>
      <w:r>
        <w:t>milliárd forint egyszeri előirányzat-átcsoportosításáról döntött a IX. Helyi önkormányzatok támogatásai fejezet terhére</w:t>
      </w:r>
      <w:r w:rsidR="00397ADC">
        <w:t>,</w:t>
      </w:r>
      <w:r>
        <w:t xml:space="preserve"> a XX. E</w:t>
      </w:r>
      <w:r w:rsidR="00501762">
        <w:t xml:space="preserve">mberi </w:t>
      </w:r>
      <w:r w:rsidR="00BA2A69">
        <w:t>E</w:t>
      </w:r>
      <w:r w:rsidR="00501762">
        <w:t xml:space="preserve">rőforrások Minisztériuma </w:t>
      </w:r>
      <w:r>
        <w:t>fejezet javára annak érdekében, hogy az érintett színházak támogatása a 2020. évben megfeleljen az előadó-művészeti szervezetek támogatásáról és sajátos foglalkoztatási szabályairól szóló 2008. évi XCIX</w:t>
      </w:r>
      <w:r w:rsidR="00397ADC">
        <w:t> </w:t>
      </w:r>
      <w:r>
        <w:t>törvény előírásainak.</w:t>
      </w:r>
    </w:p>
    <w:p w14:paraId="14F80CAD" w14:textId="68146E6C" w:rsidR="00E05046" w:rsidRDefault="40B3576B" w:rsidP="00FE76A5">
      <w:r>
        <w:t>A jelentősebb tételek alakulását a következő táblázat mutatja:</w:t>
      </w:r>
      <w:r w:rsidR="5B83E8AE">
        <w:br w:type="page"/>
      </w:r>
    </w:p>
    <w:tbl>
      <w:tblPr>
        <w:tblW w:w="8524" w:type="dxa"/>
        <w:jc w:val="center"/>
        <w:tblInd w:w="-329" w:type="dxa"/>
        <w:tblCellMar>
          <w:left w:w="0" w:type="dxa"/>
          <w:right w:w="0" w:type="dxa"/>
        </w:tblCellMar>
        <w:tblLook w:val="04A0" w:firstRow="1" w:lastRow="0" w:firstColumn="1" w:lastColumn="0" w:noHBand="0" w:noVBand="1"/>
      </w:tblPr>
      <w:tblGrid>
        <w:gridCol w:w="263"/>
        <w:gridCol w:w="4143"/>
        <w:gridCol w:w="1124"/>
        <w:gridCol w:w="1110"/>
        <w:gridCol w:w="888"/>
        <w:gridCol w:w="733"/>
        <w:gridCol w:w="263"/>
      </w:tblGrid>
      <w:tr w:rsidR="00B63892" w:rsidRPr="00B63892" w14:paraId="2F7879B7" w14:textId="77777777" w:rsidTr="40B3576B">
        <w:trPr>
          <w:gridBefore w:val="1"/>
          <w:wBefore w:w="263" w:type="dxa"/>
          <w:trHeight w:val="300"/>
          <w:jc w:val="center"/>
        </w:trPr>
        <w:tc>
          <w:tcPr>
            <w:tcW w:w="8261" w:type="dxa"/>
            <w:gridSpan w:val="6"/>
            <w:noWrap/>
            <w:tcMar>
              <w:top w:w="0" w:type="dxa"/>
              <w:left w:w="70" w:type="dxa"/>
              <w:bottom w:w="0" w:type="dxa"/>
              <w:right w:w="70" w:type="dxa"/>
            </w:tcMar>
            <w:vAlign w:val="bottom"/>
            <w:hideMark/>
          </w:tcPr>
          <w:p w14:paraId="7A3DC9ED" w14:textId="77777777" w:rsidR="00B63892" w:rsidRPr="00B63892" w:rsidRDefault="40B3576B" w:rsidP="40B3576B">
            <w:pPr>
              <w:spacing w:line="276" w:lineRule="auto"/>
              <w:ind w:hanging="322"/>
              <w:jc w:val="center"/>
              <w:rPr>
                <w:rFonts w:eastAsiaTheme="minorEastAsia"/>
                <w:b/>
                <w:bCs/>
                <w:color w:val="000000" w:themeColor="text1"/>
                <w:sz w:val="20"/>
                <w:lang w:eastAsia="en-US"/>
              </w:rPr>
            </w:pPr>
            <w:r w:rsidRPr="40B3576B">
              <w:rPr>
                <w:b/>
                <w:bCs/>
                <w:color w:val="000000" w:themeColor="text1"/>
                <w:sz w:val="20"/>
              </w:rPr>
              <w:lastRenderedPageBreak/>
              <w:t>A helyi önkormányzatok támogatásának alakulása (milliárd forint)</w:t>
            </w:r>
          </w:p>
        </w:tc>
      </w:tr>
      <w:tr w:rsidR="00B63892" w:rsidRPr="00B63892" w14:paraId="67AAF810" w14:textId="77777777" w:rsidTr="40B3576B">
        <w:trPr>
          <w:gridAfter w:val="1"/>
          <w:wAfter w:w="263" w:type="dxa"/>
          <w:trHeight w:val="300"/>
          <w:jc w:val="center"/>
        </w:trPr>
        <w:tc>
          <w:tcPr>
            <w:tcW w:w="4406" w:type="dxa"/>
            <w:gridSpan w:val="2"/>
            <w:vMerge w:val="restart"/>
            <w:tcBorders>
              <w:top w:val="single" w:sz="8" w:space="0" w:color="auto"/>
              <w:left w:val="single" w:sz="8" w:space="0" w:color="auto"/>
              <w:bottom w:val="single" w:sz="8" w:space="0" w:color="000000" w:themeColor="text1"/>
              <w:right w:val="single" w:sz="8" w:space="0" w:color="auto"/>
            </w:tcBorders>
            <w:noWrap/>
            <w:tcMar>
              <w:top w:w="0" w:type="dxa"/>
              <w:left w:w="70" w:type="dxa"/>
              <w:bottom w:w="0" w:type="dxa"/>
              <w:right w:w="70" w:type="dxa"/>
            </w:tcMar>
            <w:vAlign w:val="center"/>
            <w:hideMark/>
          </w:tcPr>
          <w:p w14:paraId="3BE23B9F" w14:textId="77777777" w:rsidR="00B63892" w:rsidRPr="00B63892" w:rsidRDefault="40B3576B" w:rsidP="40B3576B">
            <w:pPr>
              <w:spacing w:line="276" w:lineRule="auto"/>
              <w:jc w:val="center"/>
              <w:rPr>
                <w:rFonts w:eastAsiaTheme="minorEastAsia"/>
                <w:b/>
                <w:bCs/>
                <w:color w:val="000000" w:themeColor="text1"/>
                <w:sz w:val="20"/>
                <w:lang w:eastAsia="en-US"/>
              </w:rPr>
            </w:pPr>
            <w:r w:rsidRPr="40B3576B">
              <w:rPr>
                <w:b/>
                <w:bCs/>
                <w:color w:val="000000" w:themeColor="text1"/>
                <w:sz w:val="20"/>
              </w:rPr>
              <w:t>Megnevezés</w:t>
            </w:r>
          </w:p>
        </w:tc>
        <w:tc>
          <w:tcPr>
            <w:tcW w:w="112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11609F1" w14:textId="77777777" w:rsidR="00B63892" w:rsidRPr="00B63892" w:rsidRDefault="40B3576B" w:rsidP="40B3576B">
            <w:pPr>
              <w:jc w:val="center"/>
              <w:rPr>
                <w:b/>
                <w:bCs/>
                <w:color w:val="000000" w:themeColor="text1"/>
                <w:sz w:val="20"/>
              </w:rPr>
            </w:pPr>
            <w:r w:rsidRPr="40B3576B">
              <w:rPr>
                <w:b/>
                <w:bCs/>
                <w:color w:val="000000" w:themeColor="text1"/>
                <w:sz w:val="20"/>
              </w:rPr>
              <w:t xml:space="preserve">2019. </w:t>
            </w:r>
            <w:r w:rsidR="5B83E8AE">
              <w:br/>
            </w:r>
            <w:r w:rsidRPr="40B3576B">
              <w:rPr>
                <w:b/>
                <w:bCs/>
                <w:color w:val="000000" w:themeColor="text1"/>
                <w:sz w:val="20"/>
              </w:rPr>
              <w:t>I-V. hó</w:t>
            </w:r>
          </w:p>
        </w:tc>
        <w:tc>
          <w:tcPr>
            <w:tcW w:w="11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58851D1" w14:textId="77777777" w:rsidR="00B63892" w:rsidRPr="00B63892" w:rsidRDefault="40B3576B" w:rsidP="40B3576B">
            <w:pPr>
              <w:jc w:val="center"/>
              <w:rPr>
                <w:b/>
                <w:bCs/>
                <w:color w:val="000000" w:themeColor="text1"/>
                <w:sz w:val="20"/>
              </w:rPr>
            </w:pPr>
            <w:r w:rsidRPr="40B3576B">
              <w:rPr>
                <w:b/>
                <w:bCs/>
                <w:color w:val="000000" w:themeColor="text1"/>
                <w:sz w:val="20"/>
              </w:rPr>
              <w:t>2020.</w:t>
            </w:r>
            <w:r w:rsidR="5B83E8AE">
              <w:br/>
            </w:r>
            <w:r w:rsidRPr="40B3576B">
              <w:rPr>
                <w:b/>
                <w:bCs/>
                <w:color w:val="000000" w:themeColor="text1"/>
                <w:sz w:val="20"/>
              </w:rPr>
              <w:t>I-V. hó</w:t>
            </w:r>
          </w:p>
        </w:tc>
        <w:tc>
          <w:tcPr>
            <w:tcW w:w="1621"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09B7B517" w14:textId="77777777" w:rsidR="00B63892" w:rsidRPr="00B63892" w:rsidRDefault="40B3576B" w:rsidP="40B3576B">
            <w:pPr>
              <w:jc w:val="center"/>
              <w:rPr>
                <w:b/>
                <w:bCs/>
                <w:color w:val="000000" w:themeColor="text1"/>
                <w:sz w:val="20"/>
              </w:rPr>
            </w:pPr>
            <w:r w:rsidRPr="40B3576B">
              <w:rPr>
                <w:b/>
                <w:bCs/>
                <w:color w:val="000000" w:themeColor="text1"/>
                <w:sz w:val="20"/>
              </w:rPr>
              <w:t>Eltérés</w:t>
            </w:r>
          </w:p>
        </w:tc>
      </w:tr>
      <w:tr w:rsidR="00B63892" w:rsidRPr="00B63892" w14:paraId="645E4692" w14:textId="77777777" w:rsidTr="40B3576B">
        <w:trPr>
          <w:gridAfter w:val="1"/>
          <w:wAfter w:w="263" w:type="dxa"/>
          <w:trHeight w:val="300"/>
          <w:jc w:val="center"/>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24FB6D4F" w14:textId="77777777" w:rsidR="00B63892" w:rsidRPr="00B63892" w:rsidRDefault="00B63892" w:rsidP="003919E7">
            <w:pPr>
              <w:rPr>
                <w:rFonts w:eastAsiaTheme="minorHAnsi"/>
                <w:b/>
                <w:bCs/>
                <w:color w:val="000000"/>
                <w:sz w:val="20"/>
                <w:lang w:eastAsia="en-US"/>
              </w:rPr>
            </w:pPr>
          </w:p>
        </w:tc>
        <w:tc>
          <w:tcPr>
            <w:tcW w:w="0" w:type="auto"/>
            <w:vMerge/>
            <w:tcBorders>
              <w:top w:val="single" w:sz="8" w:space="0" w:color="auto"/>
              <w:left w:val="nil"/>
              <w:bottom w:val="single" w:sz="8" w:space="0" w:color="auto"/>
              <w:right w:val="single" w:sz="8" w:space="0" w:color="auto"/>
            </w:tcBorders>
            <w:vAlign w:val="center"/>
          </w:tcPr>
          <w:p w14:paraId="5C9D2DF7" w14:textId="77777777" w:rsidR="00B63892" w:rsidRPr="00B63892" w:rsidRDefault="00B63892" w:rsidP="003919E7">
            <w:pPr>
              <w:jc w:val="center"/>
              <w:rPr>
                <w:rFonts w:eastAsiaTheme="minorHAnsi"/>
                <w:b/>
                <w:bCs/>
                <w:color w:val="000000"/>
                <w:sz w:val="20"/>
                <w:lang w:eastAsia="en-US"/>
              </w:rPr>
            </w:pPr>
          </w:p>
        </w:tc>
        <w:tc>
          <w:tcPr>
            <w:tcW w:w="0" w:type="auto"/>
            <w:vMerge/>
            <w:tcBorders>
              <w:top w:val="single" w:sz="8" w:space="0" w:color="auto"/>
              <w:left w:val="nil"/>
              <w:bottom w:val="single" w:sz="8" w:space="0" w:color="auto"/>
              <w:right w:val="single" w:sz="8" w:space="0" w:color="auto"/>
            </w:tcBorders>
            <w:vAlign w:val="center"/>
          </w:tcPr>
          <w:p w14:paraId="14F93466" w14:textId="77777777" w:rsidR="00B63892" w:rsidRPr="00B63892" w:rsidRDefault="00B63892" w:rsidP="003919E7">
            <w:pPr>
              <w:jc w:val="center"/>
              <w:rPr>
                <w:rFonts w:eastAsiaTheme="minorHAnsi"/>
                <w:b/>
                <w:bCs/>
                <w:color w:val="000000"/>
                <w:sz w:val="20"/>
                <w:lang w:eastAsia="en-US"/>
              </w:rPr>
            </w:pP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75BF476" w14:textId="77777777" w:rsidR="00B63892" w:rsidRPr="00B63892" w:rsidRDefault="40B3576B" w:rsidP="40B3576B">
            <w:pPr>
              <w:spacing w:line="276" w:lineRule="auto"/>
              <w:jc w:val="center"/>
              <w:rPr>
                <w:rFonts w:eastAsiaTheme="minorEastAsia"/>
                <w:b/>
                <w:bCs/>
                <w:color w:val="000000" w:themeColor="text1"/>
                <w:sz w:val="20"/>
                <w:lang w:eastAsia="en-US"/>
              </w:rPr>
            </w:pPr>
            <w:r w:rsidRPr="40B3576B">
              <w:rPr>
                <w:b/>
                <w:bCs/>
                <w:color w:val="000000" w:themeColor="text1"/>
                <w:sz w:val="20"/>
              </w:rPr>
              <w:t>Mrd Ft</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DBE30AD" w14:textId="77777777" w:rsidR="00B63892" w:rsidRPr="00B63892" w:rsidRDefault="40B3576B" w:rsidP="40B3576B">
            <w:pPr>
              <w:spacing w:line="276" w:lineRule="auto"/>
              <w:jc w:val="center"/>
              <w:rPr>
                <w:rFonts w:eastAsiaTheme="minorEastAsia"/>
                <w:b/>
                <w:bCs/>
                <w:color w:val="000000" w:themeColor="text1"/>
                <w:sz w:val="20"/>
                <w:lang w:eastAsia="en-US"/>
              </w:rPr>
            </w:pPr>
            <w:r w:rsidRPr="40B3576B">
              <w:rPr>
                <w:b/>
                <w:bCs/>
                <w:color w:val="000000" w:themeColor="text1"/>
                <w:sz w:val="20"/>
              </w:rPr>
              <w:t>%</w:t>
            </w:r>
          </w:p>
        </w:tc>
      </w:tr>
      <w:tr w:rsidR="00B63892" w:rsidRPr="00B63892" w14:paraId="1C17600D" w14:textId="77777777" w:rsidTr="40B3576B">
        <w:trPr>
          <w:gridAfter w:val="1"/>
          <w:wAfter w:w="263" w:type="dxa"/>
          <w:trHeight w:val="575"/>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C63432" w14:textId="77777777" w:rsidR="00B63892" w:rsidRPr="00B63892" w:rsidRDefault="40B3576B" w:rsidP="40B3576B">
            <w:pPr>
              <w:spacing w:after="0"/>
              <w:jc w:val="left"/>
              <w:rPr>
                <w:rFonts w:eastAsiaTheme="minorEastAsia"/>
                <w:b/>
                <w:bCs/>
                <w:color w:val="000000" w:themeColor="text1"/>
                <w:sz w:val="20"/>
              </w:rPr>
            </w:pPr>
            <w:r w:rsidRPr="40B3576B">
              <w:rPr>
                <w:rFonts w:eastAsiaTheme="minorEastAsia"/>
                <w:b/>
                <w:bCs/>
                <w:color w:val="000000" w:themeColor="text1"/>
                <w:sz w:val="20"/>
              </w:rPr>
              <w:t>A helyi önkormányzatok általános működésének és ágazati feladatainak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1CD1DE2" w14:textId="77777777" w:rsidR="00B63892" w:rsidRPr="00B63892" w:rsidRDefault="40B3576B" w:rsidP="40B3576B">
            <w:pPr>
              <w:jc w:val="right"/>
              <w:rPr>
                <w:b/>
                <w:bCs/>
                <w:color w:val="000000" w:themeColor="text1"/>
                <w:sz w:val="20"/>
              </w:rPr>
            </w:pPr>
            <w:r w:rsidRPr="40B3576B">
              <w:rPr>
                <w:b/>
                <w:bCs/>
                <w:color w:val="000000" w:themeColor="text1"/>
                <w:sz w:val="20"/>
              </w:rPr>
              <w:t>268,9</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5003805" w14:textId="77777777" w:rsidR="00B63892" w:rsidRPr="00B63892" w:rsidRDefault="40B3576B" w:rsidP="40B3576B">
            <w:pPr>
              <w:jc w:val="right"/>
              <w:rPr>
                <w:b/>
                <w:bCs/>
                <w:color w:val="000000" w:themeColor="text1"/>
                <w:sz w:val="20"/>
              </w:rPr>
            </w:pPr>
            <w:r w:rsidRPr="40B3576B">
              <w:rPr>
                <w:b/>
                <w:bCs/>
                <w:color w:val="000000" w:themeColor="text1"/>
                <w:sz w:val="20"/>
              </w:rPr>
              <w:t>287,0</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4721E9D" w14:textId="77777777" w:rsidR="00B63892" w:rsidRPr="00B63892" w:rsidRDefault="40B3576B" w:rsidP="40B3576B">
            <w:pPr>
              <w:jc w:val="right"/>
              <w:rPr>
                <w:b/>
                <w:bCs/>
                <w:color w:val="000000" w:themeColor="text1"/>
                <w:sz w:val="20"/>
              </w:rPr>
            </w:pPr>
            <w:r w:rsidRPr="40B3576B">
              <w:rPr>
                <w:b/>
                <w:bCs/>
                <w:color w:val="000000" w:themeColor="text1"/>
                <w:sz w:val="20"/>
              </w:rPr>
              <w:t>18,1</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90D3E2F" w14:textId="77777777" w:rsidR="00B63892" w:rsidRPr="00B63892" w:rsidRDefault="40B3576B" w:rsidP="40B3576B">
            <w:pPr>
              <w:jc w:val="right"/>
              <w:rPr>
                <w:b/>
                <w:bCs/>
                <w:color w:val="000000" w:themeColor="text1"/>
                <w:sz w:val="20"/>
              </w:rPr>
            </w:pPr>
            <w:r w:rsidRPr="40B3576B">
              <w:rPr>
                <w:b/>
                <w:bCs/>
                <w:color w:val="000000" w:themeColor="text1"/>
                <w:sz w:val="20"/>
              </w:rPr>
              <w:t>106,7</w:t>
            </w:r>
          </w:p>
        </w:tc>
      </w:tr>
      <w:tr w:rsidR="00B63892" w:rsidRPr="00B63892" w14:paraId="3DCBC2C7" w14:textId="77777777" w:rsidTr="40B3576B">
        <w:trPr>
          <w:gridAfter w:val="1"/>
          <w:wAfter w:w="263" w:type="dxa"/>
          <w:trHeight w:val="507"/>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7CC976F" w14:textId="77777777" w:rsidR="00B63892" w:rsidRPr="00B63892" w:rsidRDefault="40B3576B" w:rsidP="40B3576B">
            <w:pPr>
              <w:spacing w:after="0"/>
              <w:jc w:val="left"/>
              <w:rPr>
                <w:rFonts w:eastAsiaTheme="minorEastAsia"/>
                <w:i/>
                <w:iCs/>
                <w:color w:val="000000" w:themeColor="text1"/>
                <w:sz w:val="20"/>
              </w:rPr>
            </w:pPr>
            <w:r w:rsidRPr="40B3576B">
              <w:rPr>
                <w:rFonts w:eastAsiaTheme="minorEastAsia"/>
                <w:i/>
                <w:iCs/>
                <w:color w:val="000000" w:themeColor="text1"/>
                <w:sz w:val="20"/>
              </w:rPr>
              <w:t>A helyi önkormányzatok működésének általános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EDA4675" w14:textId="77777777" w:rsidR="00B63892" w:rsidRPr="00B63892" w:rsidRDefault="40B3576B" w:rsidP="40B3576B">
            <w:pPr>
              <w:jc w:val="right"/>
              <w:rPr>
                <w:color w:val="000000" w:themeColor="text1"/>
                <w:sz w:val="20"/>
              </w:rPr>
            </w:pPr>
            <w:r w:rsidRPr="40B3576B">
              <w:rPr>
                <w:color w:val="000000" w:themeColor="text1"/>
                <w:sz w:val="20"/>
              </w:rPr>
              <w:t>68,5</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6CDB4C4" w14:textId="77777777" w:rsidR="00B63892" w:rsidRPr="00B63892" w:rsidRDefault="40B3576B" w:rsidP="40B3576B">
            <w:pPr>
              <w:jc w:val="right"/>
              <w:rPr>
                <w:color w:val="000000" w:themeColor="text1"/>
                <w:sz w:val="20"/>
              </w:rPr>
            </w:pPr>
            <w:r w:rsidRPr="40B3576B">
              <w:rPr>
                <w:color w:val="000000" w:themeColor="text1"/>
                <w:sz w:val="20"/>
              </w:rPr>
              <w:t>76,1</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C9CC13B" w14:textId="77777777" w:rsidR="00B63892" w:rsidRPr="00B63892" w:rsidRDefault="40B3576B" w:rsidP="40B3576B">
            <w:pPr>
              <w:jc w:val="right"/>
              <w:rPr>
                <w:color w:val="000000" w:themeColor="text1"/>
                <w:sz w:val="20"/>
              </w:rPr>
            </w:pPr>
            <w:r w:rsidRPr="40B3576B">
              <w:rPr>
                <w:color w:val="000000" w:themeColor="text1"/>
                <w:sz w:val="20"/>
              </w:rPr>
              <w:t>7,6</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4ADE235" w14:textId="77777777" w:rsidR="00B63892" w:rsidRPr="00B63892" w:rsidRDefault="40B3576B" w:rsidP="40B3576B">
            <w:pPr>
              <w:jc w:val="right"/>
              <w:rPr>
                <w:color w:val="000000" w:themeColor="text1"/>
                <w:sz w:val="20"/>
              </w:rPr>
            </w:pPr>
            <w:r w:rsidRPr="40B3576B">
              <w:rPr>
                <w:color w:val="000000" w:themeColor="text1"/>
                <w:sz w:val="20"/>
              </w:rPr>
              <w:t>111,1</w:t>
            </w:r>
          </w:p>
        </w:tc>
      </w:tr>
      <w:tr w:rsidR="00B63892" w:rsidRPr="00B63892" w14:paraId="2DC4F4A1" w14:textId="77777777" w:rsidTr="40B3576B">
        <w:trPr>
          <w:gridAfter w:val="1"/>
          <w:wAfter w:w="263" w:type="dxa"/>
          <w:trHeight w:val="515"/>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CFC169F" w14:textId="77777777" w:rsidR="00B63892" w:rsidRPr="00B63892" w:rsidRDefault="40B3576B" w:rsidP="40B3576B">
            <w:pPr>
              <w:spacing w:after="0"/>
              <w:jc w:val="left"/>
              <w:rPr>
                <w:rFonts w:eastAsiaTheme="minorEastAsia"/>
                <w:i/>
                <w:iCs/>
                <w:color w:val="000000" w:themeColor="text1"/>
                <w:sz w:val="20"/>
              </w:rPr>
            </w:pPr>
            <w:r w:rsidRPr="40B3576B">
              <w:rPr>
                <w:rFonts w:eastAsiaTheme="minorEastAsia"/>
                <w:i/>
                <w:iCs/>
                <w:color w:val="000000" w:themeColor="text1"/>
                <w:sz w:val="20"/>
              </w:rPr>
              <w:t>A települési önkormányzatok egyes köznevelési feladatainak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DFCB2CA" w14:textId="77777777" w:rsidR="00B63892" w:rsidRPr="00B63892" w:rsidRDefault="40B3576B" w:rsidP="40B3576B">
            <w:pPr>
              <w:jc w:val="right"/>
              <w:rPr>
                <w:color w:val="000000" w:themeColor="text1"/>
                <w:sz w:val="20"/>
              </w:rPr>
            </w:pPr>
            <w:r w:rsidRPr="40B3576B">
              <w:rPr>
                <w:color w:val="000000" w:themeColor="text1"/>
                <w:sz w:val="20"/>
              </w:rPr>
              <w:t>78,4</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263F833" w14:textId="77777777" w:rsidR="00B63892" w:rsidRPr="00B63892" w:rsidRDefault="40B3576B" w:rsidP="40B3576B">
            <w:pPr>
              <w:jc w:val="right"/>
              <w:rPr>
                <w:color w:val="000000" w:themeColor="text1"/>
                <w:sz w:val="20"/>
              </w:rPr>
            </w:pPr>
            <w:r w:rsidRPr="40B3576B">
              <w:rPr>
                <w:color w:val="000000" w:themeColor="text1"/>
                <w:sz w:val="20"/>
              </w:rPr>
              <w:t>82,6</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035B071" w14:textId="77777777" w:rsidR="00B63892" w:rsidRPr="00B63892" w:rsidRDefault="40B3576B" w:rsidP="40B3576B">
            <w:pPr>
              <w:jc w:val="right"/>
              <w:rPr>
                <w:color w:val="000000" w:themeColor="text1"/>
                <w:sz w:val="20"/>
              </w:rPr>
            </w:pPr>
            <w:r w:rsidRPr="40B3576B">
              <w:rPr>
                <w:color w:val="000000" w:themeColor="text1"/>
                <w:sz w:val="20"/>
              </w:rPr>
              <w:t>4,2</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6BEB8D1" w14:textId="77777777" w:rsidR="00B63892" w:rsidRPr="00B63892" w:rsidRDefault="40B3576B" w:rsidP="40B3576B">
            <w:pPr>
              <w:jc w:val="right"/>
              <w:rPr>
                <w:color w:val="000000" w:themeColor="text1"/>
                <w:sz w:val="20"/>
              </w:rPr>
            </w:pPr>
            <w:r w:rsidRPr="40B3576B">
              <w:rPr>
                <w:color w:val="000000" w:themeColor="text1"/>
                <w:sz w:val="20"/>
              </w:rPr>
              <w:t>105,4</w:t>
            </w:r>
          </w:p>
        </w:tc>
      </w:tr>
      <w:tr w:rsidR="00B63892" w:rsidRPr="00B63892" w14:paraId="40E05764" w14:textId="77777777" w:rsidTr="40B3576B">
        <w:trPr>
          <w:gridAfter w:val="1"/>
          <w:wAfter w:w="263" w:type="dxa"/>
          <w:trHeight w:val="821"/>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E9A1FF" w14:textId="77777777" w:rsidR="00B63892" w:rsidRPr="00B63892" w:rsidRDefault="40B3576B" w:rsidP="40B3576B">
            <w:pPr>
              <w:spacing w:after="0"/>
              <w:jc w:val="left"/>
              <w:rPr>
                <w:rFonts w:eastAsiaTheme="minorEastAsia"/>
                <w:i/>
                <w:iCs/>
                <w:color w:val="000000" w:themeColor="text1"/>
                <w:sz w:val="20"/>
              </w:rPr>
            </w:pPr>
            <w:r w:rsidRPr="40B3576B">
              <w:rPr>
                <w:rFonts w:eastAsiaTheme="minorEastAsia"/>
                <w:i/>
                <w:iCs/>
                <w:color w:val="000000" w:themeColor="text1"/>
                <w:sz w:val="20"/>
              </w:rPr>
              <w:t>A települési önkormányzatok egyes szociális, gyermekjóléti és gyermekétkeztetési feladatainak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8F8A7D9" w14:textId="77777777" w:rsidR="00B63892" w:rsidRPr="00B63892" w:rsidRDefault="40B3576B" w:rsidP="40B3576B">
            <w:pPr>
              <w:jc w:val="right"/>
              <w:rPr>
                <w:color w:val="000000" w:themeColor="text1"/>
                <w:sz w:val="20"/>
              </w:rPr>
            </w:pPr>
            <w:r w:rsidRPr="40B3576B">
              <w:rPr>
                <w:color w:val="000000" w:themeColor="text1"/>
                <w:sz w:val="20"/>
              </w:rPr>
              <w:t>103,4</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64C258B" w14:textId="77777777" w:rsidR="00B63892" w:rsidRPr="00B63892" w:rsidRDefault="40B3576B" w:rsidP="40B3576B">
            <w:pPr>
              <w:jc w:val="right"/>
              <w:rPr>
                <w:color w:val="000000" w:themeColor="text1"/>
                <w:sz w:val="20"/>
              </w:rPr>
            </w:pPr>
            <w:r w:rsidRPr="40B3576B">
              <w:rPr>
                <w:color w:val="000000" w:themeColor="text1"/>
                <w:sz w:val="20"/>
              </w:rPr>
              <w:t>115,7</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2492D0C" w14:textId="77777777" w:rsidR="00B63892" w:rsidRPr="00B63892" w:rsidRDefault="40B3576B" w:rsidP="40B3576B">
            <w:pPr>
              <w:jc w:val="right"/>
              <w:rPr>
                <w:color w:val="000000" w:themeColor="text1"/>
                <w:sz w:val="20"/>
              </w:rPr>
            </w:pPr>
            <w:r w:rsidRPr="40B3576B">
              <w:rPr>
                <w:color w:val="000000" w:themeColor="text1"/>
                <w:sz w:val="20"/>
              </w:rPr>
              <w:t>12,3</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C520040" w14:textId="77777777" w:rsidR="00B63892" w:rsidRPr="00B63892" w:rsidRDefault="40B3576B" w:rsidP="40B3576B">
            <w:pPr>
              <w:jc w:val="right"/>
              <w:rPr>
                <w:color w:val="000000" w:themeColor="text1"/>
                <w:sz w:val="20"/>
              </w:rPr>
            </w:pPr>
            <w:r w:rsidRPr="40B3576B">
              <w:rPr>
                <w:color w:val="000000" w:themeColor="text1"/>
                <w:sz w:val="20"/>
              </w:rPr>
              <w:t>111,9</w:t>
            </w:r>
          </w:p>
        </w:tc>
      </w:tr>
      <w:tr w:rsidR="00B63892" w:rsidRPr="00B63892" w14:paraId="105EEEEC" w14:textId="77777777" w:rsidTr="40B3576B">
        <w:trPr>
          <w:gridAfter w:val="1"/>
          <w:wAfter w:w="263" w:type="dxa"/>
          <w:trHeight w:val="549"/>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9855D62" w14:textId="77777777" w:rsidR="00B63892" w:rsidRPr="00B63892" w:rsidRDefault="40B3576B" w:rsidP="40B3576B">
            <w:pPr>
              <w:spacing w:after="0"/>
              <w:jc w:val="left"/>
              <w:rPr>
                <w:rFonts w:eastAsiaTheme="minorEastAsia"/>
                <w:i/>
                <w:iCs/>
                <w:color w:val="000000" w:themeColor="text1"/>
                <w:sz w:val="20"/>
              </w:rPr>
            </w:pPr>
            <w:r w:rsidRPr="40B3576B">
              <w:rPr>
                <w:rFonts w:eastAsiaTheme="minorEastAsia"/>
                <w:i/>
                <w:iCs/>
                <w:color w:val="000000" w:themeColor="text1"/>
                <w:sz w:val="20"/>
              </w:rPr>
              <w:t>A települési önkormányzatok kulturális feladatainak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C5C7270" w14:textId="77777777" w:rsidR="00B63892" w:rsidRPr="00B63892" w:rsidRDefault="40B3576B" w:rsidP="40B3576B">
            <w:pPr>
              <w:jc w:val="right"/>
              <w:rPr>
                <w:color w:val="000000" w:themeColor="text1"/>
                <w:sz w:val="20"/>
              </w:rPr>
            </w:pPr>
            <w:r w:rsidRPr="40B3576B">
              <w:rPr>
                <w:color w:val="000000" w:themeColor="text1"/>
                <w:sz w:val="20"/>
              </w:rPr>
              <w:t>18,6</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19EF3A6" w14:textId="77777777" w:rsidR="00B63892" w:rsidRPr="00B63892" w:rsidRDefault="40B3576B" w:rsidP="40B3576B">
            <w:pPr>
              <w:jc w:val="right"/>
              <w:rPr>
                <w:color w:val="000000" w:themeColor="text1"/>
                <w:sz w:val="20"/>
              </w:rPr>
            </w:pPr>
            <w:r w:rsidRPr="40B3576B">
              <w:rPr>
                <w:color w:val="000000" w:themeColor="text1"/>
                <w:sz w:val="20"/>
              </w:rPr>
              <w:t>12,6</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9F613A6" w14:textId="5F666A48" w:rsidR="00B63892" w:rsidRPr="00B63892" w:rsidRDefault="40B3576B" w:rsidP="40B3576B">
            <w:pPr>
              <w:jc w:val="right"/>
              <w:rPr>
                <w:color w:val="000000" w:themeColor="text1"/>
                <w:sz w:val="20"/>
              </w:rPr>
            </w:pPr>
            <w:r w:rsidRPr="40B3576B">
              <w:rPr>
                <w:color w:val="000000" w:themeColor="text1"/>
                <w:sz w:val="20"/>
              </w:rPr>
              <w:t>-6</w:t>
            </w:r>
            <w:r w:rsidR="007E369A">
              <w:rPr>
                <w:color w:val="000000" w:themeColor="text1"/>
                <w:sz w:val="20"/>
              </w:rPr>
              <w:t>,0</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05CBA2B" w14:textId="77777777" w:rsidR="00B63892" w:rsidRPr="00B63892" w:rsidRDefault="40B3576B" w:rsidP="40B3576B">
            <w:pPr>
              <w:jc w:val="right"/>
              <w:rPr>
                <w:color w:val="000000" w:themeColor="text1"/>
                <w:sz w:val="20"/>
              </w:rPr>
            </w:pPr>
            <w:r w:rsidRPr="40B3576B">
              <w:rPr>
                <w:color w:val="000000" w:themeColor="text1"/>
                <w:sz w:val="20"/>
              </w:rPr>
              <w:t>67,7</w:t>
            </w:r>
          </w:p>
        </w:tc>
      </w:tr>
      <w:tr w:rsidR="00B63892" w:rsidRPr="00B63892" w14:paraId="75376CC1" w14:textId="77777777" w:rsidTr="40B3576B">
        <w:trPr>
          <w:gridAfter w:val="1"/>
          <w:wAfter w:w="263" w:type="dxa"/>
          <w:trHeight w:val="289"/>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008B68" w14:textId="77777777" w:rsidR="00B63892" w:rsidRPr="00B63892" w:rsidRDefault="40B3576B" w:rsidP="40B3576B">
            <w:pPr>
              <w:spacing w:after="0"/>
              <w:jc w:val="left"/>
              <w:rPr>
                <w:rFonts w:eastAsiaTheme="minorEastAsia"/>
                <w:b/>
                <w:bCs/>
                <w:color w:val="000000" w:themeColor="text1"/>
                <w:sz w:val="20"/>
              </w:rPr>
            </w:pPr>
            <w:r w:rsidRPr="40B3576B">
              <w:rPr>
                <w:rFonts w:eastAsiaTheme="minorEastAsia"/>
                <w:b/>
                <w:bCs/>
                <w:color w:val="000000" w:themeColor="text1"/>
                <w:sz w:val="20"/>
              </w:rPr>
              <w:t>Helyi önkormányzatok kiegészítő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0F0ED0D" w14:textId="77777777" w:rsidR="00B63892" w:rsidRPr="00B63892" w:rsidRDefault="40B3576B" w:rsidP="40B3576B">
            <w:pPr>
              <w:jc w:val="right"/>
              <w:rPr>
                <w:b/>
                <w:bCs/>
                <w:color w:val="000000" w:themeColor="text1"/>
                <w:sz w:val="20"/>
              </w:rPr>
            </w:pPr>
            <w:r w:rsidRPr="40B3576B">
              <w:rPr>
                <w:b/>
                <w:bCs/>
                <w:color w:val="000000" w:themeColor="text1"/>
                <w:sz w:val="20"/>
              </w:rPr>
              <w:t>16,0</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5C2BE26" w14:textId="77777777" w:rsidR="00B63892" w:rsidRPr="00B63892" w:rsidRDefault="40B3576B" w:rsidP="40B3576B">
            <w:pPr>
              <w:jc w:val="right"/>
              <w:rPr>
                <w:b/>
                <w:bCs/>
                <w:color w:val="000000" w:themeColor="text1"/>
                <w:sz w:val="20"/>
              </w:rPr>
            </w:pPr>
            <w:r w:rsidRPr="40B3576B">
              <w:rPr>
                <w:b/>
                <w:bCs/>
                <w:color w:val="000000" w:themeColor="text1"/>
                <w:sz w:val="20"/>
              </w:rPr>
              <w:t>5,3</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B059B03" w14:textId="77777777" w:rsidR="00B63892" w:rsidRPr="00B63892" w:rsidRDefault="40B3576B" w:rsidP="40B3576B">
            <w:pPr>
              <w:jc w:val="right"/>
              <w:rPr>
                <w:b/>
                <w:bCs/>
                <w:color w:val="000000" w:themeColor="text1"/>
                <w:sz w:val="20"/>
              </w:rPr>
            </w:pPr>
            <w:r w:rsidRPr="40B3576B">
              <w:rPr>
                <w:b/>
                <w:bCs/>
                <w:color w:val="000000" w:themeColor="text1"/>
                <w:sz w:val="20"/>
              </w:rPr>
              <w:t>-10,7</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1188873" w14:textId="77777777" w:rsidR="00B63892" w:rsidRPr="00B63892" w:rsidRDefault="40B3576B" w:rsidP="40B3576B">
            <w:pPr>
              <w:jc w:val="right"/>
              <w:rPr>
                <w:b/>
                <w:bCs/>
                <w:color w:val="000000" w:themeColor="text1"/>
                <w:sz w:val="20"/>
              </w:rPr>
            </w:pPr>
            <w:r w:rsidRPr="40B3576B">
              <w:rPr>
                <w:b/>
                <w:bCs/>
                <w:color w:val="000000" w:themeColor="text1"/>
                <w:sz w:val="20"/>
              </w:rPr>
              <w:t>33,1</w:t>
            </w:r>
          </w:p>
        </w:tc>
      </w:tr>
      <w:tr w:rsidR="00B63892" w:rsidRPr="00B63892" w14:paraId="38C8A14B" w14:textId="77777777" w:rsidTr="40B3576B">
        <w:trPr>
          <w:gridAfter w:val="1"/>
          <w:wAfter w:w="263" w:type="dxa"/>
          <w:trHeight w:val="270"/>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54252B" w14:textId="77777777" w:rsidR="00B63892" w:rsidRPr="00B63892" w:rsidRDefault="40B3576B" w:rsidP="40B3576B">
            <w:pPr>
              <w:spacing w:after="0"/>
              <w:jc w:val="left"/>
              <w:rPr>
                <w:rFonts w:eastAsiaTheme="minorEastAsia"/>
                <w:b/>
                <w:bCs/>
                <w:color w:val="000000" w:themeColor="text1"/>
                <w:sz w:val="20"/>
              </w:rPr>
            </w:pPr>
            <w:r w:rsidRPr="40B3576B">
              <w:rPr>
                <w:rFonts w:eastAsiaTheme="minorEastAsia"/>
                <w:b/>
                <w:bCs/>
                <w:color w:val="000000" w:themeColor="text1"/>
                <w:sz w:val="20"/>
              </w:rPr>
              <w:t>Év közben létrejött új jogcímek kiadásai</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922C29B" w14:textId="77777777" w:rsidR="00B63892" w:rsidRPr="00B63892" w:rsidRDefault="40B3576B" w:rsidP="40B3576B">
            <w:pPr>
              <w:jc w:val="right"/>
              <w:rPr>
                <w:b/>
                <w:bCs/>
                <w:color w:val="000000" w:themeColor="text1"/>
                <w:sz w:val="20"/>
              </w:rPr>
            </w:pPr>
            <w:r w:rsidRPr="40B3576B">
              <w:rPr>
                <w:b/>
                <w:bCs/>
                <w:color w:val="000000" w:themeColor="text1"/>
                <w:sz w:val="20"/>
              </w:rPr>
              <w:t>32,9</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59081F0" w14:textId="77777777" w:rsidR="00B63892" w:rsidRPr="00B63892" w:rsidRDefault="40B3576B" w:rsidP="40B3576B">
            <w:pPr>
              <w:jc w:val="right"/>
              <w:rPr>
                <w:b/>
                <w:bCs/>
                <w:color w:val="000000" w:themeColor="text1"/>
                <w:sz w:val="20"/>
              </w:rPr>
            </w:pPr>
            <w:r w:rsidRPr="40B3576B">
              <w:rPr>
                <w:b/>
                <w:bCs/>
                <w:color w:val="000000" w:themeColor="text1"/>
                <w:sz w:val="20"/>
              </w:rPr>
              <w:t>7,4</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3D58E8F" w14:textId="77777777" w:rsidR="00B63892" w:rsidRPr="00B63892" w:rsidRDefault="40B3576B" w:rsidP="40B3576B">
            <w:pPr>
              <w:jc w:val="right"/>
              <w:rPr>
                <w:b/>
                <w:bCs/>
                <w:color w:val="000000" w:themeColor="text1"/>
                <w:sz w:val="20"/>
              </w:rPr>
            </w:pPr>
            <w:r w:rsidRPr="40B3576B">
              <w:rPr>
                <w:b/>
                <w:bCs/>
                <w:color w:val="000000" w:themeColor="text1"/>
                <w:sz w:val="20"/>
              </w:rPr>
              <w:t>-25,5</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2CACA89" w14:textId="77777777" w:rsidR="00B63892" w:rsidRPr="00B63892" w:rsidRDefault="40B3576B" w:rsidP="40B3576B">
            <w:pPr>
              <w:jc w:val="right"/>
              <w:rPr>
                <w:b/>
                <w:bCs/>
                <w:color w:val="000000" w:themeColor="text1"/>
                <w:sz w:val="20"/>
              </w:rPr>
            </w:pPr>
            <w:r w:rsidRPr="40B3576B">
              <w:rPr>
                <w:b/>
                <w:bCs/>
                <w:color w:val="000000" w:themeColor="text1"/>
                <w:sz w:val="20"/>
              </w:rPr>
              <w:t>22,5</w:t>
            </w:r>
          </w:p>
        </w:tc>
      </w:tr>
      <w:tr w:rsidR="00B63892" w:rsidRPr="00B63892" w14:paraId="062B6206" w14:textId="77777777" w:rsidTr="40B3576B">
        <w:trPr>
          <w:gridAfter w:val="1"/>
          <w:wAfter w:w="263" w:type="dxa"/>
          <w:trHeight w:val="333"/>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3E08495" w14:textId="77777777" w:rsidR="00B63892" w:rsidRPr="00B63892" w:rsidRDefault="40B3576B" w:rsidP="40B3576B">
            <w:pPr>
              <w:spacing w:after="0"/>
              <w:jc w:val="left"/>
              <w:rPr>
                <w:rFonts w:eastAsiaTheme="minorEastAsia"/>
                <w:b/>
                <w:bCs/>
                <w:color w:val="000000" w:themeColor="text1"/>
                <w:sz w:val="20"/>
              </w:rPr>
            </w:pPr>
            <w:r w:rsidRPr="40B3576B">
              <w:rPr>
                <w:rFonts w:eastAsiaTheme="minorEastAsia"/>
                <w:b/>
                <w:bCs/>
                <w:color w:val="000000" w:themeColor="text1"/>
                <w:sz w:val="20"/>
              </w:rPr>
              <w:t>Összesen</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74AF370" w14:textId="77777777" w:rsidR="00B63892" w:rsidRPr="00B63892" w:rsidRDefault="40B3576B" w:rsidP="40B3576B">
            <w:pPr>
              <w:jc w:val="right"/>
              <w:rPr>
                <w:b/>
                <w:bCs/>
                <w:color w:val="000000" w:themeColor="text1"/>
                <w:sz w:val="20"/>
              </w:rPr>
            </w:pPr>
            <w:r w:rsidRPr="40B3576B">
              <w:rPr>
                <w:b/>
                <w:bCs/>
                <w:color w:val="000000" w:themeColor="text1"/>
                <w:sz w:val="20"/>
              </w:rPr>
              <w:t>317,8</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169E913" w14:textId="77777777" w:rsidR="00B63892" w:rsidRPr="00B63892" w:rsidRDefault="40B3576B" w:rsidP="40B3576B">
            <w:pPr>
              <w:jc w:val="right"/>
              <w:rPr>
                <w:b/>
                <w:bCs/>
                <w:color w:val="000000" w:themeColor="text1"/>
                <w:sz w:val="20"/>
              </w:rPr>
            </w:pPr>
            <w:r w:rsidRPr="40B3576B">
              <w:rPr>
                <w:b/>
                <w:bCs/>
                <w:color w:val="000000" w:themeColor="text1"/>
                <w:sz w:val="20"/>
              </w:rPr>
              <w:t>299,7</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71F727F" w14:textId="77777777" w:rsidR="00B63892" w:rsidRPr="00B63892" w:rsidRDefault="40B3576B" w:rsidP="40B3576B">
            <w:pPr>
              <w:jc w:val="right"/>
              <w:rPr>
                <w:b/>
                <w:bCs/>
                <w:color w:val="000000" w:themeColor="text1"/>
                <w:sz w:val="20"/>
              </w:rPr>
            </w:pPr>
            <w:r w:rsidRPr="40B3576B">
              <w:rPr>
                <w:b/>
                <w:bCs/>
                <w:color w:val="000000" w:themeColor="text1"/>
                <w:sz w:val="20"/>
              </w:rPr>
              <w:t>-18,1</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C781786" w14:textId="77777777" w:rsidR="00B63892" w:rsidRPr="00B63892" w:rsidRDefault="40B3576B" w:rsidP="40B3576B">
            <w:pPr>
              <w:jc w:val="right"/>
              <w:rPr>
                <w:b/>
                <w:bCs/>
                <w:color w:val="000000" w:themeColor="text1"/>
                <w:sz w:val="20"/>
              </w:rPr>
            </w:pPr>
            <w:r w:rsidRPr="40B3576B">
              <w:rPr>
                <w:b/>
                <w:bCs/>
                <w:color w:val="000000" w:themeColor="text1"/>
                <w:sz w:val="20"/>
              </w:rPr>
              <w:t>94,3</w:t>
            </w:r>
          </w:p>
        </w:tc>
      </w:tr>
    </w:tbl>
    <w:p w14:paraId="0F1775D0" w14:textId="77777777" w:rsidR="00B63892" w:rsidRDefault="00B63892" w:rsidP="00FE76A5"/>
    <w:p w14:paraId="448464F0" w14:textId="5514860D" w:rsidR="00FD076A" w:rsidRPr="005A23F5" w:rsidRDefault="40B3576B" w:rsidP="40B3576B">
      <w:pPr>
        <w:rPr>
          <w:rFonts w:cs="Tahoma"/>
          <w:color w:val="000000" w:themeColor="text1"/>
        </w:rPr>
      </w:pPr>
      <w:r w:rsidRPr="40B3576B">
        <w:rPr>
          <w:rFonts w:cs="Tahoma"/>
          <w:color w:val="000000" w:themeColor="text1"/>
        </w:rPr>
        <w:t>A „</w:t>
      </w:r>
      <w:r w:rsidRPr="40B3576B">
        <w:rPr>
          <w:rFonts w:cs="Tahoma"/>
          <w:b/>
          <w:bCs/>
          <w:color w:val="000000" w:themeColor="text1"/>
        </w:rPr>
        <w:t>Hozzájárulás az EU költségvetéséhez</w:t>
      </w:r>
      <w:r w:rsidRPr="40B3576B">
        <w:rPr>
          <w:rFonts w:cs="Tahoma"/>
          <w:color w:val="000000" w:themeColor="text1"/>
        </w:rPr>
        <w:t>” mérlegsoron 2020 május végéig 209,1</w:t>
      </w:r>
      <w:r w:rsidR="007153AC">
        <w:rPr>
          <w:rFonts w:cs="Tahoma"/>
          <w:color w:val="000000" w:themeColor="text1"/>
        </w:rPr>
        <w:t> </w:t>
      </w:r>
      <w:r w:rsidRPr="40B3576B">
        <w:rPr>
          <w:rFonts w:cs="Tahoma"/>
          <w:color w:val="000000" w:themeColor="text1"/>
        </w:rPr>
        <w:t>milliárd forint kiadás teljesült, ami a törvényi előirányzat 52,6%-a, és a tervezettnek megfelelően alakult. E</w:t>
      </w:r>
      <w:r w:rsidR="00787EC1">
        <w:rPr>
          <w:rFonts w:cs="Tahoma"/>
          <w:color w:val="000000" w:themeColor="text1"/>
        </w:rPr>
        <w:t xml:space="preserve"> hozzájárulás</w:t>
      </w:r>
      <w:r w:rsidRPr="40B3576B">
        <w:rPr>
          <w:rFonts w:cs="Tahoma"/>
          <w:color w:val="000000" w:themeColor="text1"/>
        </w:rPr>
        <w:t xml:space="preserve"> 16,2</w:t>
      </w:r>
      <w:r w:rsidR="007153AC">
        <w:rPr>
          <w:rFonts w:cs="Tahoma"/>
          <w:color w:val="000000" w:themeColor="text1"/>
        </w:rPr>
        <w:t> </w:t>
      </w:r>
      <w:r w:rsidRPr="40B3576B">
        <w:rPr>
          <w:rFonts w:cs="Tahoma"/>
          <w:color w:val="000000" w:themeColor="text1"/>
        </w:rPr>
        <w:t>milliárd forinttal halad</w:t>
      </w:r>
      <w:r w:rsidR="00787EC1">
        <w:rPr>
          <w:rFonts w:cs="Tahoma"/>
          <w:color w:val="000000" w:themeColor="text1"/>
        </w:rPr>
        <w:t>t</w:t>
      </w:r>
      <w:r w:rsidRPr="40B3576B">
        <w:rPr>
          <w:rFonts w:cs="Tahoma"/>
          <w:color w:val="000000" w:themeColor="text1"/>
        </w:rPr>
        <w:t>a meg a 2019. év azonos időszakában teljesített kiadást.</w:t>
      </w:r>
    </w:p>
    <w:p w14:paraId="33658BA9" w14:textId="03204995" w:rsidR="00546700" w:rsidRDefault="40B3576B" w:rsidP="005A23F5">
      <w:r w:rsidRPr="40B3576B">
        <w:rPr>
          <w:rFonts w:cs="Tahoma"/>
          <w:color w:val="000000" w:themeColor="text1"/>
        </w:rPr>
        <w:t xml:space="preserve">Az </w:t>
      </w:r>
      <w:r w:rsidRPr="40B3576B">
        <w:rPr>
          <w:rFonts w:cs="Tahoma"/>
          <w:b/>
          <w:bCs/>
          <w:color w:val="000000" w:themeColor="text1"/>
        </w:rPr>
        <w:t>állami vagyonnal kapcsolatos kiadások</w:t>
      </w:r>
      <w:r w:rsidRPr="40B3576B">
        <w:rPr>
          <w:rFonts w:cs="Tahoma"/>
          <w:color w:val="000000" w:themeColor="text1"/>
        </w:rPr>
        <w:t xml:space="preserve"> május végi összege 89,6 milliárd forint volt, </w:t>
      </w:r>
      <w:r>
        <w:t>amelynek összetételét az alábbi diagram mutatja be:</w:t>
      </w:r>
    </w:p>
    <w:p w14:paraId="2D755982" w14:textId="7145A42A" w:rsidR="008B3179" w:rsidRDefault="00DF50B4" w:rsidP="005A23F5">
      <w:r>
        <w:rPr>
          <w:noProof/>
        </w:rPr>
        <w:drawing>
          <wp:inline distT="0" distB="0" distL="0" distR="0" wp14:anchorId="17B7C0F8" wp14:editId="6B474687">
            <wp:extent cx="5940425" cy="3735705"/>
            <wp:effectExtent l="0" t="0" r="3175"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yon_kiadások.png"/>
                    <pic:cNvPicPr/>
                  </pic:nvPicPr>
                  <pic:blipFill>
                    <a:blip r:embed="rId20">
                      <a:extLst>
                        <a:ext uri="{28A0092B-C50C-407E-A947-70E740481C1C}">
                          <a14:useLocalDpi xmlns:a14="http://schemas.microsoft.com/office/drawing/2010/main" val="0"/>
                        </a:ext>
                      </a:extLst>
                    </a:blip>
                    <a:stretch>
                      <a:fillRect/>
                    </a:stretch>
                  </pic:blipFill>
                  <pic:spPr>
                    <a:xfrm>
                      <a:off x="0" y="0"/>
                      <a:ext cx="5940425" cy="3735705"/>
                    </a:xfrm>
                    <a:prstGeom prst="rect">
                      <a:avLst/>
                    </a:prstGeom>
                  </pic:spPr>
                </pic:pic>
              </a:graphicData>
            </a:graphic>
          </wp:inline>
        </w:drawing>
      </w:r>
    </w:p>
    <w:p w14:paraId="1E488E4F" w14:textId="0C6291DF" w:rsidR="003F76B8" w:rsidRPr="003F76B8" w:rsidRDefault="40B3576B" w:rsidP="003F76B8">
      <w:pPr>
        <w:rPr>
          <w:bCs/>
          <w:iCs/>
        </w:rPr>
      </w:pPr>
      <w:r>
        <w:lastRenderedPageBreak/>
        <w:t xml:space="preserve">Az elkülönített állami pénzalapok kiadásai közül jelentősebb összeget tett ki </w:t>
      </w:r>
      <w:r w:rsidRPr="40B3576B">
        <w:rPr>
          <w:b/>
          <w:bCs/>
        </w:rPr>
        <w:t>a Nemzeti Foglalkoztatási Alapból</w:t>
      </w:r>
      <w:r>
        <w:t xml:space="preserve"> finanszírozott Start-munkaprogram kiadása, mely május végéig 55,3 milliárd forintban teljesült. E kiadás az előző év azonos időszakában teljesített összegtől 9,7 milliárd forinttal maradt el. </w:t>
      </w:r>
    </w:p>
    <w:p w14:paraId="60883C32" w14:textId="0E4DB8A6" w:rsidR="003F76B8" w:rsidRPr="003F76B8" w:rsidRDefault="40B3576B" w:rsidP="003F76B8">
      <w:pPr>
        <w:rPr>
          <w:bCs/>
          <w:iCs/>
        </w:rPr>
      </w:pPr>
      <w:r>
        <w:t xml:space="preserve">A </w:t>
      </w:r>
      <w:r w:rsidRPr="40B3576B">
        <w:rPr>
          <w:b/>
          <w:bCs/>
        </w:rPr>
        <w:t>Bethlen Gábor Alap</w:t>
      </w:r>
      <w:r>
        <w:t xml:space="preserve"> kiadás</w:t>
      </w:r>
      <w:r w:rsidR="003E0A52">
        <w:t>a</w:t>
      </w:r>
      <w:r>
        <w:t>iból nemzetpolitikai célokra 10,7 milliárd forint</w:t>
      </w:r>
      <w:r w:rsidR="003E0A52">
        <w:t>ot fordítottak.</w:t>
      </w:r>
      <w:r>
        <w:t xml:space="preserve"> </w:t>
      </w:r>
    </w:p>
    <w:p w14:paraId="4FEC2D24" w14:textId="3664227A" w:rsidR="003F76B8" w:rsidRDefault="40B3576B" w:rsidP="003F76B8">
      <w:r>
        <w:t xml:space="preserve">A </w:t>
      </w:r>
      <w:r w:rsidRPr="40B3576B">
        <w:rPr>
          <w:b/>
          <w:bCs/>
        </w:rPr>
        <w:t>Nemzeti Kutatási, Fejlesztési és Innovációs Alapból</w:t>
      </w:r>
      <w:r>
        <w:t xml:space="preserve"> az elmúlt öt hónap hónapban az alaprészekre együttesen 50,6 milliárd forint</w:t>
      </w:r>
      <w:r w:rsidR="00BC56D8">
        <w:t>ot fizettek ki</w:t>
      </w:r>
      <w:r>
        <w:t>, melyből 8,5 milliárd forint Kutatási Alaprészen, 42,1 milliárd forint pedig az Innovációs Alaprészen keresztül valósult meg</w:t>
      </w:r>
      <w:r w:rsidR="00C13533">
        <w:t>.</w:t>
      </w:r>
    </w:p>
    <w:p w14:paraId="52863666" w14:textId="2FDD21F8" w:rsidR="00BE684B" w:rsidRDefault="7710508F" w:rsidP="00A7152C">
      <w:pPr>
        <w:spacing w:before="120"/>
        <w:rPr>
          <w:szCs w:val="26"/>
        </w:rPr>
      </w:pPr>
      <w:r>
        <w:t xml:space="preserve">A </w:t>
      </w:r>
      <w:r w:rsidRPr="7710508F">
        <w:rPr>
          <w:b/>
          <w:bCs/>
        </w:rPr>
        <w:t>Nyugdíjbiztosítási Alap</w:t>
      </w:r>
      <w:r>
        <w:t xml:space="preserve"> 2020. </w:t>
      </w:r>
      <w:r w:rsidR="00BD617C">
        <w:t>I</w:t>
      </w:r>
      <w:r w:rsidR="00485535">
        <w:t>-</w:t>
      </w:r>
      <w:r w:rsidR="00BD617C">
        <w:t xml:space="preserve">V. havi </w:t>
      </w:r>
      <w:r w:rsidRPr="7710508F">
        <w:rPr>
          <w:b/>
          <w:bCs/>
        </w:rPr>
        <w:t>nyugdíjkiadásai</w:t>
      </w:r>
      <w:r>
        <w:t xml:space="preserve"> </w:t>
      </w:r>
      <w:r w:rsidR="004F7700">
        <w:t>1503,2</w:t>
      </w:r>
      <w:r>
        <w:t xml:space="preserve"> milliárd forintban teljesültek, ami </w:t>
      </w:r>
      <w:r w:rsidR="004F7700">
        <w:t>8</w:t>
      </w:r>
      <w:r w:rsidR="00BD617C">
        <w:t>7,</w:t>
      </w:r>
      <w:r w:rsidR="004F7700">
        <w:t>2</w:t>
      </w:r>
      <w:r>
        <w:t xml:space="preserve"> milliárd forinttal haladta meg az előző év azonos időszakának kiadásait. Az </w:t>
      </w:r>
      <w:r w:rsidR="004F7700">
        <w:t>I-V. havi</w:t>
      </w:r>
      <w:r>
        <w:t xml:space="preserve"> kifizetések tartalmazzák a tavalyi év magasabb inflációs hatása miatti 0,7%-os kiegészítő nyugdíjemelés, és a tárgyév</w:t>
      </w:r>
      <w:r w:rsidR="004F7700">
        <w:t>ben végrehajtott</w:t>
      </w:r>
      <w:r>
        <w:t xml:space="preserve"> 2,8%</w:t>
      </w:r>
      <w:r w:rsidR="00BD32DA">
        <w:noBreakHyphen/>
      </w:r>
      <w:r>
        <w:t>os nyugdíjemelés összegét.</w:t>
      </w:r>
    </w:p>
    <w:p w14:paraId="13221B3D" w14:textId="258596F3" w:rsidR="00F817BC" w:rsidRDefault="51CD5D50" w:rsidP="00F817BC">
      <w:r>
        <w:t xml:space="preserve">A nyugellátási kiadásokon belül a korbetöltött öregségi nyugellátások </w:t>
      </w:r>
      <w:r w:rsidR="004F7700">
        <w:t>6,9</w:t>
      </w:r>
      <w:r>
        <w:t xml:space="preserve">%-kal, míg a nők 40 éves jogosultsági idejével igénybe vehető korhatár alatti ellátások </w:t>
      </w:r>
      <w:r w:rsidR="004F7700">
        <w:t>4,7</w:t>
      </w:r>
      <w:r w:rsidR="009E7E25">
        <w:t xml:space="preserve">%-kal haladták meg </w:t>
      </w:r>
      <w:r>
        <w:t>a</w:t>
      </w:r>
      <w:r w:rsidR="009E7E25">
        <w:t xml:space="preserve">z előző év azonos időszakának </w:t>
      </w:r>
      <w:r>
        <w:t>kiadás</w:t>
      </w:r>
      <w:r w:rsidR="009E7E25">
        <w:t>ait.</w:t>
      </w:r>
      <w:r>
        <w:t xml:space="preserve"> 2019-ben nem változott az öregségi nyugellátásra jogosultság 64 éves korhatára, így az év egészében folyamatosan kerültek megállapításra új ellátások. Az öregségi nyugdíjkorhatár betöltésével a korábban nők40</w:t>
      </w:r>
      <w:r w:rsidR="004B5A00">
        <w:noBreakHyphen/>
      </w:r>
      <w:r>
        <w:t>el nyugdíjjogosulttá válók is jelentős számban kerültek át a korbetöltött öregségi nyugellátások csoportjába.</w:t>
      </w:r>
      <w:r w:rsidR="00F817BC" w:rsidRPr="1BE39363">
        <w:t xml:space="preserve"> </w:t>
      </w:r>
      <w:r>
        <w:t>A korbetöltött öregségi nyugellátások korhatára 2020. január 1-</w:t>
      </w:r>
      <w:r w:rsidR="007A6439">
        <w:t>j</w:t>
      </w:r>
      <w:r>
        <w:t xml:space="preserve">étől fél évvel, 64,5 évre emelkedett. A korhatáremelés következtében 2020 első félévében – a folyamatban lévő ügyek lezárásán túl – nem kerül sor új ellátás megállapítására, emiatt </w:t>
      </w:r>
      <w:r w:rsidRPr="613A0C12">
        <w:t>az öregségi nyugellátásra jogosultak létszáma az első félévben jelentősen csökken</w:t>
      </w:r>
      <w:r w:rsidRPr="1BE39363">
        <w:t>.</w:t>
      </w:r>
      <w:r>
        <w:t xml:space="preserve"> A </w:t>
      </w:r>
      <w:r w:rsidRPr="613A0C12">
        <w:t>nők</w:t>
      </w:r>
      <w:r w:rsidR="00AB06D9">
        <w:t xml:space="preserve"> </w:t>
      </w:r>
      <w:r w:rsidRPr="613A0C12">
        <w:t>40</w:t>
      </w:r>
      <w:r>
        <w:t xml:space="preserve"> éves jogosultsági idejével igénybe vehető korhatár alatti ellátásokra a korhatáremelés nincs hatással, így ezen az ellátási jogcímen az első félév végéig </w:t>
      </w:r>
      <w:r w:rsidRPr="613A0C12">
        <w:t>folyamatos ellátásszám</w:t>
      </w:r>
      <w:r w:rsidR="00336992" w:rsidRPr="1BE39363">
        <w:t>-</w:t>
      </w:r>
      <w:r w:rsidRPr="613A0C12">
        <w:t>növekedés tapasztalható</w:t>
      </w:r>
      <w:r w:rsidRPr="1BE39363">
        <w:t xml:space="preserve">. </w:t>
      </w:r>
      <w:r w:rsidR="00F817BC">
        <w:t>A nyugellátási kiadások ellátási jogcímeinek alakulását a következő ábra mutatja be:</w:t>
      </w:r>
    </w:p>
    <w:p w14:paraId="63CC5F27" w14:textId="031CF2CE" w:rsidR="00060819" w:rsidRDefault="00453EDD" w:rsidP="00F817BC">
      <w:r>
        <w:rPr>
          <w:noProof/>
        </w:rPr>
        <w:drawing>
          <wp:inline distT="0" distB="0" distL="0" distR="0" wp14:anchorId="089B73EC" wp14:editId="42542EBD">
            <wp:extent cx="5940425" cy="2325370"/>
            <wp:effectExtent l="0" t="0" r="3175"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gellatasi_kiadasok.png"/>
                    <pic:cNvPicPr/>
                  </pic:nvPicPr>
                  <pic:blipFill>
                    <a:blip r:embed="rId21">
                      <a:extLst>
                        <a:ext uri="{28A0092B-C50C-407E-A947-70E740481C1C}">
                          <a14:useLocalDpi xmlns:a14="http://schemas.microsoft.com/office/drawing/2010/main" val="0"/>
                        </a:ext>
                      </a:extLst>
                    </a:blip>
                    <a:stretch>
                      <a:fillRect/>
                    </a:stretch>
                  </pic:blipFill>
                  <pic:spPr>
                    <a:xfrm>
                      <a:off x="0" y="0"/>
                      <a:ext cx="5940425" cy="2325370"/>
                    </a:xfrm>
                    <a:prstGeom prst="rect">
                      <a:avLst/>
                    </a:prstGeom>
                  </pic:spPr>
                </pic:pic>
              </a:graphicData>
            </a:graphic>
          </wp:inline>
        </w:drawing>
      </w:r>
    </w:p>
    <w:p w14:paraId="10A4DB9F" w14:textId="2CDCB9FD" w:rsidR="00160641" w:rsidRDefault="00160641" w:rsidP="00F817BC">
      <w:r>
        <w:br w:type="page"/>
      </w:r>
    </w:p>
    <w:p w14:paraId="24C239F1" w14:textId="43BD53EC" w:rsidR="0080719D" w:rsidRDefault="40B3576B" w:rsidP="00D93DBE">
      <w:r>
        <w:lastRenderedPageBreak/>
        <w:t xml:space="preserve">Az </w:t>
      </w:r>
      <w:r w:rsidRPr="40B3576B">
        <w:rPr>
          <w:b/>
          <w:bCs/>
        </w:rPr>
        <w:t>Egészségbiztosítási Alap kiadásainak</w:t>
      </w:r>
      <w:r>
        <w:t xml:space="preserve"> összetételét a következő ábra mutatja be:</w:t>
      </w:r>
    </w:p>
    <w:p w14:paraId="02EFC74C" w14:textId="77777777" w:rsidR="00AF60BF" w:rsidRPr="0080719D" w:rsidRDefault="00AF60BF" w:rsidP="00D93DBE"/>
    <w:p w14:paraId="595866CF" w14:textId="77BD1D7A" w:rsidR="00AE0BDB" w:rsidRDefault="00963597" w:rsidP="00D93DBE">
      <w:r>
        <w:rPr>
          <w:noProof/>
        </w:rPr>
        <w:drawing>
          <wp:inline distT="0" distB="0" distL="0" distR="0" wp14:anchorId="2D20BA85" wp14:editId="606FD4F7">
            <wp:extent cx="5940425" cy="2319020"/>
            <wp:effectExtent l="0" t="0" r="3175" b="508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ap_kiadásai.png"/>
                    <pic:cNvPicPr/>
                  </pic:nvPicPr>
                  <pic:blipFill>
                    <a:blip r:embed="rId22">
                      <a:extLst>
                        <a:ext uri="{28A0092B-C50C-407E-A947-70E740481C1C}">
                          <a14:useLocalDpi xmlns:a14="http://schemas.microsoft.com/office/drawing/2010/main" val="0"/>
                        </a:ext>
                      </a:extLst>
                    </a:blip>
                    <a:stretch>
                      <a:fillRect/>
                    </a:stretch>
                  </pic:blipFill>
                  <pic:spPr>
                    <a:xfrm>
                      <a:off x="0" y="0"/>
                      <a:ext cx="5940425" cy="2319020"/>
                    </a:xfrm>
                    <a:prstGeom prst="rect">
                      <a:avLst/>
                    </a:prstGeom>
                  </pic:spPr>
                </pic:pic>
              </a:graphicData>
            </a:graphic>
          </wp:inline>
        </w:drawing>
      </w:r>
    </w:p>
    <w:p w14:paraId="349B3755" w14:textId="77777777" w:rsidR="00DE5522" w:rsidRPr="000C037A" w:rsidRDefault="00DE5522" w:rsidP="00D93DBE"/>
    <w:p w14:paraId="35F71D38" w14:textId="6CBB6260" w:rsidR="5B83E8AE" w:rsidRDefault="40B3576B" w:rsidP="5B83E8AE">
      <w:r w:rsidRPr="008B458A">
        <w:t xml:space="preserve">Az Egészségbiztosítási Alapon belül a legnagyobb kiadási előirányzatot képező </w:t>
      </w:r>
      <w:r w:rsidRPr="008B458A">
        <w:rPr>
          <w:b/>
        </w:rPr>
        <w:t>gyógyító-megelőző ellátásokra</w:t>
      </w:r>
      <w:r w:rsidRPr="008B458A">
        <w:t xml:space="preserve"> kifizetett összeg 635,3</w:t>
      </w:r>
      <w:r w:rsidR="006D3A5D">
        <w:t> </w:t>
      </w:r>
      <w:r w:rsidRPr="008B458A">
        <w:t>milliárd forint volt az első öt hónapban, ez 116,5</w:t>
      </w:r>
      <w:r w:rsidR="006D3A5D">
        <w:t> </w:t>
      </w:r>
      <w:r w:rsidRPr="008B458A">
        <w:t xml:space="preserve">milliárd forinttal több, mint a bázisidőszak értéke. Az előző évhez viszonyított magasabb összegű kiadás meghatározó részben a célelőirányzatoknál (az adósságrendezésre február és március hónapban biztosított többletfinanszírozással, valamint a 2019. júliusi 8%-os és a 2020. januári </w:t>
      </w:r>
      <w:r w:rsidR="002514C9" w:rsidRPr="40B3576B">
        <w:rPr>
          <w:rFonts w:cs="Tahoma"/>
          <w:color w:val="000000" w:themeColor="text1"/>
        </w:rPr>
        <w:t>–</w:t>
      </w:r>
      <w:r w:rsidRPr="008B458A">
        <w:t xml:space="preserve"> a 2018. évi bérhez viszonyított </w:t>
      </w:r>
      <w:r w:rsidR="002514C9" w:rsidRPr="40B3576B">
        <w:rPr>
          <w:rFonts w:cs="Tahoma"/>
          <w:color w:val="000000" w:themeColor="text1"/>
        </w:rPr>
        <w:t>–</w:t>
      </w:r>
      <w:r w:rsidRPr="008B458A">
        <w:t xml:space="preserve"> 14%</w:t>
      </w:r>
      <w:r w:rsidR="006D3A5D">
        <w:noBreakHyphen/>
      </w:r>
      <w:r w:rsidRPr="008B458A">
        <w:t>os béremeléssel összefüggően), valamint az összevont szakellátásnál (azon belül elsősorban a nagyértékű gyógyszerfinanszírozásnál) jelentkezik.</w:t>
      </w:r>
    </w:p>
    <w:p w14:paraId="0F125D4E" w14:textId="38A1D8D4" w:rsidR="5B83E8AE" w:rsidRDefault="40B3576B" w:rsidP="5B83E8AE">
      <w:r w:rsidRPr="008B458A">
        <w:rPr>
          <w:b/>
        </w:rPr>
        <w:t xml:space="preserve">Gyógyszertámogatásra </w:t>
      </w:r>
      <w:r w:rsidRPr="008B458A">
        <w:t>az év első öt hónapjában 172,3</w:t>
      </w:r>
      <w:r w:rsidR="0012144F">
        <w:t> </w:t>
      </w:r>
      <w:r w:rsidRPr="008B458A">
        <w:t>milliárd forintot fordítottak, amely 16,4</w:t>
      </w:r>
      <w:r w:rsidR="0012144F">
        <w:t> </w:t>
      </w:r>
      <w:r w:rsidRPr="008B458A">
        <w:t>milliárd forinttal több az előző év azonos időszakában kifizetett összegnél.</w:t>
      </w:r>
    </w:p>
    <w:p w14:paraId="3D681EC3" w14:textId="49ED460A" w:rsidR="002218A2" w:rsidRPr="00F971AF" w:rsidRDefault="40B3576B" w:rsidP="60A05D1C">
      <w:r>
        <w:t>Az Egészségbiztosítási Alap összes kiadásának 26,0%-át a pénzbeli ellátásokra fordított összeg adta. Az ellátások részletes bemutatását a következő táblázat tartalmazza:</w:t>
      </w:r>
    </w:p>
    <w:p w14:paraId="50F1502C" w14:textId="77777777" w:rsidR="00FD4C0D" w:rsidRDefault="00FD4C0D" w:rsidP="1CC825AF">
      <w:pPr>
        <w:rPr>
          <w:rFonts w:eastAsia="Calibri"/>
        </w:rPr>
      </w:pPr>
    </w:p>
    <w:tbl>
      <w:tblPr>
        <w:tblW w:w="7230" w:type="dxa"/>
        <w:tblInd w:w="779" w:type="dxa"/>
        <w:tblLayout w:type="fixed"/>
        <w:tblCellMar>
          <w:left w:w="70" w:type="dxa"/>
          <w:right w:w="70" w:type="dxa"/>
        </w:tblCellMar>
        <w:tblLook w:val="04A0" w:firstRow="1" w:lastRow="0" w:firstColumn="1" w:lastColumn="0" w:noHBand="0" w:noVBand="1"/>
      </w:tblPr>
      <w:tblGrid>
        <w:gridCol w:w="3827"/>
        <w:gridCol w:w="993"/>
        <w:gridCol w:w="992"/>
        <w:gridCol w:w="753"/>
        <w:gridCol w:w="665"/>
      </w:tblGrid>
      <w:tr w:rsidR="007A0A81" w:rsidRPr="00803AEA" w14:paraId="3F602428" w14:textId="77777777" w:rsidTr="40B3576B">
        <w:trPr>
          <w:trHeight w:val="227"/>
        </w:trPr>
        <w:tc>
          <w:tcPr>
            <w:tcW w:w="7230" w:type="dxa"/>
            <w:gridSpan w:val="5"/>
            <w:tcBorders>
              <w:top w:val="nil"/>
              <w:left w:val="nil"/>
              <w:bottom w:val="nil"/>
              <w:right w:val="nil"/>
            </w:tcBorders>
            <w:shd w:val="clear" w:color="auto" w:fill="auto"/>
            <w:vAlign w:val="center"/>
            <w:hideMark/>
          </w:tcPr>
          <w:p w14:paraId="692EB199" w14:textId="77777777" w:rsidR="007A0A81" w:rsidRPr="00803AEA" w:rsidRDefault="40B3576B" w:rsidP="40B3576B">
            <w:pPr>
              <w:jc w:val="center"/>
              <w:rPr>
                <w:b/>
                <w:bCs/>
                <w:color w:val="000000" w:themeColor="text1"/>
                <w:sz w:val="20"/>
              </w:rPr>
            </w:pPr>
            <w:r w:rsidRPr="40B3576B">
              <w:rPr>
                <w:b/>
                <w:bCs/>
                <w:color w:val="000000" w:themeColor="text1"/>
                <w:sz w:val="20"/>
              </w:rPr>
              <w:t>Az Egészségbiztosítási Alap pénzbeli ellátásokra fordított kiadásainak alakulása (milliárd forint)</w:t>
            </w:r>
          </w:p>
        </w:tc>
      </w:tr>
      <w:tr w:rsidR="007A0A81" w:rsidRPr="00DB479B" w14:paraId="49990F57" w14:textId="77777777" w:rsidTr="40B3576B">
        <w:trPr>
          <w:trHeight w:val="306"/>
        </w:trPr>
        <w:tc>
          <w:tcPr>
            <w:tcW w:w="3827"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6657E9BF" w14:textId="77777777" w:rsidR="007A0A81" w:rsidRPr="00DB479B" w:rsidRDefault="40B3576B" w:rsidP="40B3576B">
            <w:pPr>
              <w:spacing w:after="0"/>
              <w:jc w:val="center"/>
              <w:rPr>
                <w:b/>
                <w:bCs/>
                <w:sz w:val="20"/>
              </w:rPr>
            </w:pPr>
            <w:r w:rsidRPr="40B3576B">
              <w:rPr>
                <w:b/>
                <w:bCs/>
                <w:sz w:val="20"/>
              </w:rPr>
              <w:t>Megnevezés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F2EB5" w14:textId="192B44E7" w:rsidR="007A0A81" w:rsidRPr="00DB479B" w:rsidRDefault="40B3576B" w:rsidP="40B3576B">
            <w:pPr>
              <w:spacing w:after="0"/>
              <w:jc w:val="center"/>
              <w:rPr>
                <w:b/>
                <w:bCs/>
                <w:sz w:val="20"/>
              </w:rPr>
            </w:pPr>
            <w:r w:rsidRPr="40B3576B">
              <w:rPr>
                <w:b/>
                <w:bCs/>
                <w:sz w:val="20"/>
              </w:rPr>
              <w:t xml:space="preserve">2019. </w:t>
            </w:r>
            <w:r w:rsidR="5B83E8AE">
              <w:br/>
            </w:r>
            <w:r w:rsidRPr="40B3576B">
              <w:rPr>
                <w:b/>
                <w:bCs/>
                <w:sz w:val="20"/>
              </w:rPr>
              <w:t>I-V. hó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9FCC4A" w14:textId="4027FA77" w:rsidR="007A0A81" w:rsidRPr="00DB479B" w:rsidRDefault="40B3576B" w:rsidP="40B3576B">
            <w:pPr>
              <w:spacing w:after="0"/>
              <w:jc w:val="center"/>
              <w:rPr>
                <w:b/>
                <w:bCs/>
                <w:sz w:val="20"/>
              </w:rPr>
            </w:pPr>
            <w:r w:rsidRPr="40B3576B">
              <w:rPr>
                <w:b/>
                <w:bCs/>
                <w:sz w:val="20"/>
              </w:rPr>
              <w:t>2020.</w:t>
            </w:r>
            <w:r w:rsidR="5B83E8AE">
              <w:br/>
            </w:r>
            <w:r w:rsidRPr="40B3576B">
              <w:rPr>
                <w:b/>
                <w:bCs/>
                <w:sz w:val="20"/>
              </w:rPr>
              <w:t>I-V. hó</w:t>
            </w:r>
          </w:p>
        </w:tc>
        <w:tc>
          <w:tcPr>
            <w:tcW w:w="1418" w:type="dxa"/>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596D1A5C" w14:textId="77777777" w:rsidR="007A0A81" w:rsidRPr="00DB479B" w:rsidRDefault="40B3576B" w:rsidP="40B3576B">
            <w:pPr>
              <w:spacing w:after="0"/>
              <w:jc w:val="center"/>
              <w:rPr>
                <w:b/>
                <w:bCs/>
                <w:sz w:val="20"/>
              </w:rPr>
            </w:pPr>
            <w:r w:rsidRPr="40B3576B">
              <w:rPr>
                <w:b/>
                <w:bCs/>
                <w:sz w:val="20"/>
              </w:rPr>
              <w:t>Eltérés</w:t>
            </w:r>
          </w:p>
        </w:tc>
      </w:tr>
      <w:tr w:rsidR="007A0A81" w:rsidRPr="00DB479B" w14:paraId="31743F96" w14:textId="77777777" w:rsidTr="40B3576B">
        <w:trPr>
          <w:trHeight w:val="306"/>
        </w:trPr>
        <w:tc>
          <w:tcPr>
            <w:tcW w:w="3827" w:type="dxa"/>
            <w:vMerge/>
            <w:tcBorders>
              <w:top w:val="single" w:sz="4" w:space="0" w:color="auto"/>
              <w:left w:val="single" w:sz="4" w:space="0" w:color="auto"/>
              <w:bottom w:val="single" w:sz="4" w:space="0" w:color="000000"/>
              <w:right w:val="single" w:sz="4" w:space="0" w:color="auto"/>
            </w:tcBorders>
            <w:vAlign w:val="center"/>
            <w:hideMark/>
          </w:tcPr>
          <w:p w14:paraId="0FEE673B" w14:textId="77777777" w:rsidR="007A0A81" w:rsidRPr="00DB479B" w:rsidRDefault="007A0A81" w:rsidP="00CD6EB3">
            <w:pPr>
              <w:spacing w:after="0"/>
              <w:jc w:val="left"/>
              <w:rPr>
                <w:b/>
                <w:bCs/>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B081E" w14:textId="77777777" w:rsidR="007A0A81" w:rsidRPr="00DB479B" w:rsidRDefault="007A0A81" w:rsidP="00CD6EB3">
            <w:pPr>
              <w:spacing w:after="0"/>
              <w:jc w:val="left"/>
              <w:rPr>
                <w:b/>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733DE5" w14:textId="77777777" w:rsidR="007A0A81" w:rsidRPr="00DB479B" w:rsidRDefault="007A0A81" w:rsidP="00CD6EB3">
            <w:pPr>
              <w:spacing w:after="0"/>
              <w:jc w:val="left"/>
              <w:rPr>
                <w:b/>
                <w:bCs/>
                <w:sz w:val="20"/>
              </w:rPr>
            </w:pPr>
          </w:p>
        </w:tc>
        <w:tc>
          <w:tcPr>
            <w:tcW w:w="753" w:type="dxa"/>
            <w:tcBorders>
              <w:top w:val="nil"/>
              <w:left w:val="nil"/>
              <w:bottom w:val="single" w:sz="4" w:space="0" w:color="auto"/>
              <w:right w:val="single" w:sz="4" w:space="0" w:color="auto"/>
            </w:tcBorders>
            <w:shd w:val="clear" w:color="auto" w:fill="auto"/>
            <w:noWrap/>
            <w:vAlign w:val="bottom"/>
            <w:hideMark/>
          </w:tcPr>
          <w:p w14:paraId="541A293F" w14:textId="77777777" w:rsidR="007A0A81" w:rsidRPr="00DB479B" w:rsidRDefault="40B3576B" w:rsidP="40B3576B">
            <w:pPr>
              <w:spacing w:after="0"/>
              <w:jc w:val="center"/>
              <w:rPr>
                <w:b/>
                <w:bCs/>
                <w:sz w:val="20"/>
              </w:rPr>
            </w:pPr>
            <w:r w:rsidRPr="40B3576B">
              <w:rPr>
                <w:b/>
                <w:bCs/>
                <w:sz w:val="20"/>
              </w:rPr>
              <w:t>Mrd Ft</w:t>
            </w:r>
          </w:p>
        </w:tc>
        <w:tc>
          <w:tcPr>
            <w:tcW w:w="665" w:type="dxa"/>
            <w:tcBorders>
              <w:top w:val="nil"/>
              <w:left w:val="nil"/>
              <w:bottom w:val="single" w:sz="4" w:space="0" w:color="auto"/>
              <w:right w:val="single" w:sz="4" w:space="0" w:color="auto"/>
            </w:tcBorders>
            <w:shd w:val="clear" w:color="auto" w:fill="auto"/>
            <w:noWrap/>
            <w:vAlign w:val="bottom"/>
            <w:hideMark/>
          </w:tcPr>
          <w:p w14:paraId="0AAD326D" w14:textId="77777777" w:rsidR="007A0A81" w:rsidRPr="00DB479B" w:rsidRDefault="40B3576B" w:rsidP="40B3576B">
            <w:pPr>
              <w:spacing w:after="0"/>
              <w:jc w:val="center"/>
              <w:rPr>
                <w:b/>
                <w:bCs/>
                <w:sz w:val="20"/>
              </w:rPr>
            </w:pPr>
            <w:r w:rsidRPr="40B3576B">
              <w:rPr>
                <w:b/>
                <w:bCs/>
                <w:sz w:val="20"/>
              </w:rPr>
              <w:t>%</w:t>
            </w:r>
          </w:p>
        </w:tc>
      </w:tr>
      <w:tr w:rsidR="007A0A81" w:rsidRPr="00DB479B" w14:paraId="6113CEE5" w14:textId="77777777" w:rsidTr="40B3576B">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3B83BFA" w14:textId="77777777" w:rsidR="007A0A81" w:rsidRPr="00DB479B" w:rsidRDefault="40B3576B" w:rsidP="40B3576B">
            <w:pPr>
              <w:spacing w:after="0"/>
              <w:jc w:val="left"/>
              <w:rPr>
                <w:b/>
                <w:bCs/>
                <w:sz w:val="20"/>
              </w:rPr>
            </w:pPr>
            <w:r w:rsidRPr="40B3576B">
              <w:rPr>
                <w:b/>
                <w:bCs/>
                <w:sz w:val="20"/>
              </w:rPr>
              <w:t>Pénzbeli ellátások</w:t>
            </w:r>
          </w:p>
        </w:tc>
        <w:tc>
          <w:tcPr>
            <w:tcW w:w="993" w:type="dxa"/>
            <w:tcBorders>
              <w:top w:val="nil"/>
              <w:left w:val="nil"/>
              <w:bottom w:val="single" w:sz="4" w:space="0" w:color="auto"/>
              <w:right w:val="single" w:sz="4" w:space="0" w:color="auto"/>
            </w:tcBorders>
            <w:shd w:val="clear" w:color="auto" w:fill="auto"/>
            <w:vAlign w:val="bottom"/>
          </w:tcPr>
          <w:p w14:paraId="5DE1C188" w14:textId="78EC58B3" w:rsidR="007A0A81" w:rsidRPr="00C11F06" w:rsidRDefault="40B3576B" w:rsidP="40B3576B">
            <w:pPr>
              <w:spacing w:after="0"/>
              <w:jc w:val="right"/>
              <w:rPr>
                <w:b/>
                <w:bCs/>
                <w:sz w:val="20"/>
              </w:rPr>
            </w:pPr>
            <w:r w:rsidRPr="40B3576B">
              <w:rPr>
                <w:b/>
                <w:bCs/>
                <w:sz w:val="20"/>
              </w:rPr>
              <w:t>282,1</w:t>
            </w:r>
          </w:p>
        </w:tc>
        <w:tc>
          <w:tcPr>
            <w:tcW w:w="992" w:type="dxa"/>
            <w:tcBorders>
              <w:top w:val="nil"/>
              <w:left w:val="nil"/>
              <w:bottom w:val="single" w:sz="4" w:space="0" w:color="auto"/>
              <w:right w:val="single" w:sz="4" w:space="0" w:color="auto"/>
            </w:tcBorders>
            <w:shd w:val="clear" w:color="auto" w:fill="auto"/>
            <w:vAlign w:val="bottom"/>
          </w:tcPr>
          <w:p w14:paraId="38CA64D6" w14:textId="20DCD5B9" w:rsidR="007A0A81" w:rsidRPr="00DB479B" w:rsidRDefault="40B3576B" w:rsidP="40B3576B">
            <w:pPr>
              <w:spacing w:after="0" w:line="259" w:lineRule="auto"/>
              <w:jc w:val="right"/>
              <w:rPr>
                <w:b/>
                <w:bCs/>
                <w:sz w:val="20"/>
              </w:rPr>
            </w:pPr>
            <w:r w:rsidRPr="40B3576B">
              <w:rPr>
                <w:b/>
                <w:bCs/>
                <w:sz w:val="20"/>
              </w:rPr>
              <w:t>301,8</w:t>
            </w:r>
          </w:p>
        </w:tc>
        <w:tc>
          <w:tcPr>
            <w:tcW w:w="753" w:type="dxa"/>
            <w:tcBorders>
              <w:top w:val="nil"/>
              <w:left w:val="nil"/>
              <w:bottom w:val="single" w:sz="4" w:space="0" w:color="auto"/>
              <w:right w:val="single" w:sz="4" w:space="0" w:color="auto"/>
            </w:tcBorders>
            <w:shd w:val="clear" w:color="auto" w:fill="auto"/>
            <w:noWrap/>
            <w:vAlign w:val="bottom"/>
          </w:tcPr>
          <w:p w14:paraId="478B24D5" w14:textId="34935771" w:rsidR="007A0A81" w:rsidRPr="00DB479B" w:rsidRDefault="40B3576B" w:rsidP="40B3576B">
            <w:pPr>
              <w:spacing w:after="0" w:line="259" w:lineRule="auto"/>
              <w:jc w:val="right"/>
              <w:rPr>
                <w:b/>
                <w:bCs/>
                <w:sz w:val="20"/>
              </w:rPr>
            </w:pPr>
            <w:r w:rsidRPr="40B3576B">
              <w:rPr>
                <w:b/>
                <w:bCs/>
                <w:sz w:val="20"/>
              </w:rPr>
              <w:t>19,7</w:t>
            </w:r>
          </w:p>
        </w:tc>
        <w:tc>
          <w:tcPr>
            <w:tcW w:w="665" w:type="dxa"/>
            <w:tcBorders>
              <w:top w:val="nil"/>
              <w:left w:val="nil"/>
              <w:bottom w:val="single" w:sz="4" w:space="0" w:color="auto"/>
              <w:right w:val="single" w:sz="4" w:space="0" w:color="auto"/>
            </w:tcBorders>
            <w:shd w:val="clear" w:color="auto" w:fill="auto"/>
            <w:noWrap/>
            <w:vAlign w:val="bottom"/>
          </w:tcPr>
          <w:p w14:paraId="4010D6F8" w14:textId="58789F49" w:rsidR="007A0A81" w:rsidRPr="00DB479B" w:rsidRDefault="40B3576B" w:rsidP="40B3576B">
            <w:pPr>
              <w:spacing w:after="0" w:line="259" w:lineRule="auto"/>
              <w:jc w:val="right"/>
              <w:rPr>
                <w:b/>
                <w:bCs/>
                <w:sz w:val="20"/>
              </w:rPr>
            </w:pPr>
            <w:r w:rsidRPr="40B3576B">
              <w:rPr>
                <w:b/>
                <w:bCs/>
                <w:sz w:val="20"/>
              </w:rPr>
              <w:t>107,0</w:t>
            </w:r>
          </w:p>
        </w:tc>
      </w:tr>
      <w:tr w:rsidR="007A0A81" w:rsidRPr="00DB479B" w14:paraId="16840362" w14:textId="77777777" w:rsidTr="40B3576B">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FF5091F" w14:textId="77777777" w:rsidR="007A0A81" w:rsidRPr="00DB479B" w:rsidRDefault="40B3576B" w:rsidP="40B3576B">
            <w:pPr>
              <w:spacing w:after="0"/>
              <w:ind w:firstLine="285"/>
              <w:jc w:val="left"/>
              <w:rPr>
                <w:i/>
                <w:iCs/>
                <w:sz w:val="20"/>
              </w:rPr>
            </w:pPr>
            <w:r w:rsidRPr="40B3576B">
              <w:rPr>
                <w:i/>
                <w:iCs/>
                <w:sz w:val="20"/>
              </w:rPr>
              <w:t>Ebből:</w:t>
            </w:r>
          </w:p>
        </w:tc>
        <w:tc>
          <w:tcPr>
            <w:tcW w:w="993" w:type="dxa"/>
            <w:tcBorders>
              <w:top w:val="nil"/>
              <w:left w:val="nil"/>
              <w:bottom w:val="single" w:sz="4" w:space="0" w:color="auto"/>
              <w:right w:val="single" w:sz="4" w:space="0" w:color="auto"/>
            </w:tcBorders>
            <w:shd w:val="clear" w:color="auto" w:fill="auto"/>
            <w:vAlign w:val="center"/>
          </w:tcPr>
          <w:p w14:paraId="066BD39D" w14:textId="457E76B4" w:rsidR="007A0A81" w:rsidRPr="00DB479B" w:rsidRDefault="007A0A81" w:rsidP="00CD6EB3">
            <w:pPr>
              <w:spacing w:after="0"/>
              <w:jc w:val="center"/>
              <w:rPr>
                <w:b/>
                <w:bCs/>
                <w:sz w:val="20"/>
              </w:rPr>
            </w:pPr>
          </w:p>
        </w:tc>
        <w:tc>
          <w:tcPr>
            <w:tcW w:w="992" w:type="dxa"/>
            <w:tcBorders>
              <w:top w:val="nil"/>
              <w:left w:val="nil"/>
              <w:bottom w:val="single" w:sz="4" w:space="0" w:color="auto"/>
              <w:right w:val="single" w:sz="4" w:space="0" w:color="auto"/>
            </w:tcBorders>
            <w:shd w:val="clear" w:color="auto" w:fill="auto"/>
            <w:vAlign w:val="center"/>
          </w:tcPr>
          <w:p w14:paraId="71A1F058" w14:textId="506ECB6A" w:rsidR="007A0A81" w:rsidRPr="00DB479B" w:rsidRDefault="007A0A81" w:rsidP="00CD6EB3">
            <w:pPr>
              <w:spacing w:after="0"/>
              <w:jc w:val="center"/>
              <w:rPr>
                <w:b/>
                <w:bCs/>
                <w:sz w:val="20"/>
              </w:rPr>
            </w:pPr>
          </w:p>
        </w:tc>
        <w:tc>
          <w:tcPr>
            <w:tcW w:w="753" w:type="dxa"/>
            <w:tcBorders>
              <w:top w:val="nil"/>
              <w:left w:val="nil"/>
              <w:bottom w:val="single" w:sz="4" w:space="0" w:color="auto"/>
              <w:right w:val="single" w:sz="4" w:space="0" w:color="auto"/>
            </w:tcBorders>
            <w:shd w:val="clear" w:color="auto" w:fill="auto"/>
            <w:noWrap/>
            <w:vAlign w:val="bottom"/>
          </w:tcPr>
          <w:p w14:paraId="6C8E56A7" w14:textId="7104639F" w:rsidR="007A0A81" w:rsidRPr="00DB479B" w:rsidRDefault="007A0A81" w:rsidP="00CD6EB3">
            <w:pPr>
              <w:spacing w:after="0"/>
              <w:jc w:val="right"/>
              <w:rPr>
                <w:sz w:val="20"/>
              </w:rPr>
            </w:pPr>
          </w:p>
        </w:tc>
        <w:tc>
          <w:tcPr>
            <w:tcW w:w="665" w:type="dxa"/>
            <w:tcBorders>
              <w:top w:val="nil"/>
              <w:left w:val="nil"/>
              <w:bottom w:val="single" w:sz="4" w:space="0" w:color="auto"/>
              <w:right w:val="single" w:sz="4" w:space="0" w:color="auto"/>
            </w:tcBorders>
            <w:shd w:val="clear" w:color="auto" w:fill="auto"/>
            <w:noWrap/>
            <w:vAlign w:val="bottom"/>
          </w:tcPr>
          <w:p w14:paraId="2B9F3A15" w14:textId="08599DB8" w:rsidR="007A0A81" w:rsidRPr="00DB479B" w:rsidRDefault="007A0A81" w:rsidP="00CD6EB3">
            <w:pPr>
              <w:spacing w:after="0"/>
              <w:jc w:val="right"/>
              <w:rPr>
                <w:sz w:val="20"/>
              </w:rPr>
            </w:pPr>
          </w:p>
        </w:tc>
      </w:tr>
      <w:tr w:rsidR="007A0A81" w:rsidRPr="00DB479B" w14:paraId="7D052013" w14:textId="77777777" w:rsidTr="40B3576B">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1829294" w14:textId="77777777" w:rsidR="007A0A81" w:rsidRPr="00DB479B" w:rsidRDefault="40B3576B" w:rsidP="40B3576B">
            <w:pPr>
              <w:spacing w:after="0"/>
              <w:ind w:firstLineChars="284" w:firstLine="568"/>
              <w:jc w:val="left"/>
              <w:rPr>
                <w:i/>
                <w:iCs/>
                <w:sz w:val="20"/>
              </w:rPr>
            </w:pPr>
            <w:r w:rsidRPr="40B3576B">
              <w:rPr>
                <w:i/>
                <w:iCs/>
                <w:sz w:val="20"/>
              </w:rPr>
              <w:t>Rokkantsági, rehabilitációs ellátások</w:t>
            </w:r>
          </w:p>
        </w:tc>
        <w:tc>
          <w:tcPr>
            <w:tcW w:w="993" w:type="dxa"/>
            <w:tcBorders>
              <w:top w:val="nil"/>
              <w:left w:val="nil"/>
              <w:bottom w:val="single" w:sz="4" w:space="0" w:color="auto"/>
              <w:right w:val="single" w:sz="4" w:space="0" w:color="auto"/>
            </w:tcBorders>
            <w:shd w:val="clear" w:color="auto" w:fill="auto"/>
            <w:noWrap/>
            <w:vAlign w:val="bottom"/>
          </w:tcPr>
          <w:p w14:paraId="693E18A5" w14:textId="44B36C95" w:rsidR="007A0A81" w:rsidRPr="00DB479B" w:rsidRDefault="40B3576B" w:rsidP="40B3576B">
            <w:pPr>
              <w:spacing w:after="0"/>
              <w:jc w:val="right"/>
              <w:rPr>
                <w:sz w:val="20"/>
              </w:rPr>
            </w:pPr>
            <w:r w:rsidRPr="40B3576B">
              <w:rPr>
                <w:sz w:val="20"/>
              </w:rPr>
              <w:t>117,7</w:t>
            </w:r>
          </w:p>
        </w:tc>
        <w:tc>
          <w:tcPr>
            <w:tcW w:w="992" w:type="dxa"/>
            <w:tcBorders>
              <w:top w:val="nil"/>
              <w:left w:val="nil"/>
              <w:bottom w:val="single" w:sz="4" w:space="0" w:color="auto"/>
              <w:right w:val="single" w:sz="4" w:space="0" w:color="auto"/>
            </w:tcBorders>
            <w:shd w:val="clear" w:color="auto" w:fill="auto"/>
            <w:noWrap/>
            <w:vAlign w:val="bottom"/>
          </w:tcPr>
          <w:p w14:paraId="0E446CD4" w14:textId="0551C806" w:rsidR="007A0A81" w:rsidRPr="00DB479B" w:rsidRDefault="40B3576B" w:rsidP="40B3576B">
            <w:pPr>
              <w:spacing w:after="0" w:line="259" w:lineRule="auto"/>
              <w:jc w:val="right"/>
              <w:rPr>
                <w:sz w:val="20"/>
              </w:rPr>
            </w:pPr>
            <w:r w:rsidRPr="40B3576B">
              <w:rPr>
                <w:sz w:val="20"/>
              </w:rPr>
              <w:t>114,3</w:t>
            </w:r>
          </w:p>
        </w:tc>
        <w:tc>
          <w:tcPr>
            <w:tcW w:w="753" w:type="dxa"/>
            <w:tcBorders>
              <w:top w:val="nil"/>
              <w:left w:val="nil"/>
              <w:bottom w:val="single" w:sz="4" w:space="0" w:color="auto"/>
              <w:right w:val="single" w:sz="4" w:space="0" w:color="auto"/>
            </w:tcBorders>
            <w:shd w:val="clear" w:color="auto" w:fill="auto"/>
            <w:noWrap/>
            <w:vAlign w:val="bottom"/>
          </w:tcPr>
          <w:p w14:paraId="720FB04B" w14:textId="64CD4590" w:rsidR="007A0A81" w:rsidRPr="00DB479B" w:rsidRDefault="40B3576B" w:rsidP="40B3576B">
            <w:pPr>
              <w:spacing w:after="0" w:line="259" w:lineRule="auto"/>
              <w:jc w:val="right"/>
              <w:rPr>
                <w:sz w:val="20"/>
              </w:rPr>
            </w:pPr>
            <w:r w:rsidRPr="40B3576B">
              <w:rPr>
                <w:sz w:val="20"/>
              </w:rPr>
              <w:t>-3,4</w:t>
            </w:r>
          </w:p>
        </w:tc>
        <w:tc>
          <w:tcPr>
            <w:tcW w:w="665" w:type="dxa"/>
            <w:tcBorders>
              <w:top w:val="nil"/>
              <w:left w:val="nil"/>
              <w:bottom w:val="single" w:sz="4" w:space="0" w:color="auto"/>
              <w:right w:val="single" w:sz="4" w:space="0" w:color="auto"/>
            </w:tcBorders>
            <w:shd w:val="clear" w:color="auto" w:fill="auto"/>
            <w:noWrap/>
            <w:vAlign w:val="bottom"/>
          </w:tcPr>
          <w:p w14:paraId="5EEB1EB0" w14:textId="07C1F74E" w:rsidR="007A0A81" w:rsidRPr="00DB479B" w:rsidRDefault="40B3576B" w:rsidP="40B3576B">
            <w:pPr>
              <w:spacing w:after="0" w:line="259" w:lineRule="auto"/>
              <w:jc w:val="right"/>
              <w:rPr>
                <w:sz w:val="20"/>
              </w:rPr>
            </w:pPr>
            <w:r w:rsidRPr="40B3576B">
              <w:rPr>
                <w:sz w:val="20"/>
              </w:rPr>
              <w:t>97,1</w:t>
            </w:r>
          </w:p>
        </w:tc>
      </w:tr>
      <w:tr w:rsidR="007A0A81" w:rsidRPr="00DB479B" w14:paraId="1B1C820A" w14:textId="77777777" w:rsidTr="40B3576B">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8AC6673" w14:textId="77777777" w:rsidR="007A0A81" w:rsidRPr="00DB479B" w:rsidRDefault="40B3576B" w:rsidP="40B3576B">
            <w:pPr>
              <w:spacing w:after="0"/>
              <w:ind w:firstLineChars="284" w:firstLine="568"/>
              <w:jc w:val="left"/>
              <w:rPr>
                <w:i/>
                <w:iCs/>
                <w:sz w:val="20"/>
              </w:rPr>
            </w:pPr>
            <w:r w:rsidRPr="40B3576B">
              <w:rPr>
                <w:i/>
                <w:iCs/>
                <w:sz w:val="20"/>
              </w:rPr>
              <w:t>Gyermekgondozási díj</w:t>
            </w:r>
          </w:p>
        </w:tc>
        <w:tc>
          <w:tcPr>
            <w:tcW w:w="993" w:type="dxa"/>
            <w:tcBorders>
              <w:top w:val="nil"/>
              <w:left w:val="nil"/>
              <w:bottom w:val="single" w:sz="4" w:space="0" w:color="auto"/>
              <w:right w:val="single" w:sz="4" w:space="0" w:color="auto"/>
            </w:tcBorders>
            <w:shd w:val="clear" w:color="auto" w:fill="auto"/>
            <w:noWrap/>
            <w:vAlign w:val="bottom"/>
          </w:tcPr>
          <w:p w14:paraId="18E312D6" w14:textId="45BE3897" w:rsidR="007A0A81" w:rsidRPr="00DB479B" w:rsidRDefault="40B3576B" w:rsidP="40B3576B">
            <w:pPr>
              <w:spacing w:after="0"/>
              <w:jc w:val="right"/>
              <w:rPr>
                <w:sz w:val="20"/>
              </w:rPr>
            </w:pPr>
            <w:r w:rsidRPr="40B3576B">
              <w:rPr>
                <w:sz w:val="20"/>
              </w:rPr>
              <w:t>80,2</w:t>
            </w:r>
          </w:p>
        </w:tc>
        <w:tc>
          <w:tcPr>
            <w:tcW w:w="992" w:type="dxa"/>
            <w:tcBorders>
              <w:top w:val="nil"/>
              <w:left w:val="nil"/>
              <w:bottom w:val="single" w:sz="4" w:space="0" w:color="auto"/>
              <w:right w:val="single" w:sz="4" w:space="0" w:color="auto"/>
            </w:tcBorders>
            <w:shd w:val="clear" w:color="auto" w:fill="auto"/>
            <w:noWrap/>
            <w:vAlign w:val="bottom"/>
          </w:tcPr>
          <w:p w14:paraId="5A56530A" w14:textId="001C11CC" w:rsidR="007A0A81" w:rsidRPr="00DB479B" w:rsidRDefault="40B3576B" w:rsidP="40B3576B">
            <w:pPr>
              <w:spacing w:after="0" w:line="259" w:lineRule="auto"/>
              <w:jc w:val="right"/>
              <w:rPr>
                <w:sz w:val="20"/>
              </w:rPr>
            </w:pPr>
            <w:r w:rsidRPr="40B3576B">
              <w:rPr>
                <w:sz w:val="20"/>
              </w:rPr>
              <w:t>90,0</w:t>
            </w:r>
          </w:p>
        </w:tc>
        <w:tc>
          <w:tcPr>
            <w:tcW w:w="753" w:type="dxa"/>
            <w:tcBorders>
              <w:top w:val="nil"/>
              <w:left w:val="nil"/>
              <w:bottom w:val="single" w:sz="4" w:space="0" w:color="auto"/>
              <w:right w:val="single" w:sz="4" w:space="0" w:color="auto"/>
            </w:tcBorders>
            <w:shd w:val="clear" w:color="auto" w:fill="auto"/>
            <w:noWrap/>
            <w:vAlign w:val="bottom"/>
          </w:tcPr>
          <w:p w14:paraId="3CBC826C" w14:textId="39C7DD2F" w:rsidR="007A0A81" w:rsidRPr="00DB479B" w:rsidRDefault="40B3576B" w:rsidP="40B3576B">
            <w:pPr>
              <w:spacing w:after="0" w:line="259" w:lineRule="auto"/>
              <w:jc w:val="right"/>
              <w:rPr>
                <w:sz w:val="20"/>
              </w:rPr>
            </w:pPr>
            <w:r w:rsidRPr="40B3576B">
              <w:rPr>
                <w:sz w:val="20"/>
              </w:rPr>
              <w:t>9,8</w:t>
            </w:r>
          </w:p>
        </w:tc>
        <w:tc>
          <w:tcPr>
            <w:tcW w:w="665" w:type="dxa"/>
            <w:tcBorders>
              <w:top w:val="nil"/>
              <w:left w:val="nil"/>
              <w:bottom w:val="single" w:sz="4" w:space="0" w:color="auto"/>
              <w:right w:val="single" w:sz="4" w:space="0" w:color="auto"/>
            </w:tcBorders>
            <w:shd w:val="clear" w:color="auto" w:fill="auto"/>
            <w:noWrap/>
            <w:vAlign w:val="bottom"/>
          </w:tcPr>
          <w:p w14:paraId="26E43045" w14:textId="09F581B2" w:rsidR="007A0A81" w:rsidRPr="00DB479B" w:rsidRDefault="40B3576B" w:rsidP="40B3576B">
            <w:pPr>
              <w:spacing w:after="0" w:line="259" w:lineRule="auto"/>
              <w:jc w:val="right"/>
              <w:rPr>
                <w:sz w:val="20"/>
              </w:rPr>
            </w:pPr>
            <w:r w:rsidRPr="40B3576B">
              <w:rPr>
                <w:sz w:val="20"/>
              </w:rPr>
              <w:t>112,2</w:t>
            </w:r>
          </w:p>
        </w:tc>
      </w:tr>
      <w:tr w:rsidR="007A0A81" w:rsidRPr="00DB479B" w14:paraId="7780DF35" w14:textId="77777777" w:rsidTr="40B3576B">
        <w:trPr>
          <w:trHeight w:val="306"/>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56B3D" w14:textId="77777777" w:rsidR="007A0A81" w:rsidRPr="00DB479B" w:rsidRDefault="40B3576B" w:rsidP="40B3576B">
            <w:pPr>
              <w:spacing w:after="0"/>
              <w:ind w:firstLineChars="284" w:firstLine="568"/>
              <w:jc w:val="left"/>
              <w:rPr>
                <w:i/>
                <w:iCs/>
                <w:sz w:val="20"/>
              </w:rPr>
            </w:pPr>
            <w:r w:rsidRPr="40B3576B">
              <w:rPr>
                <w:i/>
                <w:iCs/>
                <w:sz w:val="20"/>
              </w:rPr>
              <w:t>Táppénz</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DDFC013" w14:textId="5A2758BF" w:rsidR="007A0A81" w:rsidRPr="00DB479B" w:rsidRDefault="40B3576B" w:rsidP="40B3576B">
            <w:pPr>
              <w:spacing w:after="0"/>
              <w:jc w:val="right"/>
              <w:rPr>
                <w:sz w:val="20"/>
              </w:rPr>
            </w:pPr>
            <w:r w:rsidRPr="40B3576B">
              <w:rPr>
                <w:sz w:val="20"/>
              </w:rPr>
              <w:t>53,3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BD88C97" w14:textId="3F5FF4E1" w:rsidR="007A0A81" w:rsidRPr="00DB479B" w:rsidRDefault="40B3576B" w:rsidP="40B3576B">
            <w:pPr>
              <w:spacing w:after="0" w:line="259" w:lineRule="auto"/>
              <w:jc w:val="right"/>
              <w:rPr>
                <w:sz w:val="20"/>
              </w:rPr>
            </w:pPr>
            <w:r w:rsidRPr="40B3576B">
              <w:rPr>
                <w:sz w:val="20"/>
              </w:rPr>
              <w:t>62,7</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6D966813" w14:textId="40D44136" w:rsidR="007A0A81" w:rsidRPr="00DB479B" w:rsidRDefault="40B3576B" w:rsidP="40B3576B">
            <w:pPr>
              <w:spacing w:after="0" w:line="259" w:lineRule="auto"/>
              <w:jc w:val="right"/>
              <w:rPr>
                <w:sz w:val="20"/>
              </w:rPr>
            </w:pPr>
            <w:r w:rsidRPr="40B3576B">
              <w:rPr>
                <w:sz w:val="20"/>
              </w:rPr>
              <w:t>9,4</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3E239E68" w14:textId="4E126A69" w:rsidR="007A0A81" w:rsidRPr="00DB479B" w:rsidRDefault="40B3576B" w:rsidP="40B3576B">
            <w:pPr>
              <w:spacing w:after="0" w:line="259" w:lineRule="auto"/>
              <w:jc w:val="right"/>
              <w:rPr>
                <w:sz w:val="20"/>
              </w:rPr>
            </w:pPr>
            <w:r w:rsidRPr="40B3576B">
              <w:rPr>
                <w:sz w:val="20"/>
              </w:rPr>
              <w:t>117,6</w:t>
            </w:r>
          </w:p>
        </w:tc>
      </w:tr>
    </w:tbl>
    <w:p w14:paraId="25FFF5E2" w14:textId="35E2EBD6" w:rsidR="007A0A81" w:rsidRDefault="1CC825AF" w:rsidP="1CC825AF">
      <w:r>
        <w:t xml:space="preserve"> </w:t>
      </w:r>
      <w:r w:rsidR="009F0C4E">
        <w:br w:type="page"/>
      </w:r>
    </w:p>
    <w:p w14:paraId="5D4F03CB" w14:textId="47048549" w:rsidR="003E5ED6" w:rsidRDefault="40B3576B" w:rsidP="40B3576B">
      <w:pPr>
        <w:pStyle w:val="Cmsor3"/>
        <w:numPr>
          <w:ilvl w:val="0"/>
          <w:numId w:val="8"/>
        </w:numPr>
        <w:spacing w:before="0" w:after="120"/>
        <w:jc w:val="left"/>
        <w:rPr>
          <w:sz w:val="26"/>
          <w:szCs w:val="26"/>
        </w:rPr>
      </w:pPr>
      <w:r w:rsidRPr="40B3576B">
        <w:rPr>
          <w:sz w:val="26"/>
          <w:szCs w:val="26"/>
        </w:rPr>
        <w:lastRenderedPageBreak/>
        <w:t xml:space="preserve">A költségvetési szervek és szakmai fejezeti kezelésű előirányzatok alakulása </w:t>
      </w:r>
    </w:p>
    <w:p w14:paraId="2972818C" w14:textId="77777777" w:rsidR="00953258" w:rsidRPr="00953258" w:rsidRDefault="00953258" w:rsidP="00953258"/>
    <w:p w14:paraId="239D2111" w14:textId="4614D0BC" w:rsidR="00B051EF" w:rsidRPr="000B7D41" w:rsidRDefault="40B3576B" w:rsidP="40B3576B">
      <w:pPr>
        <w:rPr>
          <w:rFonts w:cs="Tahoma"/>
        </w:rPr>
      </w:pPr>
      <w:r w:rsidRPr="40B3576B">
        <w:rPr>
          <w:rFonts w:cs="Tahoma"/>
        </w:rPr>
        <w:t xml:space="preserve">A </w:t>
      </w:r>
      <w:r w:rsidRPr="40B3576B">
        <w:rPr>
          <w:rFonts w:cs="Tahoma"/>
          <w:b/>
          <w:bCs/>
        </w:rPr>
        <w:t xml:space="preserve">„Költségvetési szervek bevételei” </w:t>
      </w:r>
      <w:r w:rsidRPr="40B3576B">
        <w:rPr>
          <w:rFonts w:cs="Tahoma"/>
        </w:rPr>
        <w:t xml:space="preserve">mérlegsoron 2020 első </w:t>
      </w:r>
      <w:r w:rsidR="00015DD1">
        <w:rPr>
          <w:rFonts w:cs="Tahoma"/>
        </w:rPr>
        <w:t>öt</w:t>
      </w:r>
      <w:r w:rsidRPr="40B3576B">
        <w:rPr>
          <w:rFonts w:cs="Tahoma"/>
        </w:rPr>
        <w:t xml:space="preserve"> hónapjában </w:t>
      </w:r>
      <w:r w:rsidR="00015DD1">
        <w:rPr>
          <w:rFonts w:cs="Tahoma"/>
        </w:rPr>
        <w:t>866,4</w:t>
      </w:r>
      <w:r w:rsidRPr="40B3576B">
        <w:rPr>
          <w:rFonts w:cs="Tahoma"/>
        </w:rPr>
        <w:t xml:space="preserve"> milliárd forint bevétel </w:t>
      </w:r>
      <w:r w:rsidRPr="00015DD1">
        <w:rPr>
          <w:rFonts w:cs="Tahoma"/>
        </w:rPr>
        <w:t xml:space="preserve">keletkezett, mely </w:t>
      </w:r>
      <w:r w:rsidR="00015DD1" w:rsidRPr="00015DD1">
        <w:rPr>
          <w:rFonts w:cs="Tahoma"/>
        </w:rPr>
        <w:t>13,7</w:t>
      </w:r>
      <w:r w:rsidRPr="00015DD1">
        <w:rPr>
          <w:rFonts w:cs="Tahoma"/>
        </w:rPr>
        <w:t xml:space="preserve">%-kal magasabb az előző év azonos hónapjaihoz képest. Az intézmények bevételeiből az alábbi tételek emelhetők ki: </w:t>
      </w:r>
      <w:r w:rsidR="00015DD1" w:rsidRPr="00015DD1">
        <w:rPr>
          <w:rFonts w:cs="Tahoma"/>
        </w:rPr>
        <w:t>460,7</w:t>
      </w:r>
      <w:r w:rsidRPr="00015DD1">
        <w:rPr>
          <w:rFonts w:cs="Tahoma"/>
        </w:rPr>
        <w:t xml:space="preserve"> milliárd forint a Nemzeti Egészségbiztosítási Alapkezelő által az egészségügyi intézményeknek utalt támogatás, mely tartalmazza az egészségügyi intézmények adósságrendezésére biztosított összegeket, és szerepet játszott a két év azonos időszakának bevételei közötti eltérésben, </w:t>
      </w:r>
      <w:r w:rsidR="00015DD1" w:rsidRPr="00015DD1">
        <w:rPr>
          <w:rFonts w:cs="Tahoma"/>
        </w:rPr>
        <w:t>74,2</w:t>
      </w:r>
      <w:r w:rsidRPr="00015DD1">
        <w:rPr>
          <w:rFonts w:cs="Tahoma"/>
        </w:rPr>
        <w:t xml:space="preserve"> milliárd forint a 2014-2020 közötti kohéziós </w:t>
      </w:r>
      <w:r w:rsidRPr="000B7D41">
        <w:rPr>
          <w:rFonts w:cs="Tahoma"/>
        </w:rPr>
        <w:t>politikai operatív programok előirányzat-felhasználási számlájáról közvetlenül érkezett bevétel, több intézmény részére, különböző projektek támogatási előlegeként, valamint 10,3 milliárd forint a Megyei Szakképzési Centrumokhoz érkező bevétel, a szakképzési rendszerek átalakításával, továbbá a felnőttoktatási tevékenység finanszírozásával kapcsolatos törvényi sorokról.</w:t>
      </w:r>
    </w:p>
    <w:p w14:paraId="5D089FBC" w14:textId="3FE71D16" w:rsidR="00401EA7" w:rsidRPr="000B7D41" w:rsidRDefault="40B3576B" w:rsidP="40B3576B">
      <w:pPr>
        <w:rPr>
          <w:rFonts w:cs="Tahoma"/>
        </w:rPr>
      </w:pPr>
      <w:r w:rsidRPr="000B7D41">
        <w:t>A „</w:t>
      </w:r>
      <w:r w:rsidRPr="000B7D41">
        <w:rPr>
          <w:b/>
          <w:bCs/>
        </w:rPr>
        <w:t xml:space="preserve">Szakmai fejezeti kezelésű előirányzatok saját </w:t>
      </w:r>
      <w:r w:rsidRPr="000B7D41">
        <w:rPr>
          <w:rFonts w:cs="Tahoma"/>
          <w:b/>
          <w:bCs/>
        </w:rPr>
        <w:t>bevételei”</w:t>
      </w:r>
      <w:r w:rsidRPr="000B7D41">
        <w:rPr>
          <w:rFonts w:cs="Tahoma"/>
        </w:rPr>
        <w:t xml:space="preserve"> </w:t>
      </w:r>
      <w:r w:rsidRPr="000B7D41">
        <w:t>mérlegsor bevételei</w:t>
      </w:r>
      <w:r w:rsidRPr="000B7D41">
        <w:rPr>
          <w:rFonts w:cs="Tahoma"/>
        </w:rPr>
        <w:t xml:space="preserve"> 2020 első </w:t>
      </w:r>
      <w:r w:rsidR="000B7D41" w:rsidRPr="000B7D41">
        <w:rPr>
          <w:rFonts w:cs="Tahoma"/>
        </w:rPr>
        <w:t>öt</w:t>
      </w:r>
      <w:r w:rsidRPr="000B7D41">
        <w:rPr>
          <w:rFonts w:cs="Tahoma"/>
        </w:rPr>
        <w:t xml:space="preserve"> hónapjában 2</w:t>
      </w:r>
      <w:r w:rsidR="000B7D41" w:rsidRPr="000B7D41">
        <w:rPr>
          <w:rFonts w:cs="Tahoma"/>
        </w:rPr>
        <w:t>44,6</w:t>
      </w:r>
      <w:r w:rsidRPr="000B7D41">
        <w:rPr>
          <w:rFonts w:cs="Tahoma"/>
        </w:rPr>
        <w:t> milliárd forintot tettek ki, mely 1</w:t>
      </w:r>
      <w:r w:rsidR="000B7D41" w:rsidRPr="000B7D41">
        <w:rPr>
          <w:rFonts w:cs="Tahoma"/>
        </w:rPr>
        <w:t>56,7</w:t>
      </w:r>
      <w:r w:rsidRPr="000B7D41">
        <w:rPr>
          <w:rFonts w:cs="Tahoma"/>
        </w:rPr>
        <w:t> milliárd forinttal magasabb az előző év azonos hónapjaihoz képest. A bevételek jelentős részét az „Alapok alapja GINOP pénzügyi eszközök” törvényi sorra befolyt bevételek teszik ki (15</w:t>
      </w:r>
      <w:r w:rsidR="000B7D41" w:rsidRPr="000B7D41">
        <w:rPr>
          <w:rFonts w:cs="Tahoma"/>
        </w:rPr>
        <w:t>1,2</w:t>
      </w:r>
      <w:r w:rsidRPr="000B7D41">
        <w:rPr>
          <w:rFonts w:cs="Tahoma"/>
        </w:rPr>
        <w:t> milliárd forint), mely nem uniós bevételként jóváírt tétel, az ilyen jellegű bevétel a 2019. év azonos időszakában nem volt jelentős összegű.</w:t>
      </w:r>
    </w:p>
    <w:p w14:paraId="6D160B8F" w14:textId="38E6C1B7" w:rsidR="00F56812" w:rsidRPr="00105314" w:rsidRDefault="40B3576B" w:rsidP="40B3576B">
      <w:pPr>
        <w:spacing w:before="240"/>
        <w:rPr>
          <w:rFonts w:cs="Tahoma"/>
        </w:rPr>
      </w:pPr>
      <w:r>
        <w:t xml:space="preserve">A nem a XLII. A költségvetés közvetlen bevételei és kiadásai fejezetbe érkező uniós bevételek kimutatására az </w:t>
      </w:r>
      <w:r w:rsidRPr="40B3576B">
        <w:rPr>
          <w:b/>
          <w:bCs/>
        </w:rPr>
        <w:t>„Uniós fejezeti kezelésű előirányzatok bevétele”</w:t>
      </w:r>
      <w:r w:rsidRPr="40B3576B">
        <w:rPr>
          <w:rFonts w:cs="Tahoma"/>
        </w:rPr>
        <w:t xml:space="preserve"> </w:t>
      </w:r>
      <w:r>
        <w:t>mérlegsor szolgál, melyen májussal bezárólag minimális, 0,1</w:t>
      </w:r>
      <w:r w:rsidR="00710B37">
        <w:t> </w:t>
      </w:r>
      <w:r>
        <w:t xml:space="preserve">milliárd forint bevétel keletkezett. Ez az éves előirányzat 1,1%-ának felel meg. </w:t>
      </w:r>
    </w:p>
    <w:p w14:paraId="7341921A" w14:textId="4301AC32" w:rsidR="00B654A9" w:rsidRDefault="40B3576B" w:rsidP="00B654A9">
      <w:r w:rsidRPr="40B3576B">
        <w:rPr>
          <w:b/>
          <w:bCs/>
        </w:rPr>
        <w:t xml:space="preserve">A 2020. május végi, </w:t>
      </w:r>
      <w:r w:rsidR="00FC6446">
        <w:rPr>
          <w:b/>
          <w:bCs/>
        </w:rPr>
        <w:t>több mint</w:t>
      </w:r>
      <w:r w:rsidRPr="40B3576B">
        <w:rPr>
          <w:b/>
          <w:bCs/>
        </w:rPr>
        <w:t xml:space="preserve"> 1111 milliárd forint összegű bevételek</w:t>
      </w:r>
      <w:r>
        <w:t xml:space="preserve"> megoszlását a következő grafikon szemlélteti:</w:t>
      </w:r>
    </w:p>
    <w:p w14:paraId="5AA605C3" w14:textId="34F7AFEA" w:rsidR="00FF637C" w:rsidRDefault="00FF637C" w:rsidP="00B654A9">
      <w:r>
        <w:rPr>
          <w:noProof/>
        </w:rPr>
        <w:drawing>
          <wp:inline distT="0" distB="0" distL="0" distR="0" wp14:anchorId="1D246952" wp14:editId="48626148">
            <wp:extent cx="5940425" cy="3024505"/>
            <wp:effectExtent l="0" t="0" r="3175" b="444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rvek_fejkezek_bevételei.png"/>
                    <pic:cNvPicPr/>
                  </pic:nvPicPr>
                  <pic:blipFill>
                    <a:blip r:embed="rId23">
                      <a:extLst>
                        <a:ext uri="{28A0092B-C50C-407E-A947-70E740481C1C}">
                          <a14:useLocalDpi xmlns:a14="http://schemas.microsoft.com/office/drawing/2010/main" val="0"/>
                        </a:ext>
                      </a:extLst>
                    </a:blip>
                    <a:stretch>
                      <a:fillRect/>
                    </a:stretch>
                  </pic:blipFill>
                  <pic:spPr>
                    <a:xfrm>
                      <a:off x="0" y="0"/>
                      <a:ext cx="5940425" cy="3024505"/>
                    </a:xfrm>
                    <a:prstGeom prst="rect">
                      <a:avLst/>
                    </a:prstGeom>
                  </pic:spPr>
                </pic:pic>
              </a:graphicData>
            </a:graphic>
          </wp:inline>
        </w:drawing>
      </w:r>
    </w:p>
    <w:p w14:paraId="0B0767A9" w14:textId="12D0951A" w:rsidR="0012048C" w:rsidRPr="00D95108" w:rsidRDefault="40B3576B" w:rsidP="40B3576B">
      <w:pPr>
        <w:rPr>
          <w:rFonts w:cs="Tahoma"/>
        </w:rPr>
      </w:pPr>
      <w:r w:rsidRPr="000B7D41">
        <w:rPr>
          <w:b/>
          <w:bCs/>
        </w:rPr>
        <w:lastRenderedPageBreak/>
        <w:t xml:space="preserve">A „Költségvetési szervek kiadásai” </w:t>
      </w:r>
      <w:r w:rsidRPr="000B7D41">
        <w:rPr>
          <w:rFonts w:cs="Tahoma"/>
        </w:rPr>
        <w:t xml:space="preserve">mérlegsoron 2020 első </w:t>
      </w:r>
      <w:r w:rsidR="000B7D41" w:rsidRPr="000B7D41">
        <w:rPr>
          <w:rFonts w:cs="Tahoma"/>
        </w:rPr>
        <w:t>öt</w:t>
      </w:r>
      <w:r w:rsidRPr="000B7D41">
        <w:rPr>
          <w:rFonts w:cs="Tahoma"/>
        </w:rPr>
        <w:t xml:space="preserve"> hónapjában </w:t>
      </w:r>
      <w:r w:rsidR="000B7D41" w:rsidRPr="000B7D41">
        <w:rPr>
          <w:rFonts w:cs="Tahoma"/>
        </w:rPr>
        <w:t>3023,6</w:t>
      </w:r>
      <w:r w:rsidRPr="000B7D41">
        <w:rPr>
          <w:rFonts w:cs="Tahoma"/>
        </w:rPr>
        <w:t xml:space="preserve"> milliárd forint kiadás keletkezett, mely </w:t>
      </w:r>
      <w:r w:rsidR="000B7D41" w:rsidRPr="000B7D41">
        <w:rPr>
          <w:rFonts w:cs="Tahoma"/>
        </w:rPr>
        <w:t>2</w:t>
      </w:r>
      <w:r w:rsidRPr="000B7D41">
        <w:rPr>
          <w:rFonts w:cs="Tahoma"/>
        </w:rPr>
        <w:t>1,0%-kal magasabb az előző év azonos hónapjaihoz képest. Az intézmények teljesítéséből 1</w:t>
      </w:r>
      <w:r w:rsidR="000B7D41" w:rsidRPr="000B7D41">
        <w:rPr>
          <w:rFonts w:cs="Tahoma"/>
        </w:rPr>
        <w:t>404,7</w:t>
      </w:r>
      <w:r w:rsidRPr="000B7D41">
        <w:rPr>
          <w:rFonts w:cs="Tahoma"/>
        </w:rPr>
        <w:t> milliárd forintot tett ki a személyi juttatásokra és szociális hozzájárulási adóra, a munkaadókat terhelő járulékokra kifizetett összeg, mely 4</w:t>
      </w:r>
      <w:r w:rsidR="000B7D41" w:rsidRPr="000B7D41">
        <w:rPr>
          <w:rFonts w:cs="Tahoma"/>
        </w:rPr>
        <w:t>8,7</w:t>
      </w:r>
      <w:r w:rsidRPr="000B7D41">
        <w:rPr>
          <w:rFonts w:cs="Tahoma"/>
        </w:rPr>
        <w:t xml:space="preserve"> milliárd forinttal magasabb, mint az előző év azonos időszakának kiadásai. Ezen kívül az alábbi nagyobb összegű kifizetések történtek: </w:t>
      </w:r>
      <w:r w:rsidR="000B7D41" w:rsidRPr="000B7D41">
        <w:rPr>
          <w:rFonts w:cs="Tahoma"/>
        </w:rPr>
        <w:t>426,9</w:t>
      </w:r>
      <w:r w:rsidRPr="000B7D41">
        <w:rPr>
          <w:rFonts w:cs="Tahoma"/>
        </w:rPr>
        <w:t> milliárd forint a „Külképviseletek igazgatásánál”, melyből a koronavírus-járványhoz kapcsolódó egészségügyi eszközbeszerzések 3</w:t>
      </w:r>
      <w:r w:rsidR="000B7D41" w:rsidRPr="000B7D41">
        <w:rPr>
          <w:rFonts w:cs="Tahoma"/>
        </w:rPr>
        <w:t>83,7</w:t>
      </w:r>
      <w:r w:rsidRPr="000B7D41">
        <w:rPr>
          <w:rFonts w:cs="Tahoma"/>
        </w:rPr>
        <w:t> milliárd forintot tettek ki, 12</w:t>
      </w:r>
      <w:r w:rsidR="000B7D41" w:rsidRPr="000B7D41">
        <w:rPr>
          <w:rFonts w:cs="Tahoma"/>
        </w:rPr>
        <w:t>8,9</w:t>
      </w:r>
      <w:r w:rsidRPr="000B7D41">
        <w:rPr>
          <w:rFonts w:cs="Tahoma"/>
        </w:rPr>
        <w:t xml:space="preserve"> milliárd forint a Honvédelmi Minisztérium Védelemgazdasági Hivatal Anyagellátó Raktárbázis Központnál főként harckocsik és helikopter beszerzésére, </w:t>
      </w:r>
      <w:r w:rsidR="000B7D41" w:rsidRPr="000B7D41">
        <w:rPr>
          <w:rFonts w:cs="Tahoma"/>
        </w:rPr>
        <w:t>60,4</w:t>
      </w:r>
      <w:r w:rsidRPr="000B7D41">
        <w:rPr>
          <w:rFonts w:cs="Tahoma"/>
        </w:rPr>
        <w:t> milliárd forint az Állami Egészségügyi Ellátó Központnál a koronavírus-járványhoz kapcsolódó egészségügyi eszközbeszerzésekre, 4</w:t>
      </w:r>
      <w:r w:rsidR="000B7D41" w:rsidRPr="000B7D41">
        <w:rPr>
          <w:rFonts w:cs="Tahoma"/>
        </w:rPr>
        <w:t>5,8</w:t>
      </w:r>
      <w:r w:rsidRPr="000B7D41">
        <w:rPr>
          <w:rFonts w:cs="Tahoma"/>
        </w:rPr>
        <w:t xml:space="preserve"> milliárd forint a Honvédelmi Minisztérium Védelemgazdasági Hivatala központi költségvetéséből Gripen repülőgépek bérleti díjára, illetve </w:t>
      </w:r>
      <w:r w:rsidRPr="00F355CB">
        <w:rPr>
          <w:rFonts w:cs="Tahoma"/>
        </w:rPr>
        <w:t xml:space="preserve">szolgáltatások kifizetésére, valamint 28,8 milliárd forint a Nemzeti Adó- és Vámhivatal befizetése a Központi Maradványelszámolási Alapba. A két év első </w:t>
      </w:r>
      <w:r w:rsidR="000B7D41" w:rsidRPr="00F355CB">
        <w:rPr>
          <w:rFonts w:cs="Tahoma"/>
        </w:rPr>
        <w:t>öt</w:t>
      </w:r>
      <w:r w:rsidRPr="00F355CB">
        <w:rPr>
          <w:rFonts w:cs="Tahoma"/>
        </w:rPr>
        <w:t xml:space="preserve"> hónapjának kiadásai közötti eltérést okozó számos tényező közül kiemelhetők elsősorban a „Külképviseletek igazgatásánál”, valamint az Állami Egészségügyi Ellátó Központnál a koronavírus-járványhoz kapcsolódó egészségügyi eszközök beszerzése érdekében kifizetett </w:t>
      </w:r>
      <w:r w:rsidRPr="00D95108">
        <w:rPr>
          <w:rFonts w:cs="Tahoma"/>
        </w:rPr>
        <w:t>összegek.</w:t>
      </w:r>
    </w:p>
    <w:p w14:paraId="7FC0A64D" w14:textId="69F42F6E" w:rsidR="00EE7960" w:rsidRPr="008B61C6" w:rsidRDefault="40B3576B" w:rsidP="60A05D1C">
      <w:r w:rsidRPr="00D95108">
        <w:rPr>
          <w:b/>
          <w:bCs/>
        </w:rPr>
        <w:t xml:space="preserve">Az „Egyéb szakmai fejezeti kezelésű előirányzatok kiadásai” </w:t>
      </w:r>
      <w:r w:rsidRPr="00D95108">
        <w:t>mérlegsor kiadásai</w:t>
      </w:r>
      <w:r w:rsidRPr="00D95108">
        <w:rPr>
          <w:rFonts w:cs="Tahoma"/>
        </w:rPr>
        <w:t xml:space="preserve"> 2020 első </w:t>
      </w:r>
      <w:r w:rsidR="00D95108" w:rsidRPr="00D95108">
        <w:rPr>
          <w:rFonts w:cs="Tahoma"/>
        </w:rPr>
        <w:t>öt</w:t>
      </w:r>
      <w:r w:rsidRPr="00D95108">
        <w:rPr>
          <w:rFonts w:cs="Tahoma"/>
        </w:rPr>
        <w:t xml:space="preserve"> hónapjában </w:t>
      </w:r>
      <w:r w:rsidR="00D95108" w:rsidRPr="00D95108">
        <w:rPr>
          <w:rFonts w:cs="Tahoma"/>
        </w:rPr>
        <w:t>1281,5</w:t>
      </w:r>
      <w:r w:rsidRPr="00D95108">
        <w:rPr>
          <w:rFonts w:cs="Tahoma"/>
        </w:rPr>
        <w:t xml:space="preserve"> milliárd forintot tettek ki, mely </w:t>
      </w:r>
      <w:r w:rsidR="00D95108" w:rsidRPr="00D95108">
        <w:rPr>
          <w:rFonts w:cs="Tahoma"/>
        </w:rPr>
        <w:t>16,1</w:t>
      </w:r>
      <w:r w:rsidRPr="00D95108">
        <w:rPr>
          <w:rFonts w:cs="Tahoma"/>
        </w:rPr>
        <w:t>%-kal magasabban teljesültek az előző év azonos hónapjaihoz képest. Ezen időszak teljesítéséből az alábbi tételek emelhetők ki: 1</w:t>
      </w:r>
      <w:r w:rsidR="00D95108" w:rsidRPr="00D95108">
        <w:rPr>
          <w:rFonts w:cs="Tahoma"/>
        </w:rPr>
        <w:t>81,4</w:t>
      </w:r>
      <w:r w:rsidRPr="00D95108">
        <w:rPr>
          <w:rFonts w:cs="Tahoma"/>
        </w:rPr>
        <w:t xml:space="preserve"> milliárd forint normatív finanszírozásra (köznevelési célú </w:t>
      </w:r>
      <w:r w:rsidRPr="002D3B6C">
        <w:rPr>
          <w:rFonts w:cs="Tahoma"/>
        </w:rPr>
        <w:t xml:space="preserve">humánszolgáltatás és működési támogatás, hit- és erkölcstanoktatás és tankönyvtámogatás, köznevelési szerződések, szociális célú humánszolgáltatások, nem állami felsőoktatási intézmények támogatása), </w:t>
      </w:r>
      <w:r w:rsidR="002D3B6C" w:rsidRPr="002D3B6C">
        <w:rPr>
          <w:rFonts w:cs="Tahoma"/>
        </w:rPr>
        <w:t>55,8</w:t>
      </w:r>
      <w:r w:rsidRPr="002D3B6C">
        <w:rPr>
          <w:rFonts w:cs="Tahoma"/>
        </w:rPr>
        <w:t> milliárd forint a közúthálózat fenntartására és működtetésére,</w:t>
      </w:r>
      <w:r w:rsidR="002D3B6C" w:rsidRPr="002D3B6C">
        <w:rPr>
          <w:rFonts w:cs="Tahoma"/>
        </w:rPr>
        <w:t xml:space="preserve"> 54,7 milliárd forint az autópálya rendelkezésre állási díj, 53,0 milliárd forint a „Falusi Út</w:t>
      </w:r>
      <w:r w:rsidR="008F529B">
        <w:rPr>
          <w:rFonts w:cs="Tahoma"/>
        </w:rPr>
        <w:t>a</w:t>
      </w:r>
      <w:r w:rsidR="002D3B6C" w:rsidRPr="002D3B6C">
        <w:rPr>
          <w:rFonts w:cs="Tahoma"/>
        </w:rPr>
        <w:t xml:space="preserve">lap” programjaira, </w:t>
      </w:r>
      <w:r w:rsidRPr="002D3B6C">
        <w:rPr>
          <w:rFonts w:cs="Tahoma"/>
        </w:rPr>
        <w:t xml:space="preserve">44,0 milliárd forint maradvány befizetése az „Állami többletfeladatok” törvényi sorról a Központi Maradványelszámolási Alapba, 29,1 milliárd forint a Modern Városok Program keretében megvalósuló fejlesztésekre, </w:t>
      </w:r>
      <w:r w:rsidR="002D3B6C" w:rsidRPr="002D3B6C">
        <w:rPr>
          <w:rFonts w:cs="Tahoma"/>
        </w:rPr>
        <w:t>28,4 milliárd forint a „Tömeges bevándorlás kezeléséhez kapcsolódó kiadások</w:t>
      </w:r>
      <w:r w:rsidR="004872A5">
        <w:rPr>
          <w:rFonts w:cs="Tahoma"/>
        </w:rPr>
        <w:t>”-ra</w:t>
      </w:r>
      <w:r w:rsidR="002D3B6C" w:rsidRPr="002D3B6C">
        <w:rPr>
          <w:rFonts w:cs="Tahoma"/>
        </w:rPr>
        <w:t>, 26,3 milliárd forint közúthálózat felújítására, 24,7 </w:t>
      </w:r>
      <w:r w:rsidRPr="002D3B6C">
        <w:rPr>
          <w:rFonts w:cs="Tahoma"/>
        </w:rPr>
        <w:t xml:space="preserve">milliárd forint a nemzeti </w:t>
      </w:r>
      <w:r w:rsidRPr="008B61C6">
        <w:rPr>
          <w:rFonts w:cs="Tahoma"/>
        </w:rPr>
        <w:t xml:space="preserve">agrártámogatásokra, </w:t>
      </w:r>
      <w:r w:rsidR="002D3B6C" w:rsidRPr="008B61C6">
        <w:rPr>
          <w:rFonts w:cs="Tahoma"/>
        </w:rPr>
        <w:t>24,4</w:t>
      </w:r>
      <w:r w:rsidRPr="008B61C6">
        <w:rPr>
          <w:rFonts w:cs="Tahoma"/>
        </w:rPr>
        <w:t xml:space="preserve"> milliárd forint a „Beruházás ösztönzési célelőirányzat” sor kiadása, valamint </w:t>
      </w:r>
      <w:r w:rsidR="002D3B6C" w:rsidRPr="008B61C6">
        <w:rPr>
          <w:rFonts w:cs="Tahoma"/>
        </w:rPr>
        <w:t>22,6</w:t>
      </w:r>
      <w:r w:rsidRPr="008B61C6">
        <w:rPr>
          <w:rFonts w:cs="Tahoma"/>
        </w:rPr>
        <w:t> milliárd forint a nagycsaládosok személygépkocsi-szerzési támogatására. A két év azonos időszakának kiadásai közötti eltérést okozó számos tényező közül kiemelhetők többek között a</w:t>
      </w:r>
      <w:r w:rsidR="008B61C6" w:rsidRPr="008B61C6">
        <w:rPr>
          <w:rFonts w:cs="Tahoma"/>
        </w:rPr>
        <w:t xml:space="preserve"> „Falusi Útalap” programjaira, a „Tömeges bevándorlás kezeléséhez kapcsolódó kiadások</w:t>
      </w:r>
      <w:r w:rsidR="00CB620E">
        <w:rPr>
          <w:rFonts w:cs="Tahoma"/>
        </w:rPr>
        <w:t>”-ra</w:t>
      </w:r>
      <w:r w:rsidR="008B61C6" w:rsidRPr="008B61C6">
        <w:rPr>
          <w:rFonts w:cs="Tahoma"/>
        </w:rPr>
        <w:t xml:space="preserve">, </w:t>
      </w:r>
      <w:r w:rsidRPr="008B61C6">
        <w:rPr>
          <w:rFonts w:cs="Tahoma"/>
        </w:rPr>
        <w:t>valamint a nagycsaládosok személygépkocsi-szerzési támogatás</w:t>
      </w:r>
      <w:r w:rsidR="0070317D">
        <w:rPr>
          <w:rFonts w:cs="Tahoma"/>
        </w:rPr>
        <w:t>ára kifizetett összegek</w:t>
      </w:r>
      <w:r w:rsidRPr="008B61C6">
        <w:rPr>
          <w:rFonts w:cs="Tahoma"/>
        </w:rPr>
        <w:t xml:space="preserve">. </w:t>
      </w:r>
    </w:p>
    <w:p w14:paraId="1B8E636A" w14:textId="549AF94C" w:rsidR="3E91BEA7" w:rsidRPr="00491599" w:rsidRDefault="40B3576B" w:rsidP="40B3576B">
      <w:pPr>
        <w:rPr>
          <w:rFonts w:cs="Tahoma"/>
        </w:rPr>
      </w:pPr>
      <w:r w:rsidRPr="008B61C6">
        <w:t xml:space="preserve">Az </w:t>
      </w:r>
      <w:r w:rsidRPr="008B61C6">
        <w:rPr>
          <w:b/>
          <w:bCs/>
        </w:rPr>
        <w:t>„Uniós programok kiadásai”</w:t>
      </w:r>
      <w:r w:rsidRPr="008B61C6">
        <w:t xml:space="preserve"> </w:t>
      </w:r>
      <w:r w:rsidRPr="008B61C6">
        <w:rPr>
          <w:rFonts w:cs="Tahoma"/>
        </w:rPr>
        <w:t>mérlegsoron 2020. első öt hónapjában 967,6</w:t>
      </w:r>
      <w:r w:rsidR="007C0161">
        <w:rPr>
          <w:rFonts w:cs="Tahoma"/>
        </w:rPr>
        <w:t> </w:t>
      </w:r>
      <w:r w:rsidRPr="008B61C6">
        <w:rPr>
          <w:rFonts w:cs="Tahoma"/>
        </w:rPr>
        <w:t xml:space="preserve">milliárd forint összegű kifizetés történt, amely az éves előirányzat </w:t>
      </w:r>
      <w:r w:rsidRPr="40B3576B">
        <w:rPr>
          <w:rFonts w:cs="Tahoma"/>
        </w:rPr>
        <w:t>57,5%-os teljesítését jelenti. A felmerült kiadások túlnyomó részét a 2014-2020-as programozási időszak kohéziós operatív programjai adták, összesen 766,0</w:t>
      </w:r>
      <w:r w:rsidR="00B23148">
        <w:rPr>
          <w:rFonts w:cs="Tahoma"/>
        </w:rPr>
        <w:t> </w:t>
      </w:r>
      <w:r w:rsidRPr="40B3576B">
        <w:rPr>
          <w:rFonts w:cs="Tahoma"/>
        </w:rPr>
        <w:t xml:space="preserve">milliárd forint értékben. </w:t>
      </w:r>
      <w:r w:rsidR="00D22141">
        <w:rPr>
          <w:rFonts w:cs="Tahoma"/>
        </w:rPr>
        <w:t>Ebből m</w:t>
      </w:r>
      <w:r w:rsidRPr="40B3576B">
        <w:rPr>
          <w:rFonts w:cs="Tahoma"/>
        </w:rPr>
        <w:t>ájus végéig a legjobban teljesítő operatív programok: a Gazdaságfejlesztés és Innovációs Operatív Program 302,4</w:t>
      </w:r>
      <w:r w:rsidR="00B23148">
        <w:rPr>
          <w:rFonts w:cs="Tahoma"/>
        </w:rPr>
        <w:t> </w:t>
      </w:r>
      <w:r w:rsidRPr="40B3576B">
        <w:rPr>
          <w:rFonts w:cs="Tahoma"/>
        </w:rPr>
        <w:t>milliárd forint, valamint az Integrált Közlekedésfejlesztési Operatív Program 160,5</w:t>
      </w:r>
      <w:r w:rsidR="00B23148">
        <w:rPr>
          <w:rFonts w:cs="Tahoma"/>
        </w:rPr>
        <w:t> </w:t>
      </w:r>
      <w:r w:rsidRPr="40B3576B">
        <w:rPr>
          <w:rFonts w:cs="Tahoma"/>
        </w:rPr>
        <w:t>milliárd forint kifizetéssel.</w:t>
      </w:r>
    </w:p>
    <w:p w14:paraId="32840DF9" w14:textId="65DEBBC4" w:rsidR="009806EA" w:rsidRDefault="40B3576B" w:rsidP="0012048C">
      <w:r>
        <w:lastRenderedPageBreak/>
        <w:t xml:space="preserve">A </w:t>
      </w:r>
      <w:r w:rsidRPr="40B3576B">
        <w:rPr>
          <w:b/>
          <w:bCs/>
        </w:rPr>
        <w:t>2020. május végi, közel 5273 milliárd forint összegű kiadások</w:t>
      </w:r>
      <w:r>
        <w:t xml:space="preserve"> megoszlását a következő grafikon szemlélteti:</w:t>
      </w:r>
    </w:p>
    <w:p w14:paraId="01E7D982" w14:textId="4F8E8F2F" w:rsidR="002A577C" w:rsidRDefault="002A577C" w:rsidP="0012048C">
      <w:r>
        <w:rPr>
          <w:noProof/>
        </w:rPr>
        <w:drawing>
          <wp:inline distT="0" distB="0" distL="0" distR="0" wp14:anchorId="2B17D43E" wp14:editId="1A95E93D">
            <wp:extent cx="5940425" cy="3082925"/>
            <wp:effectExtent l="0" t="0" r="3175" b="317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rvek_fejkezek_kiadásai.png"/>
                    <pic:cNvPicPr/>
                  </pic:nvPicPr>
                  <pic:blipFill>
                    <a:blip r:embed="rId24">
                      <a:extLst>
                        <a:ext uri="{28A0092B-C50C-407E-A947-70E740481C1C}">
                          <a14:useLocalDpi xmlns:a14="http://schemas.microsoft.com/office/drawing/2010/main" val="0"/>
                        </a:ext>
                      </a:extLst>
                    </a:blip>
                    <a:stretch>
                      <a:fillRect/>
                    </a:stretch>
                  </pic:blipFill>
                  <pic:spPr>
                    <a:xfrm>
                      <a:off x="0" y="0"/>
                      <a:ext cx="5940425" cy="3082925"/>
                    </a:xfrm>
                    <a:prstGeom prst="rect">
                      <a:avLst/>
                    </a:prstGeom>
                  </pic:spPr>
                </pic:pic>
              </a:graphicData>
            </a:graphic>
          </wp:inline>
        </w:drawing>
      </w:r>
    </w:p>
    <w:p w14:paraId="32EF9FCC" w14:textId="142FBE30" w:rsidR="00E41C1E" w:rsidRDefault="00E41C1E" w:rsidP="0012048C">
      <w:r>
        <w:br w:type="page"/>
      </w:r>
    </w:p>
    <w:p w14:paraId="5D4F03D8" w14:textId="77777777" w:rsidR="00A83A7D" w:rsidRDefault="40B3576B" w:rsidP="40B3576B">
      <w:pPr>
        <w:pStyle w:val="Cmsor3"/>
        <w:numPr>
          <w:ilvl w:val="0"/>
          <w:numId w:val="8"/>
        </w:numPr>
        <w:spacing w:before="0" w:after="120"/>
        <w:jc w:val="left"/>
        <w:rPr>
          <w:sz w:val="26"/>
          <w:szCs w:val="26"/>
        </w:rPr>
      </w:pPr>
      <w:r w:rsidRPr="40B3576B">
        <w:rPr>
          <w:sz w:val="26"/>
          <w:szCs w:val="26"/>
        </w:rPr>
        <w:lastRenderedPageBreak/>
        <w:t>Kamategyenleg</w:t>
      </w:r>
    </w:p>
    <w:p w14:paraId="0E8ADD6E" w14:textId="564A1838" w:rsidR="00B24013" w:rsidRPr="00B24013" w:rsidRDefault="40B3576B" w:rsidP="006E7EDB">
      <w:pPr>
        <w:tabs>
          <w:tab w:val="left" w:pos="550"/>
        </w:tabs>
        <w:spacing w:before="120"/>
      </w:pPr>
      <w:r>
        <w:t xml:space="preserve">A bevételek és kiadások egyenlegeként adódó 225,1 milliárd forint összegű </w:t>
      </w:r>
      <w:r w:rsidRPr="40B3576B">
        <w:rPr>
          <w:b/>
          <w:bCs/>
        </w:rPr>
        <w:t>nettó kamatkiadás</w:t>
      </w:r>
      <w:r>
        <w:t xml:space="preserve"> 75,2 milliárd forinttal lett több az előző év azonos időszakához képest, mely a kamatfizetések éven belüli eltérő lefutásával magyarázható.</w:t>
      </w:r>
    </w:p>
    <w:p w14:paraId="53E1E684" w14:textId="4CD2DD68" w:rsidR="004C30D8" w:rsidRPr="004C30D8" w:rsidRDefault="40B3576B" w:rsidP="40B3576B">
      <w:pPr>
        <w:tabs>
          <w:tab w:val="left" w:pos="550"/>
        </w:tabs>
        <w:spacing w:before="120"/>
        <w:jc w:val="center"/>
        <w:rPr>
          <w:b/>
          <w:bCs/>
          <w:sz w:val="20"/>
        </w:rPr>
      </w:pPr>
      <w:r w:rsidRPr="40B3576B">
        <w:rPr>
          <w:b/>
          <w:bCs/>
          <w:sz w:val="20"/>
        </w:rPr>
        <w:t>A kamategyenleg összetétele (milliárd forintban)</w:t>
      </w:r>
    </w:p>
    <w:tbl>
      <w:tblPr>
        <w:tblW w:w="6971" w:type="dxa"/>
        <w:jc w:val="center"/>
        <w:tblCellMar>
          <w:left w:w="70" w:type="dxa"/>
          <w:right w:w="70" w:type="dxa"/>
        </w:tblCellMar>
        <w:tblLook w:val="04A0" w:firstRow="1" w:lastRow="0" w:firstColumn="1" w:lastColumn="0" w:noHBand="0" w:noVBand="1"/>
      </w:tblPr>
      <w:tblGrid>
        <w:gridCol w:w="195"/>
        <w:gridCol w:w="340"/>
        <w:gridCol w:w="4192"/>
        <w:gridCol w:w="1134"/>
        <w:gridCol w:w="1110"/>
      </w:tblGrid>
      <w:tr w:rsidR="004C30D8" w:rsidRPr="004C30D8" w14:paraId="2B7CD0E6" w14:textId="77777777" w:rsidTr="40B3576B">
        <w:trPr>
          <w:trHeight w:val="285"/>
          <w:jc w:val="center"/>
        </w:trPr>
        <w:tc>
          <w:tcPr>
            <w:tcW w:w="4727"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03CB3B67" w14:textId="77777777" w:rsidR="004C30D8" w:rsidRPr="004C30D8" w:rsidRDefault="40B3576B" w:rsidP="40B3576B">
            <w:pPr>
              <w:spacing w:after="0"/>
              <w:jc w:val="center"/>
              <w:rPr>
                <w:b/>
                <w:bCs/>
                <w:sz w:val="22"/>
                <w:szCs w:val="22"/>
              </w:rPr>
            </w:pPr>
            <w:r w:rsidRPr="40B3576B">
              <w:rPr>
                <w:b/>
                <w:bCs/>
                <w:sz w:val="22"/>
                <w:szCs w:val="22"/>
              </w:rPr>
              <w:t> </w:t>
            </w:r>
          </w:p>
        </w:tc>
        <w:tc>
          <w:tcPr>
            <w:tcW w:w="2244" w:type="dxa"/>
            <w:gridSpan w:val="2"/>
            <w:tcBorders>
              <w:top w:val="single" w:sz="4" w:space="0" w:color="auto"/>
              <w:left w:val="nil"/>
              <w:bottom w:val="nil"/>
              <w:right w:val="single" w:sz="4" w:space="0" w:color="000000" w:themeColor="text1"/>
            </w:tcBorders>
            <w:shd w:val="clear" w:color="auto" w:fill="auto"/>
            <w:noWrap/>
            <w:vAlign w:val="bottom"/>
            <w:hideMark/>
          </w:tcPr>
          <w:p w14:paraId="26B2914C" w14:textId="177572F2" w:rsidR="004C30D8" w:rsidRPr="004C30D8" w:rsidRDefault="40B3576B" w:rsidP="0024056B">
            <w:pPr>
              <w:spacing w:after="0"/>
              <w:jc w:val="center"/>
              <w:rPr>
                <w:b/>
                <w:bCs/>
                <w:sz w:val="22"/>
                <w:szCs w:val="22"/>
              </w:rPr>
            </w:pPr>
            <w:r w:rsidRPr="40B3576B">
              <w:rPr>
                <w:b/>
                <w:bCs/>
                <w:sz w:val="22"/>
                <w:szCs w:val="22"/>
              </w:rPr>
              <w:t>I-V. hó</w:t>
            </w:r>
          </w:p>
        </w:tc>
      </w:tr>
      <w:tr w:rsidR="004C30D8" w:rsidRPr="004C30D8" w14:paraId="5F451AD5" w14:textId="77777777" w:rsidTr="40B3576B">
        <w:trPr>
          <w:trHeight w:val="285"/>
          <w:jc w:val="center"/>
        </w:trPr>
        <w:tc>
          <w:tcPr>
            <w:tcW w:w="4727" w:type="dxa"/>
            <w:gridSpan w:val="3"/>
            <w:vMerge/>
            <w:tcBorders>
              <w:top w:val="single" w:sz="4" w:space="0" w:color="auto"/>
              <w:left w:val="single" w:sz="4" w:space="0" w:color="auto"/>
              <w:bottom w:val="single" w:sz="4" w:space="0" w:color="000000"/>
              <w:right w:val="single" w:sz="4" w:space="0" w:color="auto"/>
            </w:tcBorders>
            <w:vAlign w:val="center"/>
            <w:hideMark/>
          </w:tcPr>
          <w:p w14:paraId="6E66DB8C" w14:textId="77777777" w:rsidR="004C30D8" w:rsidRPr="004C30D8" w:rsidRDefault="004C30D8" w:rsidP="004C30D8">
            <w:pPr>
              <w:spacing w:after="0"/>
              <w:jc w:val="lef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17B73" w14:textId="01D8A1F6" w:rsidR="004C30D8" w:rsidRPr="004C30D8" w:rsidRDefault="40B3576B" w:rsidP="40B3576B">
            <w:pPr>
              <w:spacing w:after="0"/>
              <w:jc w:val="center"/>
              <w:rPr>
                <w:b/>
                <w:bCs/>
                <w:sz w:val="22"/>
                <w:szCs w:val="22"/>
              </w:rPr>
            </w:pPr>
            <w:r w:rsidRPr="40B3576B">
              <w:rPr>
                <w:b/>
                <w:bCs/>
                <w:sz w:val="22"/>
                <w:szCs w:val="22"/>
              </w:rPr>
              <w:t>2019</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02E9D2B5" w14:textId="6FBD0D39" w:rsidR="004C30D8" w:rsidRPr="004C30D8" w:rsidRDefault="40B3576B" w:rsidP="40B3576B">
            <w:pPr>
              <w:spacing w:after="0"/>
              <w:jc w:val="center"/>
              <w:rPr>
                <w:b/>
                <w:bCs/>
                <w:sz w:val="22"/>
                <w:szCs w:val="22"/>
              </w:rPr>
            </w:pPr>
            <w:r w:rsidRPr="40B3576B">
              <w:rPr>
                <w:b/>
                <w:bCs/>
                <w:sz w:val="22"/>
                <w:szCs w:val="22"/>
              </w:rPr>
              <w:t>2020</w:t>
            </w:r>
          </w:p>
        </w:tc>
      </w:tr>
      <w:tr w:rsidR="00822000" w:rsidRPr="004C30D8" w14:paraId="6DB9F97D" w14:textId="77777777" w:rsidTr="40B3576B">
        <w:trPr>
          <w:trHeight w:val="285"/>
          <w:jc w:val="center"/>
        </w:trPr>
        <w:tc>
          <w:tcPr>
            <w:tcW w:w="4727"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3363E" w14:textId="77777777" w:rsidR="00822000" w:rsidRPr="004C30D8" w:rsidRDefault="40B3576B" w:rsidP="40B3576B">
            <w:pPr>
              <w:spacing w:after="0"/>
              <w:jc w:val="left"/>
              <w:rPr>
                <w:b/>
                <w:bCs/>
                <w:sz w:val="22"/>
                <w:szCs w:val="22"/>
              </w:rPr>
            </w:pPr>
            <w:r w:rsidRPr="40B3576B">
              <w:rPr>
                <w:b/>
                <w:bCs/>
                <w:sz w:val="22"/>
                <w:szCs w:val="22"/>
              </w:rPr>
              <w:t>1. Bevétel</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6E4E9B3" w14:textId="567DD31A" w:rsidR="00822000" w:rsidRPr="004C30D8" w:rsidRDefault="40B3576B" w:rsidP="40B3576B">
            <w:pPr>
              <w:spacing w:after="0"/>
              <w:jc w:val="right"/>
              <w:rPr>
                <w:b/>
                <w:bCs/>
                <w:sz w:val="22"/>
                <w:szCs w:val="22"/>
              </w:rPr>
            </w:pPr>
            <w:r w:rsidRPr="40B3576B">
              <w:rPr>
                <w:b/>
                <w:bCs/>
                <w:sz w:val="22"/>
                <w:szCs w:val="22"/>
              </w:rPr>
              <w:t>88,1</w:t>
            </w:r>
          </w:p>
        </w:tc>
        <w:tc>
          <w:tcPr>
            <w:tcW w:w="1110" w:type="dxa"/>
            <w:tcBorders>
              <w:top w:val="nil"/>
              <w:left w:val="nil"/>
              <w:bottom w:val="single" w:sz="4" w:space="0" w:color="auto"/>
              <w:right w:val="single" w:sz="4" w:space="0" w:color="auto"/>
            </w:tcBorders>
            <w:shd w:val="clear" w:color="auto" w:fill="auto"/>
            <w:noWrap/>
            <w:vAlign w:val="bottom"/>
          </w:tcPr>
          <w:p w14:paraId="26E65790" w14:textId="269A55E2" w:rsidR="00822000" w:rsidRPr="004C30D8" w:rsidRDefault="40B3576B" w:rsidP="40B3576B">
            <w:pPr>
              <w:spacing w:after="0"/>
              <w:jc w:val="right"/>
              <w:rPr>
                <w:b/>
                <w:bCs/>
                <w:sz w:val="22"/>
                <w:szCs w:val="22"/>
              </w:rPr>
            </w:pPr>
            <w:r w:rsidRPr="40B3576B">
              <w:rPr>
                <w:b/>
                <w:bCs/>
                <w:sz w:val="22"/>
                <w:szCs w:val="22"/>
              </w:rPr>
              <w:t>70,3</w:t>
            </w:r>
          </w:p>
        </w:tc>
      </w:tr>
      <w:tr w:rsidR="00822000" w:rsidRPr="004C30D8" w14:paraId="18A0C2F2" w14:textId="77777777" w:rsidTr="40B3576B">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12A529DF" w14:textId="77777777" w:rsidR="00822000" w:rsidRPr="004C30D8" w:rsidRDefault="40B3576B" w:rsidP="40B3576B">
            <w:pPr>
              <w:spacing w:after="0"/>
              <w:jc w:val="left"/>
              <w:rPr>
                <w:sz w:val="22"/>
                <w:szCs w:val="22"/>
              </w:rPr>
            </w:pPr>
            <w:r w:rsidRPr="40B3576B">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544146B" w14:textId="77777777" w:rsidR="00822000" w:rsidRPr="004C30D8" w:rsidRDefault="40B3576B" w:rsidP="40B3576B">
            <w:pPr>
              <w:spacing w:after="0"/>
              <w:jc w:val="left"/>
              <w:rPr>
                <w:b/>
                <w:bCs/>
                <w:sz w:val="22"/>
                <w:szCs w:val="22"/>
              </w:rPr>
            </w:pPr>
            <w:r w:rsidRPr="40B3576B">
              <w:rPr>
                <w:b/>
                <w:bCs/>
                <w:sz w:val="22"/>
                <w:szCs w:val="22"/>
              </w:rPr>
              <w:t>1.1. Forint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FD046DA" w14:textId="0585C613" w:rsidR="00822000" w:rsidRPr="004C30D8" w:rsidRDefault="40B3576B" w:rsidP="40B3576B">
            <w:pPr>
              <w:spacing w:after="0"/>
              <w:jc w:val="right"/>
              <w:rPr>
                <w:b/>
                <w:bCs/>
                <w:sz w:val="22"/>
                <w:szCs w:val="22"/>
              </w:rPr>
            </w:pPr>
            <w:r w:rsidRPr="40B3576B">
              <w:rPr>
                <w:b/>
                <w:bCs/>
                <w:sz w:val="22"/>
                <w:szCs w:val="22"/>
              </w:rPr>
              <w:t>88,3</w:t>
            </w:r>
          </w:p>
        </w:tc>
        <w:tc>
          <w:tcPr>
            <w:tcW w:w="1110" w:type="dxa"/>
            <w:tcBorders>
              <w:top w:val="nil"/>
              <w:left w:val="nil"/>
              <w:bottom w:val="single" w:sz="4" w:space="0" w:color="auto"/>
              <w:right w:val="single" w:sz="4" w:space="0" w:color="auto"/>
            </w:tcBorders>
            <w:shd w:val="clear" w:color="auto" w:fill="auto"/>
            <w:noWrap/>
            <w:vAlign w:val="bottom"/>
          </w:tcPr>
          <w:p w14:paraId="743B0E4E" w14:textId="0FD42307" w:rsidR="00822000" w:rsidRPr="004C30D8" w:rsidRDefault="40B3576B" w:rsidP="40B3576B">
            <w:pPr>
              <w:spacing w:after="0"/>
              <w:jc w:val="right"/>
              <w:rPr>
                <w:b/>
                <w:bCs/>
                <w:sz w:val="22"/>
                <w:szCs w:val="22"/>
              </w:rPr>
            </w:pPr>
            <w:r w:rsidRPr="40B3576B">
              <w:rPr>
                <w:b/>
                <w:bCs/>
                <w:sz w:val="22"/>
                <w:szCs w:val="22"/>
              </w:rPr>
              <w:t>70,7</w:t>
            </w:r>
          </w:p>
        </w:tc>
      </w:tr>
      <w:tr w:rsidR="00822000" w:rsidRPr="004C30D8" w14:paraId="070AC738" w14:textId="77777777" w:rsidTr="40B3576B">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6A637416" w14:textId="77777777" w:rsidR="00822000" w:rsidRPr="004C30D8" w:rsidRDefault="40B3576B" w:rsidP="40B3576B">
            <w:pPr>
              <w:spacing w:after="0"/>
              <w:jc w:val="left"/>
              <w:rPr>
                <w:sz w:val="22"/>
                <w:szCs w:val="22"/>
              </w:rPr>
            </w:pPr>
            <w:r w:rsidRPr="40B3576B">
              <w:rPr>
                <w:sz w:val="22"/>
                <w:szCs w:val="22"/>
              </w:rPr>
              <w:t> </w:t>
            </w:r>
          </w:p>
        </w:tc>
        <w:tc>
          <w:tcPr>
            <w:tcW w:w="340" w:type="dxa"/>
            <w:tcBorders>
              <w:top w:val="nil"/>
              <w:left w:val="nil"/>
              <w:bottom w:val="nil"/>
              <w:right w:val="nil"/>
            </w:tcBorders>
            <w:shd w:val="clear" w:color="auto" w:fill="FFFFFF" w:themeFill="background1"/>
            <w:noWrap/>
            <w:vAlign w:val="bottom"/>
            <w:hideMark/>
          </w:tcPr>
          <w:p w14:paraId="04695659" w14:textId="77777777" w:rsidR="00822000" w:rsidRPr="004C30D8" w:rsidRDefault="40B3576B" w:rsidP="40B3576B">
            <w:pPr>
              <w:spacing w:after="0"/>
              <w:jc w:val="left"/>
              <w:rPr>
                <w:sz w:val="22"/>
                <w:szCs w:val="22"/>
              </w:rPr>
            </w:pPr>
            <w:r w:rsidRPr="40B3576B">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58224C74" w14:textId="77777777" w:rsidR="00822000" w:rsidRPr="004C30D8" w:rsidRDefault="40B3576B" w:rsidP="40B3576B">
            <w:pPr>
              <w:spacing w:after="0"/>
              <w:jc w:val="left"/>
              <w:rPr>
                <w:i/>
                <w:iCs/>
                <w:sz w:val="22"/>
                <w:szCs w:val="22"/>
              </w:rPr>
            </w:pPr>
            <w:r w:rsidRPr="40B3576B">
              <w:rPr>
                <w:i/>
                <w:iCs/>
                <w:sz w:val="22"/>
                <w:szCs w:val="22"/>
              </w:rPr>
              <w:t>1.1.1.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36DBD9DB" w14:textId="76936758" w:rsidR="00822000" w:rsidRPr="004C30D8" w:rsidRDefault="40B3576B" w:rsidP="40B3576B">
            <w:pPr>
              <w:spacing w:after="0"/>
              <w:jc w:val="right"/>
              <w:rPr>
                <w:i/>
                <w:iCs/>
                <w:sz w:val="22"/>
                <w:szCs w:val="22"/>
              </w:rPr>
            </w:pPr>
            <w:r w:rsidRPr="40B3576B">
              <w:rPr>
                <w:i/>
                <w:iCs/>
                <w:sz w:val="22"/>
                <w:szCs w:val="22"/>
              </w:rPr>
              <w:t>88,2</w:t>
            </w:r>
          </w:p>
        </w:tc>
        <w:tc>
          <w:tcPr>
            <w:tcW w:w="1110" w:type="dxa"/>
            <w:tcBorders>
              <w:top w:val="nil"/>
              <w:left w:val="nil"/>
              <w:bottom w:val="nil"/>
              <w:right w:val="single" w:sz="4" w:space="0" w:color="auto"/>
            </w:tcBorders>
            <w:shd w:val="clear" w:color="auto" w:fill="auto"/>
            <w:noWrap/>
            <w:vAlign w:val="bottom"/>
          </w:tcPr>
          <w:p w14:paraId="2B4166A0" w14:textId="652B45ED" w:rsidR="00822000" w:rsidRPr="004C30D8" w:rsidRDefault="40B3576B" w:rsidP="40B3576B">
            <w:pPr>
              <w:spacing w:after="0"/>
              <w:jc w:val="right"/>
              <w:rPr>
                <w:i/>
                <w:iCs/>
                <w:sz w:val="22"/>
                <w:szCs w:val="22"/>
              </w:rPr>
            </w:pPr>
            <w:r w:rsidRPr="40B3576B">
              <w:rPr>
                <w:i/>
                <w:iCs/>
                <w:sz w:val="22"/>
                <w:szCs w:val="22"/>
              </w:rPr>
              <w:t>69,1</w:t>
            </w:r>
          </w:p>
        </w:tc>
      </w:tr>
      <w:tr w:rsidR="00822000" w:rsidRPr="004C30D8" w14:paraId="48DED23A" w14:textId="77777777" w:rsidTr="40B3576B">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43896092" w14:textId="5758D4F9" w:rsidR="00822000" w:rsidRPr="004C30D8" w:rsidRDefault="40B3576B" w:rsidP="40B3576B">
            <w:pPr>
              <w:spacing w:after="0"/>
              <w:jc w:val="left"/>
              <w:rPr>
                <w:sz w:val="22"/>
                <w:szCs w:val="22"/>
              </w:rPr>
            </w:pPr>
            <w:r w:rsidRPr="40B3576B">
              <w:rPr>
                <w:sz w:val="22"/>
                <w:szCs w:val="22"/>
              </w:rPr>
              <w:t> </w:t>
            </w:r>
          </w:p>
        </w:tc>
        <w:tc>
          <w:tcPr>
            <w:tcW w:w="340" w:type="dxa"/>
            <w:tcBorders>
              <w:top w:val="nil"/>
              <w:left w:val="nil"/>
              <w:bottom w:val="nil"/>
              <w:right w:val="nil"/>
            </w:tcBorders>
            <w:shd w:val="clear" w:color="auto" w:fill="FFFFFF" w:themeFill="background1"/>
            <w:noWrap/>
            <w:vAlign w:val="bottom"/>
            <w:hideMark/>
          </w:tcPr>
          <w:p w14:paraId="084AA7D8" w14:textId="77777777" w:rsidR="00822000" w:rsidRPr="004C30D8" w:rsidRDefault="40B3576B" w:rsidP="40B3576B">
            <w:pPr>
              <w:spacing w:after="0"/>
              <w:jc w:val="left"/>
              <w:rPr>
                <w:sz w:val="22"/>
                <w:szCs w:val="22"/>
              </w:rPr>
            </w:pPr>
            <w:r w:rsidRPr="40B3576B">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315C50A" w14:textId="77777777" w:rsidR="00822000" w:rsidRPr="004C30D8" w:rsidRDefault="40B3576B" w:rsidP="40B3576B">
            <w:pPr>
              <w:spacing w:after="0"/>
              <w:jc w:val="left"/>
              <w:rPr>
                <w:i/>
                <w:iCs/>
                <w:sz w:val="22"/>
                <w:szCs w:val="22"/>
              </w:rPr>
            </w:pPr>
            <w:r w:rsidRPr="40B3576B">
              <w:rPr>
                <w:i/>
                <w:iCs/>
                <w:sz w:val="22"/>
                <w:szCs w:val="22"/>
              </w:rPr>
              <w:t>1.1.2.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6534D39E" w14:textId="089F9AA7" w:rsidR="00822000" w:rsidRPr="004C30D8" w:rsidRDefault="40B3576B" w:rsidP="40B3576B">
            <w:pPr>
              <w:spacing w:after="0"/>
              <w:jc w:val="right"/>
              <w:rPr>
                <w:i/>
                <w:iCs/>
                <w:sz w:val="22"/>
                <w:szCs w:val="22"/>
              </w:rPr>
            </w:pPr>
            <w:r w:rsidRPr="40B3576B">
              <w:rPr>
                <w:i/>
                <w:iCs/>
                <w:sz w:val="22"/>
                <w:szCs w:val="22"/>
              </w:rPr>
              <w:t>0,0</w:t>
            </w:r>
          </w:p>
        </w:tc>
        <w:tc>
          <w:tcPr>
            <w:tcW w:w="1110" w:type="dxa"/>
            <w:tcBorders>
              <w:top w:val="nil"/>
              <w:left w:val="nil"/>
              <w:bottom w:val="nil"/>
              <w:right w:val="single" w:sz="4" w:space="0" w:color="auto"/>
            </w:tcBorders>
            <w:shd w:val="clear" w:color="auto" w:fill="auto"/>
            <w:noWrap/>
            <w:vAlign w:val="bottom"/>
          </w:tcPr>
          <w:p w14:paraId="36A73D13" w14:textId="10E09F11" w:rsidR="00822000" w:rsidRPr="004C30D8" w:rsidRDefault="40B3576B" w:rsidP="40B3576B">
            <w:pPr>
              <w:spacing w:after="0"/>
              <w:jc w:val="right"/>
              <w:rPr>
                <w:i/>
                <w:iCs/>
                <w:sz w:val="22"/>
                <w:szCs w:val="22"/>
              </w:rPr>
            </w:pPr>
            <w:r w:rsidRPr="40B3576B">
              <w:rPr>
                <w:i/>
                <w:iCs/>
                <w:sz w:val="22"/>
                <w:szCs w:val="22"/>
              </w:rPr>
              <w:t>0,0</w:t>
            </w:r>
          </w:p>
        </w:tc>
      </w:tr>
      <w:tr w:rsidR="00822000" w:rsidRPr="004C30D8" w14:paraId="5E8B8A2F" w14:textId="77777777" w:rsidTr="40B3576B">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733CA1F" w14:textId="77777777" w:rsidR="00822000" w:rsidRPr="004C30D8" w:rsidRDefault="40B3576B" w:rsidP="40B3576B">
            <w:pPr>
              <w:spacing w:after="0"/>
              <w:jc w:val="left"/>
              <w:rPr>
                <w:sz w:val="22"/>
                <w:szCs w:val="22"/>
              </w:rPr>
            </w:pPr>
            <w:r w:rsidRPr="40B3576B">
              <w:rPr>
                <w:sz w:val="22"/>
                <w:szCs w:val="22"/>
              </w:rPr>
              <w:t> </w:t>
            </w:r>
          </w:p>
        </w:tc>
        <w:tc>
          <w:tcPr>
            <w:tcW w:w="340" w:type="dxa"/>
            <w:tcBorders>
              <w:top w:val="nil"/>
              <w:left w:val="nil"/>
              <w:bottom w:val="nil"/>
              <w:right w:val="nil"/>
            </w:tcBorders>
            <w:shd w:val="clear" w:color="auto" w:fill="FFFFFF" w:themeFill="background1"/>
            <w:noWrap/>
            <w:vAlign w:val="bottom"/>
            <w:hideMark/>
          </w:tcPr>
          <w:p w14:paraId="08DDD2F1" w14:textId="77777777" w:rsidR="00822000" w:rsidRPr="004C30D8" w:rsidRDefault="40B3576B" w:rsidP="40B3576B">
            <w:pPr>
              <w:spacing w:after="0"/>
              <w:jc w:val="left"/>
              <w:rPr>
                <w:sz w:val="22"/>
                <w:szCs w:val="22"/>
              </w:rPr>
            </w:pPr>
            <w:r w:rsidRPr="40B3576B">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0F22C8F" w14:textId="77777777" w:rsidR="00822000" w:rsidRPr="004C30D8" w:rsidRDefault="40B3576B" w:rsidP="40B3576B">
            <w:pPr>
              <w:spacing w:after="0"/>
              <w:jc w:val="left"/>
              <w:rPr>
                <w:i/>
                <w:iCs/>
                <w:sz w:val="22"/>
                <w:szCs w:val="22"/>
              </w:rPr>
            </w:pPr>
            <w:r w:rsidRPr="40B3576B">
              <w:rPr>
                <w:i/>
                <w:iCs/>
                <w:sz w:val="22"/>
                <w:szCs w:val="22"/>
              </w:rPr>
              <w:t>1.1.3. Repóügyletek kamata</w:t>
            </w:r>
          </w:p>
        </w:tc>
        <w:tc>
          <w:tcPr>
            <w:tcW w:w="1134" w:type="dxa"/>
            <w:tcBorders>
              <w:top w:val="nil"/>
              <w:left w:val="single" w:sz="4" w:space="0" w:color="auto"/>
              <w:bottom w:val="nil"/>
              <w:right w:val="single" w:sz="4" w:space="0" w:color="auto"/>
            </w:tcBorders>
            <w:shd w:val="clear" w:color="auto" w:fill="auto"/>
            <w:noWrap/>
            <w:vAlign w:val="bottom"/>
          </w:tcPr>
          <w:p w14:paraId="25A44EF4" w14:textId="696216FE" w:rsidR="00822000" w:rsidRPr="004C30D8" w:rsidRDefault="40B3576B" w:rsidP="40B3576B">
            <w:pPr>
              <w:spacing w:after="0"/>
              <w:jc w:val="right"/>
              <w:rPr>
                <w:i/>
                <w:iCs/>
                <w:sz w:val="22"/>
                <w:szCs w:val="22"/>
              </w:rPr>
            </w:pPr>
            <w:r w:rsidRPr="40B3576B">
              <w:rPr>
                <w:i/>
                <w:iCs/>
                <w:sz w:val="22"/>
                <w:szCs w:val="22"/>
              </w:rPr>
              <w:t>0,0</w:t>
            </w:r>
          </w:p>
        </w:tc>
        <w:tc>
          <w:tcPr>
            <w:tcW w:w="1110" w:type="dxa"/>
            <w:tcBorders>
              <w:top w:val="nil"/>
              <w:left w:val="nil"/>
              <w:bottom w:val="nil"/>
              <w:right w:val="single" w:sz="4" w:space="0" w:color="auto"/>
            </w:tcBorders>
            <w:shd w:val="clear" w:color="auto" w:fill="auto"/>
            <w:noWrap/>
            <w:vAlign w:val="bottom"/>
          </w:tcPr>
          <w:p w14:paraId="2B75BAC9" w14:textId="22787990" w:rsidR="00822000" w:rsidRPr="004C30D8" w:rsidRDefault="40B3576B" w:rsidP="40B3576B">
            <w:pPr>
              <w:spacing w:after="0"/>
              <w:jc w:val="right"/>
              <w:rPr>
                <w:i/>
                <w:iCs/>
                <w:sz w:val="22"/>
                <w:szCs w:val="22"/>
              </w:rPr>
            </w:pPr>
            <w:r w:rsidRPr="40B3576B">
              <w:rPr>
                <w:i/>
                <w:iCs/>
                <w:sz w:val="22"/>
                <w:szCs w:val="22"/>
              </w:rPr>
              <w:t>0,2</w:t>
            </w:r>
          </w:p>
        </w:tc>
      </w:tr>
      <w:tr w:rsidR="00822000" w:rsidRPr="004C30D8" w14:paraId="68D79656" w14:textId="77777777" w:rsidTr="40B3576B">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A410CC2" w14:textId="77777777" w:rsidR="00822000" w:rsidRPr="004C30D8" w:rsidRDefault="40B3576B" w:rsidP="40B3576B">
            <w:pPr>
              <w:spacing w:after="0"/>
              <w:jc w:val="left"/>
              <w:rPr>
                <w:sz w:val="22"/>
                <w:szCs w:val="22"/>
              </w:rPr>
            </w:pPr>
            <w:r w:rsidRPr="40B3576B">
              <w:rPr>
                <w:sz w:val="22"/>
                <w:szCs w:val="22"/>
              </w:rPr>
              <w:t> </w:t>
            </w:r>
          </w:p>
        </w:tc>
        <w:tc>
          <w:tcPr>
            <w:tcW w:w="340" w:type="dxa"/>
            <w:tcBorders>
              <w:top w:val="nil"/>
              <w:left w:val="nil"/>
              <w:bottom w:val="nil"/>
              <w:right w:val="nil"/>
            </w:tcBorders>
            <w:shd w:val="clear" w:color="auto" w:fill="FFFFFF" w:themeFill="background1"/>
            <w:noWrap/>
            <w:vAlign w:val="bottom"/>
            <w:hideMark/>
          </w:tcPr>
          <w:p w14:paraId="1C934698" w14:textId="77777777" w:rsidR="00822000" w:rsidRPr="004C30D8" w:rsidRDefault="40B3576B" w:rsidP="40B3576B">
            <w:pPr>
              <w:spacing w:after="0"/>
              <w:jc w:val="left"/>
              <w:rPr>
                <w:sz w:val="22"/>
                <w:szCs w:val="22"/>
              </w:rPr>
            </w:pPr>
            <w:r w:rsidRPr="40B3576B">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59080012" w14:textId="77777777" w:rsidR="00822000" w:rsidRPr="004C30D8" w:rsidRDefault="40B3576B" w:rsidP="40B3576B">
            <w:pPr>
              <w:spacing w:after="0"/>
              <w:jc w:val="left"/>
              <w:rPr>
                <w:i/>
                <w:iCs/>
                <w:sz w:val="22"/>
                <w:szCs w:val="22"/>
              </w:rPr>
            </w:pPr>
            <w:r w:rsidRPr="40B3576B">
              <w:rPr>
                <w:i/>
                <w:iCs/>
                <w:sz w:val="22"/>
                <w:szCs w:val="22"/>
              </w:rPr>
              <w:t>1.1.4. KESZ forint-betét kamata</w:t>
            </w:r>
          </w:p>
        </w:tc>
        <w:tc>
          <w:tcPr>
            <w:tcW w:w="1134" w:type="dxa"/>
            <w:tcBorders>
              <w:top w:val="nil"/>
              <w:left w:val="single" w:sz="4" w:space="0" w:color="auto"/>
              <w:bottom w:val="nil"/>
              <w:right w:val="single" w:sz="4" w:space="0" w:color="auto"/>
            </w:tcBorders>
            <w:shd w:val="clear" w:color="auto" w:fill="auto"/>
            <w:noWrap/>
            <w:vAlign w:val="bottom"/>
          </w:tcPr>
          <w:p w14:paraId="22F79DFD" w14:textId="5B78A4FA" w:rsidR="00822000" w:rsidRPr="004C30D8" w:rsidRDefault="40B3576B" w:rsidP="40B3576B">
            <w:pPr>
              <w:spacing w:after="0"/>
              <w:jc w:val="right"/>
              <w:rPr>
                <w:i/>
                <w:iCs/>
                <w:sz w:val="22"/>
                <w:szCs w:val="22"/>
              </w:rPr>
            </w:pPr>
            <w:r w:rsidRPr="40B3576B">
              <w:rPr>
                <w:i/>
                <w:iCs/>
                <w:sz w:val="22"/>
                <w:szCs w:val="22"/>
              </w:rPr>
              <w:t>0,1</w:t>
            </w:r>
          </w:p>
        </w:tc>
        <w:tc>
          <w:tcPr>
            <w:tcW w:w="1110" w:type="dxa"/>
            <w:tcBorders>
              <w:top w:val="nil"/>
              <w:left w:val="nil"/>
              <w:bottom w:val="nil"/>
              <w:right w:val="single" w:sz="4" w:space="0" w:color="auto"/>
            </w:tcBorders>
            <w:shd w:val="clear" w:color="auto" w:fill="auto"/>
            <w:noWrap/>
            <w:vAlign w:val="bottom"/>
          </w:tcPr>
          <w:p w14:paraId="1074B886" w14:textId="358CB3E1" w:rsidR="00822000" w:rsidRPr="004C30D8" w:rsidRDefault="40B3576B" w:rsidP="40B3576B">
            <w:pPr>
              <w:spacing w:after="0"/>
              <w:jc w:val="right"/>
              <w:rPr>
                <w:i/>
                <w:iCs/>
                <w:sz w:val="22"/>
                <w:szCs w:val="22"/>
              </w:rPr>
            </w:pPr>
            <w:r w:rsidRPr="40B3576B">
              <w:rPr>
                <w:i/>
                <w:iCs/>
                <w:sz w:val="22"/>
                <w:szCs w:val="22"/>
              </w:rPr>
              <w:t>1,4</w:t>
            </w:r>
          </w:p>
        </w:tc>
      </w:tr>
      <w:tr w:rsidR="00822000" w:rsidRPr="004C30D8" w14:paraId="3D745D4B" w14:textId="77777777" w:rsidTr="40B3576B">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31AF6125" w14:textId="77777777" w:rsidR="00822000" w:rsidRPr="004C30D8" w:rsidRDefault="40B3576B" w:rsidP="40B3576B">
            <w:pPr>
              <w:spacing w:after="0"/>
              <w:jc w:val="left"/>
              <w:rPr>
                <w:sz w:val="22"/>
                <w:szCs w:val="22"/>
              </w:rPr>
            </w:pPr>
            <w:r w:rsidRPr="40B3576B">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02EA49B" w14:textId="77777777" w:rsidR="00822000" w:rsidRPr="004C30D8" w:rsidRDefault="40B3576B" w:rsidP="40B3576B">
            <w:pPr>
              <w:spacing w:after="0"/>
              <w:jc w:val="left"/>
              <w:rPr>
                <w:b/>
                <w:bCs/>
                <w:sz w:val="22"/>
                <w:szCs w:val="22"/>
              </w:rPr>
            </w:pPr>
            <w:r w:rsidRPr="40B3576B">
              <w:rPr>
                <w:b/>
                <w:bCs/>
                <w:sz w:val="22"/>
                <w:szCs w:val="22"/>
              </w:rPr>
              <w:t>1.2. Deviza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D91D3" w14:textId="1BC5C103" w:rsidR="00822000" w:rsidRPr="004C30D8" w:rsidRDefault="40B3576B" w:rsidP="40B3576B">
            <w:pPr>
              <w:spacing w:after="0"/>
              <w:jc w:val="right"/>
              <w:rPr>
                <w:b/>
                <w:bCs/>
                <w:sz w:val="22"/>
                <w:szCs w:val="22"/>
              </w:rPr>
            </w:pPr>
            <w:r w:rsidRPr="40B3576B">
              <w:rPr>
                <w:b/>
                <w:bCs/>
                <w:sz w:val="22"/>
                <w:szCs w:val="22"/>
              </w:rPr>
              <w:t>-0,2</w:t>
            </w: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6E7FF203" w14:textId="39C629D3" w:rsidR="00822000" w:rsidRPr="004C30D8" w:rsidRDefault="40B3576B" w:rsidP="40B3576B">
            <w:pPr>
              <w:spacing w:after="0"/>
              <w:jc w:val="right"/>
              <w:rPr>
                <w:b/>
                <w:bCs/>
                <w:sz w:val="22"/>
                <w:szCs w:val="22"/>
              </w:rPr>
            </w:pPr>
            <w:r w:rsidRPr="40B3576B">
              <w:rPr>
                <w:b/>
                <w:bCs/>
                <w:sz w:val="22"/>
                <w:szCs w:val="22"/>
              </w:rPr>
              <w:t>-0,4</w:t>
            </w:r>
          </w:p>
        </w:tc>
      </w:tr>
      <w:tr w:rsidR="00822000" w:rsidRPr="004C30D8" w14:paraId="3C5A578D" w14:textId="77777777" w:rsidTr="40B3576B">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342BD7FE" w14:textId="77777777" w:rsidR="00822000" w:rsidRPr="004C30D8" w:rsidRDefault="40B3576B" w:rsidP="40B3576B">
            <w:pPr>
              <w:spacing w:after="0"/>
              <w:jc w:val="left"/>
              <w:rPr>
                <w:sz w:val="22"/>
                <w:szCs w:val="22"/>
              </w:rPr>
            </w:pPr>
            <w:r w:rsidRPr="40B3576B">
              <w:rPr>
                <w:sz w:val="22"/>
                <w:szCs w:val="22"/>
              </w:rPr>
              <w:t> </w:t>
            </w:r>
          </w:p>
        </w:tc>
        <w:tc>
          <w:tcPr>
            <w:tcW w:w="340" w:type="dxa"/>
            <w:tcBorders>
              <w:top w:val="nil"/>
              <w:left w:val="nil"/>
              <w:bottom w:val="nil"/>
              <w:right w:val="nil"/>
            </w:tcBorders>
            <w:shd w:val="clear" w:color="auto" w:fill="FFFFFF" w:themeFill="background1"/>
            <w:noWrap/>
            <w:vAlign w:val="bottom"/>
            <w:hideMark/>
          </w:tcPr>
          <w:p w14:paraId="110A0BA2" w14:textId="77777777" w:rsidR="00822000" w:rsidRPr="004C30D8" w:rsidRDefault="40B3576B" w:rsidP="40B3576B">
            <w:pPr>
              <w:spacing w:after="0"/>
              <w:jc w:val="left"/>
              <w:rPr>
                <w:sz w:val="22"/>
                <w:szCs w:val="22"/>
              </w:rPr>
            </w:pPr>
            <w:r w:rsidRPr="40B3576B">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96D0FF5" w14:textId="77777777" w:rsidR="00822000" w:rsidRPr="004C30D8" w:rsidRDefault="40B3576B" w:rsidP="40B3576B">
            <w:pPr>
              <w:spacing w:after="0"/>
              <w:jc w:val="left"/>
              <w:rPr>
                <w:i/>
                <w:iCs/>
                <w:sz w:val="22"/>
                <w:szCs w:val="22"/>
              </w:rPr>
            </w:pPr>
            <w:r w:rsidRPr="40B3576B">
              <w:rPr>
                <w:i/>
                <w:iCs/>
                <w:sz w:val="22"/>
                <w:szCs w:val="22"/>
              </w:rPr>
              <w:t>1.2.1. Devizaműveletek kamatelszámolásai</w:t>
            </w:r>
          </w:p>
        </w:tc>
        <w:tc>
          <w:tcPr>
            <w:tcW w:w="1134" w:type="dxa"/>
            <w:tcBorders>
              <w:top w:val="nil"/>
              <w:left w:val="single" w:sz="4" w:space="0" w:color="auto"/>
              <w:bottom w:val="nil"/>
              <w:right w:val="single" w:sz="4" w:space="0" w:color="auto"/>
            </w:tcBorders>
            <w:shd w:val="clear" w:color="auto" w:fill="auto"/>
            <w:noWrap/>
            <w:vAlign w:val="bottom"/>
          </w:tcPr>
          <w:p w14:paraId="7809F621" w14:textId="2F910060" w:rsidR="00822000" w:rsidRPr="004C30D8" w:rsidRDefault="40B3576B" w:rsidP="40B3576B">
            <w:pPr>
              <w:spacing w:after="0"/>
              <w:jc w:val="right"/>
              <w:rPr>
                <w:i/>
                <w:iCs/>
                <w:sz w:val="22"/>
                <w:szCs w:val="22"/>
              </w:rPr>
            </w:pPr>
            <w:r w:rsidRPr="40B3576B">
              <w:rPr>
                <w:i/>
                <w:iCs/>
                <w:sz w:val="22"/>
                <w:szCs w:val="22"/>
              </w:rPr>
              <w:t>-0,2</w:t>
            </w:r>
          </w:p>
        </w:tc>
        <w:tc>
          <w:tcPr>
            <w:tcW w:w="1110" w:type="dxa"/>
            <w:tcBorders>
              <w:top w:val="nil"/>
              <w:left w:val="nil"/>
              <w:bottom w:val="nil"/>
              <w:right w:val="single" w:sz="4" w:space="0" w:color="auto"/>
            </w:tcBorders>
            <w:shd w:val="clear" w:color="auto" w:fill="auto"/>
            <w:noWrap/>
            <w:vAlign w:val="bottom"/>
          </w:tcPr>
          <w:p w14:paraId="31343ECF" w14:textId="6D9FD55D" w:rsidR="00822000" w:rsidRPr="004C30D8" w:rsidRDefault="40B3576B" w:rsidP="40B3576B">
            <w:pPr>
              <w:spacing w:after="0"/>
              <w:jc w:val="right"/>
              <w:rPr>
                <w:i/>
                <w:iCs/>
                <w:sz w:val="22"/>
                <w:szCs w:val="22"/>
              </w:rPr>
            </w:pPr>
            <w:r w:rsidRPr="40B3576B">
              <w:rPr>
                <w:i/>
                <w:iCs/>
                <w:sz w:val="22"/>
                <w:szCs w:val="22"/>
              </w:rPr>
              <w:t>-0,4</w:t>
            </w:r>
          </w:p>
        </w:tc>
      </w:tr>
      <w:tr w:rsidR="004C30D8" w:rsidRPr="004C30D8" w14:paraId="73CD69D7" w14:textId="77777777" w:rsidTr="40B3576B">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70DD9995" w14:textId="77777777" w:rsidR="004C30D8" w:rsidRPr="004C30D8" w:rsidRDefault="40B3576B" w:rsidP="40B3576B">
            <w:pPr>
              <w:spacing w:after="0"/>
              <w:jc w:val="left"/>
              <w:rPr>
                <w:sz w:val="22"/>
                <w:szCs w:val="22"/>
              </w:rPr>
            </w:pPr>
            <w:r w:rsidRPr="40B3576B">
              <w:rPr>
                <w:sz w:val="22"/>
                <w:szCs w:val="22"/>
              </w:rPr>
              <w:t> </w:t>
            </w:r>
          </w:p>
        </w:tc>
        <w:tc>
          <w:tcPr>
            <w:tcW w:w="340" w:type="dxa"/>
            <w:tcBorders>
              <w:top w:val="single" w:sz="4" w:space="0" w:color="auto"/>
              <w:left w:val="nil"/>
              <w:bottom w:val="single" w:sz="4" w:space="0" w:color="auto"/>
              <w:right w:val="nil"/>
            </w:tcBorders>
            <w:shd w:val="clear" w:color="auto" w:fill="FFFFFF" w:themeFill="background1"/>
            <w:noWrap/>
            <w:vAlign w:val="bottom"/>
            <w:hideMark/>
          </w:tcPr>
          <w:p w14:paraId="0059CF69" w14:textId="77777777" w:rsidR="004C30D8" w:rsidRPr="004C30D8" w:rsidRDefault="40B3576B" w:rsidP="40B3576B">
            <w:pPr>
              <w:spacing w:after="0"/>
              <w:jc w:val="left"/>
              <w:rPr>
                <w:sz w:val="22"/>
                <w:szCs w:val="22"/>
              </w:rPr>
            </w:pPr>
            <w:r w:rsidRPr="40B3576B">
              <w:rPr>
                <w:sz w:val="22"/>
                <w:szCs w:val="22"/>
              </w:rPr>
              <w:t> </w:t>
            </w:r>
          </w:p>
        </w:tc>
        <w:tc>
          <w:tcPr>
            <w:tcW w:w="41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76A060" w14:textId="77777777" w:rsidR="004C30D8" w:rsidRPr="004C30D8" w:rsidRDefault="40B3576B" w:rsidP="40B3576B">
            <w:pPr>
              <w:spacing w:after="0"/>
              <w:jc w:val="left"/>
              <w:rPr>
                <w:i/>
                <w:iCs/>
                <w:sz w:val="22"/>
                <w:szCs w:val="22"/>
              </w:rPr>
            </w:pPr>
            <w:r w:rsidRPr="40B3576B">
              <w:rPr>
                <w:i/>
                <w:i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34351" w14:textId="48995B27" w:rsidR="004C30D8" w:rsidRPr="004C30D8" w:rsidRDefault="004C30D8" w:rsidP="27083F14">
            <w:pPr>
              <w:spacing w:after="0"/>
              <w:jc w:val="left"/>
              <w:rPr>
                <w:i/>
                <w:iCs/>
                <w:sz w:val="22"/>
                <w:szCs w:val="22"/>
              </w:rPr>
            </w:pP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5C6A445C" w14:textId="75FB6688" w:rsidR="004C30D8" w:rsidRPr="004C30D8" w:rsidRDefault="004C30D8" w:rsidP="27083F14">
            <w:pPr>
              <w:spacing w:after="0"/>
              <w:jc w:val="left"/>
              <w:rPr>
                <w:i/>
                <w:iCs/>
                <w:sz w:val="22"/>
                <w:szCs w:val="22"/>
              </w:rPr>
            </w:pPr>
          </w:p>
        </w:tc>
      </w:tr>
      <w:tr w:rsidR="00822000" w:rsidRPr="004C30D8" w14:paraId="06C524E9" w14:textId="77777777" w:rsidTr="40B3576B">
        <w:trPr>
          <w:trHeight w:val="285"/>
          <w:jc w:val="center"/>
        </w:trPr>
        <w:tc>
          <w:tcPr>
            <w:tcW w:w="472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2A6256F1" w14:textId="77777777" w:rsidR="00822000" w:rsidRPr="004C30D8" w:rsidRDefault="40B3576B" w:rsidP="40B3576B">
            <w:pPr>
              <w:spacing w:after="0"/>
              <w:jc w:val="left"/>
              <w:rPr>
                <w:b/>
                <w:bCs/>
                <w:sz w:val="22"/>
                <w:szCs w:val="22"/>
              </w:rPr>
            </w:pPr>
            <w:r w:rsidRPr="40B3576B">
              <w:rPr>
                <w:b/>
                <w:bCs/>
                <w:sz w:val="22"/>
                <w:szCs w:val="22"/>
              </w:rPr>
              <w:t>2. Kiadás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9AE1C5E" w14:textId="13FB9D45" w:rsidR="00822000" w:rsidRPr="004C30D8" w:rsidRDefault="40B3576B" w:rsidP="40B3576B">
            <w:pPr>
              <w:spacing w:after="0"/>
              <w:jc w:val="right"/>
              <w:rPr>
                <w:b/>
                <w:bCs/>
                <w:sz w:val="22"/>
                <w:szCs w:val="22"/>
              </w:rPr>
            </w:pPr>
            <w:r w:rsidRPr="40B3576B">
              <w:rPr>
                <w:b/>
                <w:bCs/>
                <w:sz w:val="22"/>
                <w:szCs w:val="22"/>
              </w:rPr>
              <w:t>238,0</w:t>
            </w:r>
          </w:p>
        </w:tc>
        <w:tc>
          <w:tcPr>
            <w:tcW w:w="1110" w:type="dxa"/>
            <w:tcBorders>
              <w:top w:val="nil"/>
              <w:left w:val="nil"/>
              <w:bottom w:val="single" w:sz="4" w:space="0" w:color="auto"/>
              <w:right w:val="single" w:sz="4" w:space="0" w:color="auto"/>
            </w:tcBorders>
            <w:shd w:val="clear" w:color="auto" w:fill="auto"/>
            <w:noWrap/>
            <w:vAlign w:val="bottom"/>
          </w:tcPr>
          <w:p w14:paraId="4782FA32" w14:textId="77FFE44C" w:rsidR="00822000" w:rsidRPr="004C30D8" w:rsidRDefault="40B3576B" w:rsidP="40B3576B">
            <w:pPr>
              <w:spacing w:after="0"/>
              <w:jc w:val="right"/>
              <w:rPr>
                <w:b/>
                <w:bCs/>
                <w:sz w:val="22"/>
                <w:szCs w:val="22"/>
              </w:rPr>
            </w:pPr>
            <w:r w:rsidRPr="40B3576B">
              <w:rPr>
                <w:b/>
                <w:bCs/>
                <w:sz w:val="22"/>
                <w:szCs w:val="22"/>
              </w:rPr>
              <w:t>295,4</w:t>
            </w:r>
          </w:p>
        </w:tc>
      </w:tr>
      <w:tr w:rsidR="00822000" w:rsidRPr="004C30D8" w14:paraId="7F40CE4A" w14:textId="77777777" w:rsidTr="40B3576B">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5425C2D4" w14:textId="77777777" w:rsidR="00822000" w:rsidRPr="004C30D8" w:rsidRDefault="40B3576B" w:rsidP="40B3576B">
            <w:pPr>
              <w:spacing w:after="0"/>
              <w:jc w:val="left"/>
              <w:rPr>
                <w:sz w:val="22"/>
                <w:szCs w:val="22"/>
              </w:rPr>
            </w:pPr>
            <w:r w:rsidRPr="40B3576B">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7B02418" w14:textId="77777777" w:rsidR="00822000" w:rsidRPr="004C30D8" w:rsidRDefault="40B3576B" w:rsidP="40B3576B">
            <w:pPr>
              <w:spacing w:after="0"/>
              <w:jc w:val="left"/>
              <w:rPr>
                <w:b/>
                <w:bCs/>
                <w:sz w:val="22"/>
                <w:szCs w:val="22"/>
              </w:rPr>
            </w:pPr>
            <w:r w:rsidRPr="40B3576B">
              <w:rPr>
                <w:b/>
                <w:bCs/>
                <w:sz w:val="22"/>
                <w:szCs w:val="22"/>
              </w:rPr>
              <w:t>2.1 Forint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B6587D5" w14:textId="31D1E10A" w:rsidR="00822000" w:rsidRPr="004C30D8" w:rsidRDefault="40B3576B" w:rsidP="40B3576B">
            <w:pPr>
              <w:spacing w:after="0"/>
              <w:jc w:val="right"/>
              <w:rPr>
                <w:b/>
                <w:bCs/>
                <w:sz w:val="22"/>
                <w:szCs w:val="22"/>
              </w:rPr>
            </w:pPr>
            <w:r w:rsidRPr="40B3576B">
              <w:rPr>
                <w:b/>
                <w:bCs/>
                <w:sz w:val="22"/>
                <w:szCs w:val="22"/>
              </w:rPr>
              <w:t>146,2</w:t>
            </w:r>
          </w:p>
        </w:tc>
        <w:tc>
          <w:tcPr>
            <w:tcW w:w="1110" w:type="dxa"/>
            <w:tcBorders>
              <w:top w:val="nil"/>
              <w:left w:val="nil"/>
              <w:bottom w:val="single" w:sz="4" w:space="0" w:color="auto"/>
              <w:right w:val="single" w:sz="4" w:space="0" w:color="auto"/>
            </w:tcBorders>
            <w:shd w:val="clear" w:color="auto" w:fill="auto"/>
            <w:noWrap/>
            <w:vAlign w:val="bottom"/>
          </w:tcPr>
          <w:p w14:paraId="1118CB6D" w14:textId="00E20C97" w:rsidR="00822000" w:rsidRPr="004C30D8" w:rsidRDefault="40B3576B" w:rsidP="40B3576B">
            <w:pPr>
              <w:spacing w:after="0"/>
              <w:jc w:val="right"/>
              <w:rPr>
                <w:b/>
                <w:bCs/>
                <w:sz w:val="22"/>
                <w:szCs w:val="22"/>
              </w:rPr>
            </w:pPr>
            <w:r w:rsidRPr="40B3576B">
              <w:rPr>
                <w:b/>
                <w:bCs/>
                <w:sz w:val="22"/>
                <w:szCs w:val="22"/>
              </w:rPr>
              <w:t>183,3</w:t>
            </w:r>
          </w:p>
        </w:tc>
      </w:tr>
      <w:tr w:rsidR="00822000" w:rsidRPr="004C30D8" w14:paraId="3182E062" w14:textId="77777777" w:rsidTr="40B3576B">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7436E7D6" w14:textId="77777777" w:rsidR="00822000" w:rsidRPr="004C30D8" w:rsidRDefault="40B3576B" w:rsidP="40B3576B">
            <w:pPr>
              <w:spacing w:after="0"/>
              <w:jc w:val="left"/>
              <w:rPr>
                <w:sz w:val="22"/>
                <w:szCs w:val="22"/>
              </w:rPr>
            </w:pPr>
            <w:r w:rsidRPr="40B3576B">
              <w:rPr>
                <w:sz w:val="22"/>
                <w:szCs w:val="22"/>
              </w:rPr>
              <w:t> </w:t>
            </w:r>
          </w:p>
        </w:tc>
        <w:tc>
          <w:tcPr>
            <w:tcW w:w="340" w:type="dxa"/>
            <w:tcBorders>
              <w:top w:val="nil"/>
              <w:left w:val="nil"/>
              <w:bottom w:val="nil"/>
              <w:right w:val="nil"/>
            </w:tcBorders>
            <w:shd w:val="clear" w:color="auto" w:fill="FFFFFF" w:themeFill="background1"/>
            <w:noWrap/>
            <w:vAlign w:val="bottom"/>
            <w:hideMark/>
          </w:tcPr>
          <w:p w14:paraId="7968FFCA" w14:textId="77777777" w:rsidR="00822000" w:rsidRPr="004C30D8" w:rsidRDefault="40B3576B" w:rsidP="40B3576B">
            <w:pPr>
              <w:spacing w:after="0"/>
              <w:jc w:val="left"/>
              <w:rPr>
                <w:sz w:val="22"/>
                <w:szCs w:val="22"/>
              </w:rPr>
            </w:pPr>
            <w:r w:rsidRPr="40B3576B">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C29DCBF" w14:textId="77777777" w:rsidR="00822000" w:rsidRPr="004C30D8" w:rsidRDefault="40B3576B" w:rsidP="40B3576B">
            <w:pPr>
              <w:spacing w:after="0"/>
              <w:jc w:val="left"/>
              <w:rPr>
                <w:i/>
                <w:iCs/>
                <w:sz w:val="22"/>
                <w:szCs w:val="22"/>
              </w:rPr>
            </w:pPr>
            <w:r w:rsidRPr="40B3576B">
              <w:rPr>
                <w:i/>
                <w:iCs/>
                <w:sz w:val="22"/>
                <w:szCs w:val="22"/>
              </w:rPr>
              <w:t>2.1.1. Forinthitelek kamata</w:t>
            </w:r>
          </w:p>
        </w:tc>
        <w:tc>
          <w:tcPr>
            <w:tcW w:w="1134" w:type="dxa"/>
            <w:tcBorders>
              <w:top w:val="nil"/>
              <w:left w:val="single" w:sz="4" w:space="0" w:color="auto"/>
              <w:bottom w:val="nil"/>
              <w:right w:val="single" w:sz="4" w:space="0" w:color="auto"/>
            </w:tcBorders>
            <w:shd w:val="clear" w:color="auto" w:fill="auto"/>
            <w:noWrap/>
            <w:vAlign w:val="bottom"/>
          </w:tcPr>
          <w:p w14:paraId="7D0668AB" w14:textId="42820520" w:rsidR="00822000" w:rsidRPr="004C30D8" w:rsidRDefault="40B3576B" w:rsidP="40B3576B">
            <w:pPr>
              <w:spacing w:after="0"/>
              <w:jc w:val="right"/>
              <w:rPr>
                <w:i/>
                <w:iCs/>
                <w:sz w:val="22"/>
                <w:szCs w:val="22"/>
              </w:rPr>
            </w:pPr>
            <w:r w:rsidRPr="40B3576B">
              <w:rPr>
                <w:i/>
                <w:iCs/>
                <w:sz w:val="22"/>
                <w:szCs w:val="22"/>
              </w:rPr>
              <w:t>13,5</w:t>
            </w:r>
          </w:p>
        </w:tc>
        <w:tc>
          <w:tcPr>
            <w:tcW w:w="1110" w:type="dxa"/>
            <w:tcBorders>
              <w:top w:val="nil"/>
              <w:left w:val="nil"/>
              <w:bottom w:val="nil"/>
              <w:right w:val="single" w:sz="4" w:space="0" w:color="auto"/>
            </w:tcBorders>
            <w:shd w:val="clear" w:color="auto" w:fill="auto"/>
            <w:noWrap/>
            <w:vAlign w:val="bottom"/>
          </w:tcPr>
          <w:p w14:paraId="79EA6DCA" w14:textId="7F90279D" w:rsidR="00822000" w:rsidRPr="004C30D8" w:rsidRDefault="40B3576B" w:rsidP="40B3576B">
            <w:pPr>
              <w:spacing w:after="0"/>
              <w:jc w:val="right"/>
              <w:rPr>
                <w:i/>
                <w:iCs/>
                <w:sz w:val="22"/>
                <w:szCs w:val="22"/>
              </w:rPr>
            </w:pPr>
            <w:r w:rsidRPr="40B3576B">
              <w:rPr>
                <w:i/>
                <w:iCs/>
                <w:sz w:val="22"/>
                <w:szCs w:val="22"/>
              </w:rPr>
              <w:t>13,6</w:t>
            </w:r>
          </w:p>
        </w:tc>
      </w:tr>
      <w:tr w:rsidR="00822000" w:rsidRPr="004C30D8" w14:paraId="54BAEB82" w14:textId="77777777" w:rsidTr="40B3576B">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4E6EF24" w14:textId="77777777" w:rsidR="00822000" w:rsidRPr="004C30D8" w:rsidRDefault="40B3576B" w:rsidP="40B3576B">
            <w:pPr>
              <w:spacing w:after="0"/>
              <w:jc w:val="left"/>
              <w:rPr>
                <w:sz w:val="22"/>
                <w:szCs w:val="22"/>
              </w:rPr>
            </w:pPr>
            <w:r w:rsidRPr="40B3576B">
              <w:rPr>
                <w:sz w:val="22"/>
                <w:szCs w:val="22"/>
              </w:rPr>
              <w:t> </w:t>
            </w:r>
          </w:p>
        </w:tc>
        <w:tc>
          <w:tcPr>
            <w:tcW w:w="340" w:type="dxa"/>
            <w:tcBorders>
              <w:top w:val="nil"/>
              <w:left w:val="nil"/>
              <w:bottom w:val="nil"/>
              <w:right w:val="nil"/>
            </w:tcBorders>
            <w:shd w:val="clear" w:color="auto" w:fill="FFFFFF" w:themeFill="background1"/>
            <w:noWrap/>
            <w:vAlign w:val="bottom"/>
            <w:hideMark/>
          </w:tcPr>
          <w:p w14:paraId="2A70DBE5" w14:textId="77777777" w:rsidR="00822000" w:rsidRPr="004C30D8" w:rsidRDefault="40B3576B" w:rsidP="40B3576B">
            <w:pPr>
              <w:spacing w:after="0"/>
              <w:jc w:val="left"/>
              <w:rPr>
                <w:sz w:val="22"/>
                <w:szCs w:val="22"/>
              </w:rPr>
            </w:pPr>
            <w:r w:rsidRPr="40B3576B">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6B0B349" w14:textId="77777777" w:rsidR="00822000" w:rsidRPr="004C30D8" w:rsidRDefault="40B3576B" w:rsidP="40B3576B">
            <w:pPr>
              <w:spacing w:after="0"/>
              <w:jc w:val="left"/>
              <w:rPr>
                <w:i/>
                <w:iCs/>
                <w:sz w:val="22"/>
                <w:szCs w:val="22"/>
              </w:rPr>
            </w:pPr>
            <w:r w:rsidRPr="40B3576B">
              <w:rPr>
                <w:i/>
                <w:iCs/>
                <w:sz w:val="22"/>
                <w:szCs w:val="22"/>
              </w:rPr>
              <w:t>2.1.2.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03DAE239" w14:textId="12C5EFAB" w:rsidR="00822000" w:rsidRPr="004C30D8" w:rsidRDefault="40B3576B" w:rsidP="40B3576B">
            <w:pPr>
              <w:spacing w:after="0"/>
              <w:jc w:val="right"/>
              <w:rPr>
                <w:i/>
                <w:iCs/>
                <w:sz w:val="22"/>
                <w:szCs w:val="22"/>
              </w:rPr>
            </w:pPr>
            <w:r w:rsidRPr="40B3576B">
              <w:rPr>
                <w:i/>
                <w:iCs/>
                <w:sz w:val="22"/>
                <w:szCs w:val="22"/>
              </w:rPr>
              <w:t>100,2</w:t>
            </w:r>
          </w:p>
        </w:tc>
        <w:tc>
          <w:tcPr>
            <w:tcW w:w="1110" w:type="dxa"/>
            <w:tcBorders>
              <w:top w:val="nil"/>
              <w:left w:val="nil"/>
              <w:bottom w:val="nil"/>
              <w:right w:val="single" w:sz="4" w:space="0" w:color="auto"/>
            </w:tcBorders>
            <w:shd w:val="clear" w:color="auto" w:fill="auto"/>
            <w:noWrap/>
            <w:vAlign w:val="bottom"/>
          </w:tcPr>
          <w:p w14:paraId="7F254AFE" w14:textId="5B768823" w:rsidR="00822000" w:rsidRPr="004C30D8" w:rsidRDefault="40B3576B" w:rsidP="40B3576B">
            <w:pPr>
              <w:spacing w:after="0"/>
              <w:jc w:val="right"/>
              <w:rPr>
                <w:i/>
                <w:iCs/>
                <w:sz w:val="22"/>
                <w:szCs w:val="22"/>
              </w:rPr>
            </w:pPr>
            <w:r w:rsidRPr="40B3576B">
              <w:rPr>
                <w:i/>
                <w:iCs/>
                <w:sz w:val="22"/>
                <w:szCs w:val="22"/>
              </w:rPr>
              <w:t>133,4</w:t>
            </w:r>
          </w:p>
        </w:tc>
      </w:tr>
      <w:tr w:rsidR="00822000" w:rsidRPr="004C30D8" w14:paraId="51F007CB" w14:textId="77777777" w:rsidTr="40B3576B">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1E9B006" w14:textId="77777777" w:rsidR="00822000" w:rsidRPr="004C30D8" w:rsidRDefault="40B3576B" w:rsidP="40B3576B">
            <w:pPr>
              <w:spacing w:after="0"/>
              <w:jc w:val="left"/>
              <w:rPr>
                <w:sz w:val="22"/>
                <w:szCs w:val="22"/>
              </w:rPr>
            </w:pPr>
            <w:r w:rsidRPr="40B3576B">
              <w:rPr>
                <w:sz w:val="22"/>
                <w:szCs w:val="22"/>
              </w:rPr>
              <w:t> </w:t>
            </w:r>
          </w:p>
        </w:tc>
        <w:tc>
          <w:tcPr>
            <w:tcW w:w="340" w:type="dxa"/>
            <w:tcBorders>
              <w:top w:val="nil"/>
              <w:left w:val="nil"/>
              <w:bottom w:val="nil"/>
              <w:right w:val="nil"/>
            </w:tcBorders>
            <w:shd w:val="clear" w:color="auto" w:fill="FFFFFF" w:themeFill="background1"/>
            <w:noWrap/>
            <w:vAlign w:val="bottom"/>
            <w:hideMark/>
          </w:tcPr>
          <w:p w14:paraId="1D1288D5" w14:textId="77777777" w:rsidR="00822000" w:rsidRPr="004C30D8" w:rsidRDefault="40B3576B" w:rsidP="40B3576B">
            <w:pPr>
              <w:spacing w:after="0"/>
              <w:jc w:val="left"/>
              <w:rPr>
                <w:sz w:val="22"/>
                <w:szCs w:val="22"/>
              </w:rPr>
            </w:pPr>
            <w:r w:rsidRPr="40B3576B">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6B182520" w14:textId="77777777" w:rsidR="00822000" w:rsidRPr="004C30D8" w:rsidRDefault="40B3576B" w:rsidP="40B3576B">
            <w:pPr>
              <w:spacing w:after="0"/>
              <w:jc w:val="left"/>
              <w:rPr>
                <w:i/>
                <w:iCs/>
                <w:sz w:val="22"/>
                <w:szCs w:val="22"/>
              </w:rPr>
            </w:pPr>
            <w:r w:rsidRPr="40B3576B">
              <w:rPr>
                <w:i/>
                <w:iCs/>
                <w:sz w:val="22"/>
                <w:szCs w:val="22"/>
              </w:rPr>
              <w:t>2.1.3.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18551CFC" w14:textId="6BA66EC8" w:rsidR="00822000" w:rsidRPr="004C30D8" w:rsidRDefault="40B3576B" w:rsidP="40B3576B">
            <w:pPr>
              <w:spacing w:after="0"/>
              <w:jc w:val="right"/>
              <w:rPr>
                <w:i/>
                <w:iCs/>
                <w:sz w:val="22"/>
                <w:szCs w:val="22"/>
              </w:rPr>
            </w:pPr>
            <w:r w:rsidRPr="40B3576B">
              <w:rPr>
                <w:i/>
                <w:iCs/>
                <w:sz w:val="22"/>
                <w:szCs w:val="22"/>
              </w:rPr>
              <w:t>32,5</w:t>
            </w:r>
          </w:p>
        </w:tc>
        <w:tc>
          <w:tcPr>
            <w:tcW w:w="1110" w:type="dxa"/>
            <w:tcBorders>
              <w:top w:val="nil"/>
              <w:left w:val="nil"/>
              <w:bottom w:val="nil"/>
              <w:right w:val="single" w:sz="4" w:space="0" w:color="auto"/>
            </w:tcBorders>
            <w:shd w:val="clear" w:color="auto" w:fill="auto"/>
            <w:noWrap/>
            <w:vAlign w:val="bottom"/>
          </w:tcPr>
          <w:p w14:paraId="1445B9A7" w14:textId="4D65EEBE" w:rsidR="00822000" w:rsidRPr="004C30D8" w:rsidRDefault="40B3576B" w:rsidP="40B3576B">
            <w:pPr>
              <w:spacing w:after="0"/>
              <w:jc w:val="right"/>
              <w:rPr>
                <w:i/>
                <w:iCs/>
                <w:sz w:val="22"/>
                <w:szCs w:val="22"/>
              </w:rPr>
            </w:pPr>
            <w:r w:rsidRPr="40B3576B">
              <w:rPr>
                <w:i/>
                <w:iCs/>
                <w:sz w:val="22"/>
                <w:szCs w:val="22"/>
              </w:rPr>
              <w:t>36,3</w:t>
            </w:r>
          </w:p>
        </w:tc>
      </w:tr>
      <w:tr w:rsidR="00822000" w:rsidRPr="004C30D8" w14:paraId="3B42D0AF" w14:textId="77777777" w:rsidTr="40B3576B">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067E592" w14:textId="77777777" w:rsidR="00822000" w:rsidRPr="004C30D8" w:rsidRDefault="40B3576B" w:rsidP="40B3576B">
            <w:pPr>
              <w:spacing w:after="0"/>
              <w:jc w:val="left"/>
              <w:rPr>
                <w:sz w:val="22"/>
                <w:szCs w:val="22"/>
              </w:rPr>
            </w:pPr>
            <w:r w:rsidRPr="40B3576B">
              <w:rPr>
                <w:sz w:val="22"/>
                <w:szCs w:val="22"/>
              </w:rPr>
              <w:t> </w:t>
            </w:r>
          </w:p>
        </w:tc>
        <w:tc>
          <w:tcPr>
            <w:tcW w:w="340" w:type="dxa"/>
            <w:tcBorders>
              <w:top w:val="nil"/>
              <w:left w:val="nil"/>
              <w:bottom w:val="nil"/>
              <w:right w:val="nil"/>
            </w:tcBorders>
            <w:shd w:val="clear" w:color="auto" w:fill="FFFFFF" w:themeFill="background1"/>
            <w:noWrap/>
            <w:vAlign w:val="bottom"/>
            <w:hideMark/>
          </w:tcPr>
          <w:p w14:paraId="2CDEB7F4" w14:textId="77777777" w:rsidR="00822000" w:rsidRPr="004C30D8" w:rsidRDefault="40B3576B" w:rsidP="40B3576B">
            <w:pPr>
              <w:spacing w:after="0"/>
              <w:jc w:val="left"/>
              <w:rPr>
                <w:sz w:val="22"/>
                <w:szCs w:val="22"/>
              </w:rPr>
            </w:pPr>
            <w:r w:rsidRPr="40B3576B">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7743E208" w14:textId="77777777" w:rsidR="00822000" w:rsidRPr="004C30D8" w:rsidRDefault="40B3576B" w:rsidP="40B3576B">
            <w:pPr>
              <w:spacing w:after="0"/>
              <w:jc w:val="left"/>
              <w:rPr>
                <w:i/>
                <w:iCs/>
                <w:sz w:val="22"/>
                <w:szCs w:val="22"/>
              </w:rPr>
            </w:pPr>
            <w:r w:rsidRPr="40B3576B">
              <w:rPr>
                <w:i/>
                <w:iCs/>
                <w:sz w:val="22"/>
                <w:szCs w:val="22"/>
              </w:rPr>
              <w:t>2.1.4. Repóügyletek kamata</w:t>
            </w:r>
          </w:p>
        </w:tc>
        <w:tc>
          <w:tcPr>
            <w:tcW w:w="1134" w:type="dxa"/>
            <w:tcBorders>
              <w:top w:val="nil"/>
              <w:left w:val="single" w:sz="4" w:space="0" w:color="auto"/>
              <w:bottom w:val="nil"/>
              <w:right w:val="single" w:sz="4" w:space="0" w:color="auto"/>
            </w:tcBorders>
            <w:shd w:val="clear" w:color="auto" w:fill="auto"/>
            <w:noWrap/>
            <w:vAlign w:val="bottom"/>
          </w:tcPr>
          <w:p w14:paraId="024345B2" w14:textId="34AD05DA" w:rsidR="00822000" w:rsidRPr="004C30D8" w:rsidRDefault="40B3576B" w:rsidP="40B3576B">
            <w:pPr>
              <w:spacing w:after="0"/>
              <w:jc w:val="right"/>
              <w:rPr>
                <w:i/>
                <w:iCs/>
                <w:sz w:val="22"/>
                <w:szCs w:val="22"/>
              </w:rPr>
            </w:pPr>
            <w:r w:rsidRPr="40B3576B">
              <w:rPr>
                <w:i/>
                <w:iCs/>
                <w:sz w:val="22"/>
                <w:szCs w:val="22"/>
              </w:rPr>
              <w:t>0,0</w:t>
            </w:r>
          </w:p>
        </w:tc>
        <w:tc>
          <w:tcPr>
            <w:tcW w:w="1110" w:type="dxa"/>
            <w:tcBorders>
              <w:top w:val="nil"/>
              <w:left w:val="nil"/>
              <w:bottom w:val="nil"/>
              <w:right w:val="single" w:sz="4" w:space="0" w:color="auto"/>
            </w:tcBorders>
            <w:shd w:val="clear" w:color="auto" w:fill="auto"/>
            <w:noWrap/>
            <w:vAlign w:val="bottom"/>
          </w:tcPr>
          <w:p w14:paraId="69D569A5" w14:textId="0F94AC4F" w:rsidR="00822000" w:rsidRPr="004C30D8" w:rsidRDefault="40B3576B" w:rsidP="40B3576B">
            <w:pPr>
              <w:spacing w:after="0"/>
              <w:jc w:val="right"/>
              <w:rPr>
                <w:i/>
                <w:iCs/>
                <w:sz w:val="22"/>
                <w:szCs w:val="22"/>
              </w:rPr>
            </w:pPr>
            <w:r w:rsidRPr="40B3576B">
              <w:rPr>
                <w:i/>
                <w:iCs/>
                <w:sz w:val="22"/>
                <w:szCs w:val="22"/>
              </w:rPr>
              <w:t>0,0</w:t>
            </w:r>
          </w:p>
        </w:tc>
      </w:tr>
      <w:tr w:rsidR="00822000" w:rsidRPr="004C30D8" w14:paraId="3CDF4154" w14:textId="77777777" w:rsidTr="40B3576B">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0D4CB014" w14:textId="77777777" w:rsidR="00822000" w:rsidRPr="004C30D8" w:rsidRDefault="40B3576B" w:rsidP="40B3576B">
            <w:pPr>
              <w:spacing w:after="0"/>
              <w:jc w:val="left"/>
              <w:rPr>
                <w:sz w:val="22"/>
                <w:szCs w:val="22"/>
              </w:rPr>
            </w:pPr>
            <w:r w:rsidRPr="40B3576B">
              <w:rPr>
                <w:sz w:val="22"/>
                <w:szCs w:val="22"/>
              </w:rPr>
              <w:t> </w:t>
            </w:r>
          </w:p>
        </w:tc>
        <w:tc>
          <w:tcPr>
            <w:tcW w:w="340" w:type="dxa"/>
            <w:tcBorders>
              <w:top w:val="nil"/>
              <w:left w:val="nil"/>
              <w:bottom w:val="single" w:sz="4" w:space="0" w:color="auto"/>
              <w:right w:val="nil"/>
            </w:tcBorders>
            <w:shd w:val="clear" w:color="auto" w:fill="FFFFFF" w:themeFill="background1"/>
            <w:noWrap/>
            <w:vAlign w:val="bottom"/>
            <w:hideMark/>
          </w:tcPr>
          <w:p w14:paraId="520BB553" w14:textId="77777777" w:rsidR="00822000" w:rsidRPr="004C30D8" w:rsidRDefault="40B3576B" w:rsidP="40B3576B">
            <w:pPr>
              <w:spacing w:after="0"/>
              <w:jc w:val="left"/>
              <w:rPr>
                <w:sz w:val="22"/>
                <w:szCs w:val="22"/>
              </w:rPr>
            </w:pPr>
            <w:r w:rsidRPr="40B3576B">
              <w:rPr>
                <w:sz w:val="22"/>
                <w:szCs w:val="22"/>
              </w:rPr>
              <w:t> </w:t>
            </w:r>
          </w:p>
        </w:tc>
        <w:tc>
          <w:tcPr>
            <w:tcW w:w="4192" w:type="dxa"/>
            <w:tcBorders>
              <w:top w:val="nil"/>
              <w:left w:val="nil"/>
              <w:bottom w:val="single" w:sz="4" w:space="0" w:color="auto"/>
              <w:right w:val="single" w:sz="4" w:space="0" w:color="auto"/>
            </w:tcBorders>
            <w:shd w:val="clear" w:color="auto" w:fill="FFFFFF" w:themeFill="background1"/>
            <w:noWrap/>
            <w:vAlign w:val="bottom"/>
            <w:hideMark/>
          </w:tcPr>
          <w:p w14:paraId="263804A0" w14:textId="77777777" w:rsidR="00822000" w:rsidRPr="004C30D8" w:rsidRDefault="40B3576B" w:rsidP="40B3576B">
            <w:pPr>
              <w:spacing w:after="0"/>
              <w:jc w:val="left"/>
              <w:rPr>
                <w:i/>
                <w:iCs/>
                <w:sz w:val="22"/>
                <w:szCs w:val="22"/>
              </w:rPr>
            </w:pPr>
            <w:r w:rsidRPr="40B3576B">
              <w:rPr>
                <w:i/>
                <w:iCs/>
                <w:sz w:val="22"/>
                <w:szCs w:val="22"/>
              </w:rPr>
              <w:t>2.1.5. Egyéb függő tételek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E162EF0" w14:textId="68EECC80" w:rsidR="00822000" w:rsidRPr="004C30D8" w:rsidRDefault="40B3576B" w:rsidP="40B3576B">
            <w:pPr>
              <w:spacing w:after="0"/>
              <w:jc w:val="right"/>
              <w:rPr>
                <w:i/>
                <w:iCs/>
                <w:sz w:val="22"/>
                <w:szCs w:val="22"/>
              </w:rPr>
            </w:pPr>
            <w:r w:rsidRPr="40B3576B">
              <w:rPr>
                <w:i/>
                <w:iCs/>
                <w:sz w:val="22"/>
                <w:szCs w:val="22"/>
              </w:rPr>
              <w:t>0,0</w:t>
            </w:r>
          </w:p>
        </w:tc>
        <w:tc>
          <w:tcPr>
            <w:tcW w:w="1110" w:type="dxa"/>
            <w:tcBorders>
              <w:top w:val="nil"/>
              <w:left w:val="nil"/>
              <w:bottom w:val="single" w:sz="4" w:space="0" w:color="auto"/>
              <w:right w:val="single" w:sz="4" w:space="0" w:color="auto"/>
            </w:tcBorders>
            <w:shd w:val="clear" w:color="auto" w:fill="auto"/>
            <w:noWrap/>
            <w:vAlign w:val="bottom"/>
          </w:tcPr>
          <w:p w14:paraId="44138B99" w14:textId="20E36BC5" w:rsidR="00822000" w:rsidRPr="004C30D8" w:rsidRDefault="40B3576B" w:rsidP="40B3576B">
            <w:pPr>
              <w:spacing w:after="0"/>
              <w:jc w:val="right"/>
              <w:rPr>
                <w:i/>
                <w:iCs/>
                <w:sz w:val="22"/>
                <w:szCs w:val="22"/>
              </w:rPr>
            </w:pPr>
            <w:r w:rsidRPr="40B3576B">
              <w:rPr>
                <w:i/>
                <w:iCs/>
                <w:sz w:val="22"/>
                <w:szCs w:val="22"/>
              </w:rPr>
              <w:t>0,0</w:t>
            </w:r>
          </w:p>
        </w:tc>
      </w:tr>
      <w:tr w:rsidR="00822000" w:rsidRPr="004C30D8" w14:paraId="3E05B15A" w14:textId="77777777" w:rsidTr="40B3576B">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5BD9F7B3" w14:textId="77777777" w:rsidR="00822000" w:rsidRPr="004C30D8" w:rsidRDefault="40B3576B" w:rsidP="40B3576B">
            <w:pPr>
              <w:spacing w:after="0"/>
              <w:jc w:val="left"/>
              <w:rPr>
                <w:sz w:val="22"/>
                <w:szCs w:val="22"/>
              </w:rPr>
            </w:pPr>
            <w:r w:rsidRPr="40B3576B">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00731B" w14:textId="77777777" w:rsidR="00822000" w:rsidRPr="004C30D8" w:rsidRDefault="40B3576B" w:rsidP="40B3576B">
            <w:pPr>
              <w:spacing w:after="0"/>
              <w:jc w:val="left"/>
              <w:rPr>
                <w:b/>
                <w:bCs/>
                <w:sz w:val="22"/>
                <w:szCs w:val="22"/>
              </w:rPr>
            </w:pPr>
            <w:r w:rsidRPr="40B3576B">
              <w:rPr>
                <w:b/>
                <w:bCs/>
                <w:sz w:val="22"/>
                <w:szCs w:val="22"/>
              </w:rPr>
              <w:t>2.2. Deviza</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04CADEC" w14:textId="56B9AFEB" w:rsidR="00822000" w:rsidRPr="004C30D8" w:rsidRDefault="40B3576B" w:rsidP="40B3576B">
            <w:pPr>
              <w:spacing w:after="0"/>
              <w:jc w:val="right"/>
              <w:rPr>
                <w:b/>
                <w:bCs/>
                <w:sz w:val="22"/>
                <w:szCs w:val="22"/>
              </w:rPr>
            </w:pPr>
            <w:r w:rsidRPr="40B3576B">
              <w:rPr>
                <w:b/>
                <w:bCs/>
                <w:sz w:val="22"/>
                <w:szCs w:val="22"/>
              </w:rPr>
              <w:t>91,8</w:t>
            </w:r>
          </w:p>
        </w:tc>
        <w:tc>
          <w:tcPr>
            <w:tcW w:w="1110" w:type="dxa"/>
            <w:tcBorders>
              <w:top w:val="nil"/>
              <w:left w:val="nil"/>
              <w:bottom w:val="single" w:sz="4" w:space="0" w:color="auto"/>
              <w:right w:val="single" w:sz="4" w:space="0" w:color="auto"/>
            </w:tcBorders>
            <w:shd w:val="clear" w:color="auto" w:fill="auto"/>
            <w:noWrap/>
            <w:vAlign w:val="bottom"/>
          </w:tcPr>
          <w:p w14:paraId="08B90BC8" w14:textId="5E6A4DA4" w:rsidR="00822000" w:rsidRPr="004C30D8" w:rsidRDefault="40B3576B" w:rsidP="40B3576B">
            <w:pPr>
              <w:spacing w:after="0"/>
              <w:jc w:val="right"/>
              <w:rPr>
                <w:b/>
                <w:bCs/>
                <w:sz w:val="22"/>
                <w:szCs w:val="22"/>
              </w:rPr>
            </w:pPr>
            <w:r w:rsidRPr="40B3576B">
              <w:rPr>
                <w:b/>
                <w:bCs/>
                <w:sz w:val="22"/>
                <w:szCs w:val="22"/>
              </w:rPr>
              <w:t>112,1</w:t>
            </w:r>
          </w:p>
        </w:tc>
      </w:tr>
      <w:tr w:rsidR="00822000" w:rsidRPr="004C30D8" w14:paraId="3DD0AB63" w14:textId="77777777" w:rsidTr="40B3576B">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7B719E49" w14:textId="77777777" w:rsidR="00822000" w:rsidRPr="004C30D8" w:rsidRDefault="40B3576B" w:rsidP="40B3576B">
            <w:pPr>
              <w:spacing w:after="0"/>
              <w:jc w:val="left"/>
              <w:rPr>
                <w:sz w:val="22"/>
                <w:szCs w:val="22"/>
              </w:rPr>
            </w:pPr>
            <w:r w:rsidRPr="40B3576B">
              <w:rPr>
                <w:sz w:val="22"/>
                <w:szCs w:val="22"/>
              </w:rPr>
              <w:t> </w:t>
            </w:r>
          </w:p>
        </w:tc>
        <w:tc>
          <w:tcPr>
            <w:tcW w:w="340" w:type="dxa"/>
            <w:tcBorders>
              <w:top w:val="nil"/>
              <w:left w:val="nil"/>
              <w:bottom w:val="nil"/>
              <w:right w:val="nil"/>
            </w:tcBorders>
            <w:shd w:val="clear" w:color="auto" w:fill="FFFFFF" w:themeFill="background1"/>
            <w:noWrap/>
            <w:vAlign w:val="bottom"/>
            <w:hideMark/>
          </w:tcPr>
          <w:p w14:paraId="50D2597E" w14:textId="77777777" w:rsidR="00822000" w:rsidRPr="004C30D8" w:rsidRDefault="40B3576B" w:rsidP="40B3576B">
            <w:pPr>
              <w:spacing w:after="0"/>
              <w:jc w:val="left"/>
              <w:rPr>
                <w:sz w:val="22"/>
                <w:szCs w:val="22"/>
              </w:rPr>
            </w:pPr>
            <w:r w:rsidRPr="40B3576B">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0C02418" w14:textId="77777777" w:rsidR="00822000" w:rsidRPr="004C30D8" w:rsidRDefault="40B3576B" w:rsidP="40B3576B">
            <w:pPr>
              <w:spacing w:after="0"/>
              <w:jc w:val="left"/>
              <w:rPr>
                <w:i/>
                <w:iCs/>
                <w:sz w:val="22"/>
                <w:szCs w:val="22"/>
              </w:rPr>
            </w:pPr>
            <w:r w:rsidRPr="40B3576B">
              <w:rPr>
                <w:i/>
                <w:iCs/>
                <w:sz w:val="22"/>
                <w:szCs w:val="22"/>
              </w:rPr>
              <w:t>2.2.1. Devizahitelek kamata</w:t>
            </w:r>
          </w:p>
        </w:tc>
        <w:tc>
          <w:tcPr>
            <w:tcW w:w="1134" w:type="dxa"/>
            <w:tcBorders>
              <w:top w:val="nil"/>
              <w:left w:val="single" w:sz="4" w:space="0" w:color="auto"/>
              <w:bottom w:val="nil"/>
              <w:right w:val="single" w:sz="4" w:space="0" w:color="auto"/>
            </w:tcBorders>
            <w:shd w:val="clear" w:color="auto" w:fill="auto"/>
            <w:noWrap/>
            <w:vAlign w:val="bottom"/>
          </w:tcPr>
          <w:p w14:paraId="56358715" w14:textId="12906508" w:rsidR="00822000" w:rsidRPr="004C30D8" w:rsidRDefault="40B3576B" w:rsidP="40B3576B">
            <w:pPr>
              <w:spacing w:after="0"/>
              <w:jc w:val="right"/>
              <w:rPr>
                <w:i/>
                <w:iCs/>
                <w:sz w:val="22"/>
                <w:szCs w:val="22"/>
              </w:rPr>
            </w:pPr>
            <w:r w:rsidRPr="40B3576B">
              <w:rPr>
                <w:i/>
                <w:iCs/>
                <w:sz w:val="22"/>
                <w:szCs w:val="22"/>
              </w:rPr>
              <w:t>5,4</w:t>
            </w:r>
          </w:p>
        </w:tc>
        <w:tc>
          <w:tcPr>
            <w:tcW w:w="1110" w:type="dxa"/>
            <w:tcBorders>
              <w:top w:val="nil"/>
              <w:left w:val="nil"/>
              <w:bottom w:val="nil"/>
              <w:right w:val="single" w:sz="4" w:space="0" w:color="auto"/>
            </w:tcBorders>
            <w:shd w:val="clear" w:color="auto" w:fill="auto"/>
            <w:noWrap/>
            <w:vAlign w:val="bottom"/>
          </w:tcPr>
          <w:p w14:paraId="5E8C0CB7" w14:textId="0B613811" w:rsidR="00822000" w:rsidRPr="004C30D8" w:rsidRDefault="40B3576B" w:rsidP="40B3576B">
            <w:pPr>
              <w:spacing w:after="0"/>
              <w:jc w:val="right"/>
              <w:rPr>
                <w:i/>
                <w:iCs/>
                <w:sz w:val="22"/>
                <w:szCs w:val="22"/>
              </w:rPr>
            </w:pPr>
            <w:r w:rsidRPr="40B3576B">
              <w:rPr>
                <w:i/>
                <w:iCs/>
                <w:sz w:val="22"/>
                <w:szCs w:val="22"/>
              </w:rPr>
              <w:t>6,5</w:t>
            </w:r>
          </w:p>
        </w:tc>
      </w:tr>
      <w:tr w:rsidR="00822000" w:rsidRPr="004C30D8" w14:paraId="127E54F2" w14:textId="77777777" w:rsidTr="40B3576B">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94BC5D1" w14:textId="77777777" w:rsidR="00822000" w:rsidRPr="004C30D8" w:rsidRDefault="40B3576B" w:rsidP="40B3576B">
            <w:pPr>
              <w:spacing w:after="0"/>
              <w:jc w:val="left"/>
              <w:rPr>
                <w:sz w:val="22"/>
                <w:szCs w:val="22"/>
              </w:rPr>
            </w:pPr>
            <w:r w:rsidRPr="40B3576B">
              <w:rPr>
                <w:sz w:val="22"/>
                <w:szCs w:val="22"/>
              </w:rPr>
              <w:t> </w:t>
            </w:r>
          </w:p>
        </w:tc>
        <w:tc>
          <w:tcPr>
            <w:tcW w:w="340" w:type="dxa"/>
            <w:tcBorders>
              <w:top w:val="nil"/>
              <w:left w:val="nil"/>
              <w:bottom w:val="nil"/>
              <w:right w:val="nil"/>
            </w:tcBorders>
            <w:shd w:val="clear" w:color="auto" w:fill="FFFFFF" w:themeFill="background1"/>
            <w:noWrap/>
            <w:vAlign w:val="bottom"/>
            <w:hideMark/>
          </w:tcPr>
          <w:p w14:paraId="3AF09607" w14:textId="77777777" w:rsidR="00822000" w:rsidRPr="004C30D8" w:rsidRDefault="40B3576B" w:rsidP="40B3576B">
            <w:pPr>
              <w:spacing w:after="0"/>
              <w:jc w:val="left"/>
              <w:rPr>
                <w:sz w:val="22"/>
                <w:szCs w:val="22"/>
              </w:rPr>
            </w:pPr>
            <w:r w:rsidRPr="40B3576B">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AB85FBD" w14:textId="77777777" w:rsidR="00822000" w:rsidRPr="004C30D8" w:rsidRDefault="40B3576B" w:rsidP="40B3576B">
            <w:pPr>
              <w:spacing w:after="0"/>
              <w:jc w:val="left"/>
              <w:rPr>
                <w:i/>
                <w:iCs/>
                <w:sz w:val="22"/>
                <w:szCs w:val="22"/>
              </w:rPr>
            </w:pPr>
            <w:r w:rsidRPr="40B3576B">
              <w:rPr>
                <w:i/>
                <w:iCs/>
                <w:sz w:val="22"/>
                <w:szCs w:val="22"/>
              </w:rPr>
              <w:t>2.2.2. Devizakötvények kamata</w:t>
            </w:r>
          </w:p>
        </w:tc>
        <w:tc>
          <w:tcPr>
            <w:tcW w:w="1134" w:type="dxa"/>
            <w:tcBorders>
              <w:top w:val="nil"/>
              <w:left w:val="single" w:sz="4" w:space="0" w:color="auto"/>
              <w:bottom w:val="nil"/>
              <w:right w:val="single" w:sz="4" w:space="0" w:color="auto"/>
            </w:tcBorders>
            <w:shd w:val="clear" w:color="auto" w:fill="auto"/>
            <w:noWrap/>
            <w:vAlign w:val="bottom"/>
          </w:tcPr>
          <w:p w14:paraId="4E3D9D4B" w14:textId="3032794A" w:rsidR="00822000" w:rsidRPr="004C30D8" w:rsidRDefault="40B3576B" w:rsidP="40B3576B">
            <w:pPr>
              <w:spacing w:after="0"/>
              <w:jc w:val="right"/>
              <w:rPr>
                <w:i/>
                <w:iCs/>
                <w:sz w:val="22"/>
                <w:szCs w:val="22"/>
              </w:rPr>
            </w:pPr>
            <w:r w:rsidRPr="40B3576B">
              <w:rPr>
                <w:i/>
                <w:iCs/>
                <w:sz w:val="22"/>
                <w:szCs w:val="22"/>
              </w:rPr>
              <w:t>86,4</w:t>
            </w:r>
          </w:p>
        </w:tc>
        <w:tc>
          <w:tcPr>
            <w:tcW w:w="1110" w:type="dxa"/>
            <w:tcBorders>
              <w:top w:val="nil"/>
              <w:left w:val="nil"/>
              <w:bottom w:val="nil"/>
              <w:right w:val="single" w:sz="4" w:space="0" w:color="auto"/>
            </w:tcBorders>
            <w:shd w:val="clear" w:color="auto" w:fill="auto"/>
            <w:noWrap/>
            <w:vAlign w:val="bottom"/>
          </w:tcPr>
          <w:p w14:paraId="2CC81299" w14:textId="716BB4F5" w:rsidR="00822000" w:rsidRPr="004C30D8" w:rsidRDefault="40B3576B" w:rsidP="40B3576B">
            <w:pPr>
              <w:spacing w:after="0"/>
              <w:jc w:val="right"/>
              <w:rPr>
                <w:i/>
                <w:iCs/>
                <w:sz w:val="22"/>
                <w:szCs w:val="22"/>
              </w:rPr>
            </w:pPr>
            <w:r w:rsidRPr="40B3576B">
              <w:rPr>
                <w:i/>
                <w:iCs/>
                <w:sz w:val="22"/>
                <w:szCs w:val="22"/>
              </w:rPr>
              <w:t>105,6</w:t>
            </w:r>
          </w:p>
        </w:tc>
      </w:tr>
      <w:tr w:rsidR="004C30D8" w:rsidRPr="004C30D8" w14:paraId="123C030E" w14:textId="77777777" w:rsidTr="40B3576B">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138D87D5" w14:textId="77777777" w:rsidR="004C30D8" w:rsidRPr="004C30D8" w:rsidRDefault="40B3576B" w:rsidP="40B3576B">
            <w:pPr>
              <w:spacing w:after="0"/>
              <w:jc w:val="left"/>
              <w:rPr>
                <w:sz w:val="22"/>
                <w:szCs w:val="22"/>
              </w:rPr>
            </w:pPr>
            <w:r w:rsidRPr="40B3576B">
              <w:rPr>
                <w:sz w:val="22"/>
                <w:szCs w:val="22"/>
              </w:rPr>
              <w:t> </w:t>
            </w:r>
          </w:p>
        </w:tc>
        <w:tc>
          <w:tcPr>
            <w:tcW w:w="340" w:type="dxa"/>
            <w:tcBorders>
              <w:top w:val="single" w:sz="4" w:space="0" w:color="auto"/>
              <w:left w:val="nil"/>
              <w:bottom w:val="single" w:sz="4" w:space="0" w:color="auto"/>
              <w:right w:val="nil"/>
            </w:tcBorders>
            <w:shd w:val="clear" w:color="auto" w:fill="FFFFFF" w:themeFill="background1"/>
            <w:noWrap/>
            <w:vAlign w:val="bottom"/>
            <w:hideMark/>
          </w:tcPr>
          <w:p w14:paraId="37A0A788" w14:textId="77777777" w:rsidR="004C30D8" w:rsidRPr="004C30D8" w:rsidRDefault="40B3576B" w:rsidP="40B3576B">
            <w:pPr>
              <w:spacing w:after="0"/>
              <w:jc w:val="left"/>
              <w:rPr>
                <w:sz w:val="22"/>
                <w:szCs w:val="22"/>
              </w:rPr>
            </w:pPr>
            <w:r w:rsidRPr="40B3576B">
              <w:rPr>
                <w:sz w:val="22"/>
                <w:szCs w:val="22"/>
              </w:rPr>
              <w:t> </w:t>
            </w:r>
          </w:p>
        </w:tc>
        <w:tc>
          <w:tcPr>
            <w:tcW w:w="41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47EC3E" w14:textId="77777777" w:rsidR="004C30D8" w:rsidRPr="004C30D8" w:rsidRDefault="40B3576B" w:rsidP="40B3576B">
            <w:pPr>
              <w:spacing w:after="0"/>
              <w:jc w:val="left"/>
              <w:rPr>
                <w:sz w:val="22"/>
                <w:szCs w:val="22"/>
              </w:rPr>
            </w:pPr>
            <w:r w:rsidRPr="40B3576B">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EC636" w14:textId="6D850F3C" w:rsidR="004C30D8" w:rsidRPr="004C30D8" w:rsidRDefault="004C30D8" w:rsidP="27083F14">
            <w:pPr>
              <w:spacing w:after="0"/>
              <w:jc w:val="left"/>
              <w:rPr>
                <w:sz w:val="22"/>
                <w:szCs w:val="22"/>
              </w:rPr>
            </w:pP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4E46EE97" w14:textId="1795EBD5" w:rsidR="004C30D8" w:rsidRPr="004C30D8" w:rsidRDefault="004C30D8" w:rsidP="27083F14">
            <w:pPr>
              <w:spacing w:after="0"/>
              <w:jc w:val="left"/>
              <w:rPr>
                <w:sz w:val="22"/>
                <w:szCs w:val="22"/>
              </w:rPr>
            </w:pPr>
          </w:p>
        </w:tc>
      </w:tr>
      <w:tr w:rsidR="00822000" w:rsidRPr="004C30D8" w14:paraId="18498B80" w14:textId="77777777" w:rsidTr="40B3576B">
        <w:trPr>
          <w:trHeight w:val="285"/>
          <w:jc w:val="center"/>
        </w:trPr>
        <w:tc>
          <w:tcPr>
            <w:tcW w:w="4727"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34DEEA7" w14:textId="77777777" w:rsidR="00822000" w:rsidRPr="004C30D8" w:rsidRDefault="40B3576B" w:rsidP="40B3576B">
            <w:pPr>
              <w:spacing w:after="0"/>
              <w:jc w:val="left"/>
              <w:rPr>
                <w:b/>
                <w:bCs/>
                <w:sz w:val="22"/>
                <w:szCs w:val="22"/>
              </w:rPr>
            </w:pPr>
            <w:r w:rsidRPr="40B3576B">
              <w:rPr>
                <w:b/>
                <w:bCs/>
                <w:sz w:val="22"/>
                <w:szCs w:val="22"/>
              </w:rPr>
              <w:t>3. Kamategyenleg</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FC949D7" w14:textId="103C8314" w:rsidR="00822000" w:rsidRPr="004C30D8" w:rsidRDefault="40B3576B" w:rsidP="40B3576B">
            <w:pPr>
              <w:spacing w:after="0"/>
              <w:jc w:val="right"/>
              <w:rPr>
                <w:b/>
                <w:bCs/>
                <w:sz w:val="22"/>
                <w:szCs w:val="22"/>
              </w:rPr>
            </w:pPr>
            <w:r w:rsidRPr="40B3576B">
              <w:rPr>
                <w:b/>
                <w:bCs/>
                <w:sz w:val="22"/>
                <w:szCs w:val="22"/>
              </w:rPr>
              <w:t>149,9</w:t>
            </w:r>
          </w:p>
        </w:tc>
        <w:tc>
          <w:tcPr>
            <w:tcW w:w="1110" w:type="dxa"/>
            <w:tcBorders>
              <w:top w:val="nil"/>
              <w:left w:val="nil"/>
              <w:bottom w:val="single" w:sz="4" w:space="0" w:color="auto"/>
              <w:right w:val="single" w:sz="4" w:space="0" w:color="auto"/>
            </w:tcBorders>
            <w:shd w:val="clear" w:color="auto" w:fill="auto"/>
            <w:noWrap/>
            <w:vAlign w:val="center"/>
          </w:tcPr>
          <w:p w14:paraId="6822C0C1" w14:textId="6F7CB8EE" w:rsidR="00822000" w:rsidRPr="004C30D8" w:rsidRDefault="40B3576B" w:rsidP="40B3576B">
            <w:pPr>
              <w:spacing w:after="0"/>
              <w:jc w:val="right"/>
              <w:rPr>
                <w:b/>
                <w:bCs/>
                <w:sz w:val="22"/>
                <w:szCs w:val="22"/>
              </w:rPr>
            </w:pPr>
            <w:r w:rsidRPr="40B3576B">
              <w:rPr>
                <w:b/>
                <w:bCs/>
                <w:sz w:val="22"/>
                <w:szCs w:val="22"/>
              </w:rPr>
              <w:t>225,1</w:t>
            </w:r>
          </w:p>
        </w:tc>
      </w:tr>
    </w:tbl>
    <w:p w14:paraId="5D4F03D9" w14:textId="07AF30E8" w:rsidR="00D52A69" w:rsidRPr="29F45AC7" w:rsidRDefault="00E4079D" w:rsidP="00D52A69">
      <w:pPr>
        <w:tabs>
          <w:tab w:val="left" w:pos="550"/>
        </w:tabs>
        <w:spacing w:before="120"/>
        <w:rPr>
          <w:caps/>
        </w:rPr>
      </w:pPr>
      <w:r w:rsidRPr="113728CE">
        <w:rPr>
          <w:caps/>
        </w:rPr>
        <w:br w:type="page"/>
      </w:r>
    </w:p>
    <w:p w14:paraId="5D4F0440" w14:textId="417C1316" w:rsidR="00B93477" w:rsidRDefault="40B3576B" w:rsidP="40B3576B">
      <w:pPr>
        <w:pStyle w:val="Cmsor4"/>
        <w:ind w:right="-1"/>
        <w:jc w:val="center"/>
        <w:rPr>
          <w:caps/>
        </w:rPr>
      </w:pPr>
      <w:r w:rsidRPr="40B3576B">
        <w:rPr>
          <w:caps/>
        </w:rPr>
        <w:lastRenderedPageBreak/>
        <w:t>II.</w:t>
      </w:r>
      <w:r w:rsidR="5B83E8AE">
        <w:br/>
      </w:r>
      <w:r w:rsidRPr="40B3576B">
        <w:rPr>
          <w:caps/>
        </w:rPr>
        <w:t>Az államháztartás központi alrendszerének finanszírozása</w:t>
      </w:r>
    </w:p>
    <w:p w14:paraId="64D3034E" w14:textId="77777777" w:rsidR="00650CB3" w:rsidRPr="00650CB3" w:rsidRDefault="00650CB3" w:rsidP="00650CB3"/>
    <w:p w14:paraId="5D4F0441" w14:textId="77777777" w:rsidR="006E2559" w:rsidRDefault="40B3576B" w:rsidP="27083F14">
      <w:pPr>
        <w:pStyle w:val="Cmsor4"/>
        <w:numPr>
          <w:ilvl w:val="0"/>
          <w:numId w:val="5"/>
        </w:numPr>
        <w:spacing w:before="120"/>
        <w:ind w:left="567" w:hanging="567"/>
      </w:pPr>
      <w:r>
        <w:t xml:space="preserve">Állományi adatok </w:t>
      </w:r>
    </w:p>
    <w:p w14:paraId="71E9D73F" w14:textId="77777777" w:rsidR="003D386B" w:rsidRPr="00404CBC" w:rsidRDefault="40B3576B" w:rsidP="003D386B">
      <w:pPr>
        <w:spacing w:after="240"/>
        <w:ind w:right="23"/>
        <w:rPr>
          <w:bCs/>
          <w:szCs w:val="26"/>
        </w:rPr>
      </w:pPr>
      <w:r w:rsidRPr="40B3576B">
        <w:rPr>
          <w:b/>
          <w:bCs/>
        </w:rPr>
        <w:t xml:space="preserve">A központi költségvetés adóssága május </w:t>
      </w:r>
      <w:r>
        <w:t xml:space="preserve">végéig 1474,8 milliárd forinttal </w:t>
      </w:r>
      <w:r w:rsidRPr="40B3576B">
        <w:rPr>
          <w:b/>
          <w:bCs/>
        </w:rPr>
        <w:t xml:space="preserve">növekedett </w:t>
      </w:r>
      <w:r>
        <w:t>a következő négy tényező eredményeképpen:</w:t>
      </w:r>
    </w:p>
    <w:p w14:paraId="32F37FF4" w14:textId="77777777" w:rsidR="003D386B" w:rsidRPr="00404CBC" w:rsidRDefault="40B3576B" w:rsidP="40B3576B">
      <w:pPr>
        <w:numPr>
          <w:ilvl w:val="0"/>
          <w:numId w:val="7"/>
        </w:numPr>
        <w:spacing w:before="120" w:after="240"/>
        <w:ind w:left="714" w:right="23" w:hanging="357"/>
        <w:rPr>
          <w:b/>
          <w:bCs/>
        </w:rPr>
      </w:pPr>
      <w:r w:rsidRPr="40B3576B">
        <w:rPr>
          <w:b/>
          <w:bCs/>
        </w:rPr>
        <w:t>Az első tényező</w:t>
      </w:r>
      <w:r>
        <w:t xml:space="preserve"> a nettó forintkibocsátás 1153,3 milliárd forint összegben, ami a költségvetés hiányát finanszírozza, illetve a KESZ egyenlegét növeli.</w:t>
      </w:r>
    </w:p>
    <w:p w14:paraId="4280750E" w14:textId="77777777" w:rsidR="003D386B" w:rsidRPr="00404CBC" w:rsidRDefault="40B3576B" w:rsidP="40B3576B">
      <w:pPr>
        <w:numPr>
          <w:ilvl w:val="0"/>
          <w:numId w:val="7"/>
        </w:numPr>
        <w:spacing w:before="120" w:after="240"/>
        <w:ind w:left="714" w:right="23" w:hanging="357"/>
      </w:pPr>
      <w:r w:rsidRPr="40B3576B">
        <w:rPr>
          <w:b/>
          <w:bCs/>
        </w:rPr>
        <w:t xml:space="preserve">A második – növelő hatású – tényező </w:t>
      </w:r>
      <w:r>
        <w:t>a forint árfolyamának az elmúlt év végéhez képest bekövetkezett gyengülése, amely az adósság devizában fennálló részének forintban számított nyilvántartási értékét 242,4 milliárd forinttal növelte.</w:t>
      </w:r>
    </w:p>
    <w:p w14:paraId="55176384" w14:textId="77777777" w:rsidR="003D386B" w:rsidRPr="00404CBC" w:rsidRDefault="40B3576B" w:rsidP="40B3576B">
      <w:pPr>
        <w:numPr>
          <w:ilvl w:val="0"/>
          <w:numId w:val="7"/>
        </w:numPr>
        <w:spacing w:after="240"/>
        <w:ind w:right="23"/>
      </w:pPr>
      <w:r w:rsidRPr="40B3576B">
        <w:rPr>
          <w:b/>
          <w:bCs/>
        </w:rPr>
        <w:t xml:space="preserve">A harmadik – szintén növelő hatású – tényező </w:t>
      </w:r>
      <w:r>
        <w:t xml:space="preserve">a deviza-keresztárfolyamok változása és egyéb tényezők miatt bekövetkezett mark-to-market betétállományok növekedése 76,8 milliárd forint összegben. </w:t>
      </w:r>
    </w:p>
    <w:p w14:paraId="6773627F" w14:textId="7D519917" w:rsidR="00137A21" w:rsidRPr="00A373CF" w:rsidRDefault="40B3576B" w:rsidP="40B3576B">
      <w:pPr>
        <w:numPr>
          <w:ilvl w:val="0"/>
          <w:numId w:val="7"/>
        </w:numPr>
        <w:spacing w:before="120" w:after="240"/>
        <w:ind w:right="23"/>
        <w:rPr>
          <w:b/>
          <w:bCs/>
        </w:rPr>
      </w:pPr>
      <w:r w:rsidRPr="40B3576B">
        <w:rPr>
          <w:b/>
          <w:bCs/>
        </w:rPr>
        <w:t xml:space="preserve">A negyedik – további növelő hatású – tényező </w:t>
      </w:r>
      <w:r>
        <w:t>a nettó devizakibocsátás, amely 2,3 milliárd forinttal növelte a költségvetés adósságát.</w:t>
      </w:r>
    </w:p>
    <w:p w14:paraId="509339C9" w14:textId="77777777" w:rsidR="00427794" w:rsidRDefault="00427794" w:rsidP="00427794">
      <w:pPr>
        <w:numPr>
          <w:ilvl w:val="0"/>
          <w:numId w:val="7"/>
        </w:numPr>
        <w:spacing w:before="120"/>
        <w:ind w:left="714" w:right="23" w:hanging="357"/>
        <w:rPr>
          <w:bCs/>
          <w:szCs w:val="26"/>
        </w:rPr>
        <w:sectPr w:rsidR="00427794" w:rsidSect="00D46179">
          <w:headerReference w:type="default" r:id="rId25"/>
          <w:headerReference w:type="first" r:id="rId26"/>
          <w:footnotePr>
            <w:numRestart w:val="eachPage"/>
          </w:footnotePr>
          <w:pgSz w:w="11907" w:h="16840" w:code="9"/>
          <w:pgMar w:top="1134" w:right="1134" w:bottom="1418" w:left="1418" w:header="709" w:footer="709" w:gutter="0"/>
          <w:pgNumType w:start="1"/>
          <w:cols w:space="708"/>
          <w:docGrid w:linePitch="354"/>
        </w:sectPr>
      </w:pPr>
    </w:p>
    <w:p w14:paraId="405D8FE5" w14:textId="7553948F" w:rsidR="00256EE8" w:rsidRPr="00256EE8" w:rsidRDefault="40B3576B" w:rsidP="00D94F6F">
      <w:pPr>
        <w:ind w:right="23"/>
        <w:rPr>
          <w:bCs/>
          <w:szCs w:val="26"/>
        </w:rPr>
      </w:pPr>
      <w:r>
        <w:lastRenderedPageBreak/>
        <w:t xml:space="preserve">Az előzetes adatok szerint május végén a </w:t>
      </w:r>
      <w:r w:rsidRPr="40B3576B">
        <w:rPr>
          <w:b/>
          <w:bCs/>
        </w:rPr>
        <w:t xml:space="preserve">központi költségvetés forint- és devizaadóssága </w:t>
      </w:r>
      <w:r>
        <w:t>az alábbiak szerint alakult:</w:t>
      </w:r>
    </w:p>
    <w:p w14:paraId="45726EA9" w14:textId="108B1B9A" w:rsidR="00BF18EE" w:rsidRDefault="40B3576B" w:rsidP="00D94F6F">
      <w:pPr>
        <w:overflowPunct w:val="0"/>
        <w:autoSpaceDE w:val="0"/>
        <w:autoSpaceDN w:val="0"/>
        <w:adjustRightInd w:val="0"/>
        <w:spacing w:before="240" w:after="240"/>
        <w:ind w:right="23"/>
        <w:jc w:val="center"/>
        <w:textAlignment w:val="baseline"/>
      </w:pPr>
      <w:r>
        <w:t>A központi költségvetés adósságának alakulása 2020-ban, milliárd forint</w:t>
      </w:r>
    </w:p>
    <w:p w14:paraId="689D04B3" w14:textId="58651D1F" w:rsidR="009773BE" w:rsidRDefault="003D386B" w:rsidP="00D94F6F">
      <w:pPr>
        <w:overflowPunct w:val="0"/>
        <w:autoSpaceDE w:val="0"/>
        <w:autoSpaceDN w:val="0"/>
        <w:adjustRightInd w:val="0"/>
        <w:ind w:right="23"/>
        <w:jc w:val="center"/>
        <w:textAlignment w:val="baseline"/>
      </w:pPr>
      <w:r w:rsidRPr="003D386B">
        <w:rPr>
          <w:noProof/>
        </w:rPr>
        <w:drawing>
          <wp:inline distT="0" distB="0" distL="0" distR="0" wp14:anchorId="7D5176A2" wp14:editId="083C4C72">
            <wp:extent cx="9072880" cy="3926203"/>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72880" cy="3926203"/>
                    </a:xfrm>
                    <a:prstGeom prst="rect">
                      <a:avLst/>
                    </a:prstGeom>
                    <a:noFill/>
                    <a:ln>
                      <a:noFill/>
                    </a:ln>
                  </pic:spPr>
                </pic:pic>
              </a:graphicData>
            </a:graphic>
          </wp:inline>
        </w:drawing>
      </w:r>
    </w:p>
    <w:p w14:paraId="6ECE2FDE" w14:textId="12A9786E" w:rsidR="00E6275A" w:rsidRPr="00DB479B" w:rsidRDefault="40B3576B" w:rsidP="40B3576B">
      <w:pPr>
        <w:rPr>
          <w:sz w:val="20"/>
        </w:rPr>
      </w:pPr>
      <w:r w:rsidRPr="40B3576B">
        <w:rPr>
          <w:i/>
          <w:iCs/>
          <w:sz w:val="20"/>
        </w:rPr>
        <w:t>Megjegyzés: a táblában szereplő tizedes eltérések kerekítésből adódnak.</w:t>
      </w:r>
    </w:p>
    <w:p w14:paraId="5D4F044B" w14:textId="77777777" w:rsidR="00881044" w:rsidRDefault="00881044" w:rsidP="00694CFA">
      <w:pPr>
        <w:overflowPunct w:val="0"/>
        <w:autoSpaceDE w:val="0"/>
        <w:autoSpaceDN w:val="0"/>
        <w:adjustRightInd w:val="0"/>
        <w:spacing w:before="120"/>
        <w:ind w:right="23"/>
        <w:textAlignment w:val="baseline"/>
        <w:rPr>
          <w:b/>
          <w:bCs/>
          <w:szCs w:val="26"/>
        </w:rPr>
        <w:sectPr w:rsidR="00881044" w:rsidSect="00D46179">
          <w:headerReference w:type="default" r:id="rId28"/>
          <w:headerReference w:type="first" r:id="rId29"/>
          <w:footnotePr>
            <w:numRestart w:val="eachPage"/>
          </w:footnotePr>
          <w:pgSz w:w="16840" w:h="11907" w:orient="landscape" w:code="9"/>
          <w:pgMar w:top="993" w:right="1134" w:bottom="1134" w:left="1418" w:header="709" w:footer="709" w:gutter="0"/>
          <w:cols w:space="708"/>
          <w:titlePg/>
        </w:sectPr>
      </w:pPr>
    </w:p>
    <w:p w14:paraId="644FBCEE" w14:textId="3F35F34C" w:rsidR="00101917" w:rsidRPr="00EB3C6A" w:rsidRDefault="40B3576B" w:rsidP="40B3576B">
      <w:pPr>
        <w:pStyle w:val="Szvegtrzs"/>
        <w:rPr>
          <w:color w:val="auto"/>
        </w:rPr>
      </w:pPr>
      <w:r w:rsidRPr="40B3576B">
        <w:rPr>
          <w:b/>
          <w:bCs/>
          <w:color w:val="auto"/>
        </w:rPr>
        <w:lastRenderedPageBreak/>
        <w:t>A központi költségvetés devizaadóssága</w:t>
      </w:r>
      <w:r w:rsidRPr="40B3576B">
        <w:rPr>
          <w:color w:val="auto"/>
        </w:rPr>
        <w:t xml:space="preserve"> május végéig 244,6 milliárd forinttal 5365,8 milliárd forintra növekedett az elmúlt év végéhez képest. A devizaadósság részaránya a 2019. év végi 17,3%-os szintről 17,2%-os szintre mérséklődött a teljes adósságon belül.</w:t>
      </w:r>
    </w:p>
    <w:p w14:paraId="5CB02E9E" w14:textId="77777777" w:rsidR="00EB3C6A" w:rsidRPr="00EB3C6A" w:rsidRDefault="40B3576B" w:rsidP="00EB3C6A">
      <w:pPr>
        <w:spacing w:before="240"/>
        <w:rPr>
          <w:szCs w:val="26"/>
        </w:rPr>
      </w:pPr>
      <w:r w:rsidRPr="40B3576B">
        <w:rPr>
          <w:b/>
          <w:bCs/>
        </w:rPr>
        <w:t>A költségvetés forintadóssága</w:t>
      </w:r>
      <w:r>
        <w:t xml:space="preserve"> május végéig 1153,3 milliárd forinttal nőtt, és 25 510,4 milliárd forintot ért el, a forint részarány a teljes államadósság 81,9%-át teszi ki. 2019 decemberében ez az arány 82,1% volt.</w:t>
      </w:r>
    </w:p>
    <w:p w14:paraId="6DF93AC3" w14:textId="0EC7A94C" w:rsidR="00EB3C6A" w:rsidRPr="00EB3C6A" w:rsidRDefault="40B3576B" w:rsidP="00EB3C6A">
      <w:pPr>
        <w:spacing w:before="120"/>
        <w:rPr>
          <w:szCs w:val="26"/>
        </w:rPr>
      </w:pPr>
      <w:r>
        <w:t>2020. május végén a lakossági állampapírok állománya 8754,9 milliárd forintot tett ki, ami 319,1 milliárd forint csökkenést jelent 2019. december vége óta. A csökkenést elsősorban a koronavírus-járvány következtében kialakult bizonytalan helyzet, valamint az egyéb intézményi befektetők tulajdonában lévő lakossági állampapírok lejárata okozta. A kijárási korlátozások következtében jelentősen visszaesett lakossági állampapír</w:t>
      </w:r>
      <w:r w:rsidR="005B192D">
        <w:t>-</w:t>
      </w:r>
      <w:r>
        <w:t>kereslet döntő hányadát a Magyar Állampapír Plusz értékesítése képezte.</w:t>
      </w:r>
    </w:p>
    <w:p w14:paraId="0D50431A" w14:textId="77777777" w:rsidR="00EB3C6A" w:rsidRPr="00EB3C6A" w:rsidRDefault="40B3576B" w:rsidP="40B3576B">
      <w:pPr>
        <w:pStyle w:val="Default"/>
        <w:spacing w:before="120"/>
        <w:jc w:val="both"/>
        <w:rPr>
          <w:rFonts w:ascii="Times New Roman" w:hAnsi="Times New Roman" w:cs="Times New Roman"/>
          <w:color w:val="auto"/>
          <w:sz w:val="26"/>
          <w:szCs w:val="26"/>
        </w:rPr>
      </w:pPr>
      <w:r w:rsidRPr="40B3576B">
        <w:rPr>
          <w:rFonts w:ascii="Times New Roman" w:hAnsi="Times New Roman" w:cs="Times New Roman"/>
          <w:color w:val="auto"/>
          <w:sz w:val="26"/>
          <w:szCs w:val="26"/>
        </w:rPr>
        <w:t>A kizárólag lakossági ügyfelek által vásárolható Magyar Állampapír Plusz állomány május végéig 811,3 milliárd forinttal növekedett, hó végére 3947,3 milliárd forintot ért el. A nyomdai úton előállított Magyar Állampapír Plusz állománya 82,3 milliárd forint növekedés következtében 142,5 milliárd forint volt hó végén. Az egy évnél hosszabb futamidejű Prémium Magyar Állampapír állománya, a forgalmazóktól történő visszavásárlás következtében 2020. május végén 27,3 milliárd forinttal csökkent, amely így 2491,1 milliárd forintot tett ki.</w:t>
      </w:r>
    </w:p>
    <w:p w14:paraId="5B2B0473" w14:textId="67CCB819" w:rsidR="00EB3C6A" w:rsidRPr="00EB3C6A" w:rsidRDefault="40B3576B" w:rsidP="40B3576B">
      <w:pPr>
        <w:pStyle w:val="Default"/>
        <w:spacing w:before="120"/>
        <w:jc w:val="both"/>
        <w:rPr>
          <w:rFonts w:ascii="Times New Roman" w:hAnsi="Times New Roman" w:cs="Times New Roman"/>
          <w:color w:val="auto"/>
          <w:sz w:val="26"/>
          <w:szCs w:val="26"/>
        </w:rPr>
      </w:pPr>
      <w:r w:rsidRPr="40B3576B">
        <w:rPr>
          <w:rFonts w:ascii="Times New Roman" w:hAnsi="Times New Roman" w:cs="Times New Roman"/>
          <w:color w:val="auto"/>
          <w:sz w:val="26"/>
          <w:szCs w:val="26"/>
        </w:rPr>
        <w:t>A már nem értékesített Bónusz Magyar Állampapír 262,4 milliárd forint csökkenést követően 189,0 milliárd forintos állománnyal zárt hó végén. A kétéves futamidejű, fix kamatozású állampapír állománya 64,3 milliárd forint összegű csökkenése következtében 150,8 milliárd forintra mérséklődött május hó végéig. Az Egyéves Magyar Állampapír állománya 1350,3 milliárd forint volt május végén, ami 807,7 milliárd forinttal alacsonyabb a 2019. év végi állománynál. Az Egyéves Magyar Állampapír állománycsökkenés</w:t>
      </w:r>
      <w:r w:rsidR="00586B99">
        <w:rPr>
          <w:rFonts w:ascii="Times New Roman" w:hAnsi="Times New Roman" w:cs="Times New Roman"/>
          <w:color w:val="auto"/>
          <w:sz w:val="26"/>
          <w:szCs w:val="26"/>
        </w:rPr>
        <w:t>ének</w:t>
      </w:r>
      <w:r w:rsidRPr="40B3576B">
        <w:rPr>
          <w:rFonts w:ascii="Times New Roman" w:hAnsi="Times New Roman" w:cs="Times New Roman"/>
          <w:color w:val="auto"/>
          <w:sz w:val="26"/>
          <w:szCs w:val="26"/>
        </w:rPr>
        <w:t xml:space="preserve"> oka az intézményi lejáratok mellett, hogy a lakossági befektetők lejáró értékpapírjaikból képződő bevételeiket Magyar Állampapír Plusz vásárlására fordítják.</w:t>
      </w:r>
    </w:p>
    <w:p w14:paraId="1C569EF9" w14:textId="77777777" w:rsidR="00EB3C6A" w:rsidRPr="00EB3C6A" w:rsidRDefault="40B3576B" w:rsidP="40B3576B">
      <w:pPr>
        <w:pStyle w:val="Default"/>
        <w:spacing w:before="120"/>
        <w:jc w:val="both"/>
        <w:rPr>
          <w:rFonts w:ascii="Times New Roman" w:hAnsi="Times New Roman" w:cs="Times New Roman"/>
          <w:color w:val="auto"/>
          <w:sz w:val="26"/>
          <w:szCs w:val="26"/>
        </w:rPr>
      </w:pPr>
      <w:r w:rsidRPr="40B3576B">
        <w:rPr>
          <w:rFonts w:ascii="Times New Roman" w:hAnsi="Times New Roman" w:cs="Times New Roman"/>
          <w:color w:val="auto"/>
          <w:sz w:val="26"/>
          <w:szCs w:val="26"/>
        </w:rPr>
        <w:t>Az ÁKK Zrt. május hó folyamán 38,7 milliárd forint összegben vásárolt vissza lakossági állampapírokat a forgalmazó bankoktól.</w:t>
      </w:r>
    </w:p>
    <w:p w14:paraId="421D7F36" w14:textId="189E59AE" w:rsidR="00EB3C6A" w:rsidRPr="00EB3C6A" w:rsidRDefault="40B3576B" w:rsidP="00EB3C6A">
      <w:pPr>
        <w:spacing w:before="240"/>
        <w:ind w:right="23"/>
        <w:rPr>
          <w:szCs w:val="26"/>
        </w:rPr>
      </w:pPr>
      <w:r>
        <w:t>A külföldi befektetők állampapír</w:t>
      </w:r>
      <w:r w:rsidR="008C150D">
        <w:t>-</w:t>
      </w:r>
      <w:r>
        <w:t>állománya májusban 317,1 milliárd forinttal emelkedett az előző hónaphoz képest. A külföldi állomány 99,3%-a, 4324,8 milliárd forint államkötvény és 0,7%-a, 31,0 milliárd forint diszkontkincstárjegy. A külföldi állomány átlagos hátralévő futamideje május végén 5,4 év volt, amely kissé csökkent az előző hónap végéhez képest.</w:t>
      </w:r>
    </w:p>
    <w:p w14:paraId="4C3881C0" w14:textId="50857295" w:rsidR="00BF73A7" w:rsidRPr="00EB3C6A" w:rsidRDefault="40B3576B" w:rsidP="40B3576B">
      <w:pPr>
        <w:pStyle w:val="Szvegtrzs"/>
        <w:rPr>
          <w:color w:val="auto"/>
        </w:rPr>
      </w:pPr>
      <w:r w:rsidRPr="40B3576B">
        <w:rPr>
          <w:color w:val="auto"/>
        </w:rPr>
        <w:t>A deviza-államadósság kockázatainak csökkentése érdekében az ÁKK Zrt. swap műveleteket köt, amiből az adósságállomány részét képezik az ezen ügyletek után az ÁKK Zrt.-nél elhelyezésre kerülő fedezeti összegek (az ún. mark-to-market betétek) az egyéb kötelezettségek soron. Az elmúlt években az egyéb devizák (főként az USD) jelentősen felértékelődtek az euróhoz képest, az emiatt keletkező többletadósságot viszont a swapkötéssel sikerült kizárni. A vizsgált időszakban az egyéb kötelezettségek állománya 76,8 milliárd forinttal növekedett. Május végén az állomány 280,5 milliárd forintot tett ki, ami a teljes államadósság 0,9%-</w:t>
      </w:r>
      <w:r w:rsidR="003706EE">
        <w:rPr>
          <w:color w:val="auto"/>
        </w:rPr>
        <w:t>a.</w:t>
      </w:r>
    </w:p>
    <w:p w14:paraId="64ACD137" w14:textId="77777777" w:rsidR="00B72FCC" w:rsidRDefault="40B3576B" w:rsidP="40B3576B">
      <w:pPr>
        <w:keepNext/>
        <w:numPr>
          <w:ilvl w:val="0"/>
          <w:numId w:val="5"/>
        </w:numPr>
        <w:overflowPunct w:val="0"/>
        <w:autoSpaceDE w:val="0"/>
        <w:autoSpaceDN w:val="0"/>
        <w:adjustRightInd w:val="0"/>
        <w:ind w:left="567" w:hanging="567"/>
        <w:jc w:val="left"/>
        <w:textAlignment w:val="baseline"/>
        <w:outlineLvl w:val="3"/>
        <w:rPr>
          <w:b/>
          <w:bCs/>
        </w:rPr>
      </w:pPr>
      <w:r w:rsidRPr="40B3576B">
        <w:rPr>
          <w:b/>
          <w:bCs/>
        </w:rPr>
        <w:lastRenderedPageBreak/>
        <w:t>Kamatok, hozamok alakulása</w:t>
      </w:r>
    </w:p>
    <w:p w14:paraId="6DC0EA44" w14:textId="77777777" w:rsidR="00EB3C6A" w:rsidRDefault="40B3576B" w:rsidP="00BF73A7">
      <w:pPr>
        <w:overflowPunct w:val="0"/>
        <w:autoSpaceDE w:val="0"/>
        <w:autoSpaceDN w:val="0"/>
        <w:adjustRightInd w:val="0"/>
        <w:textAlignment w:val="baseline"/>
      </w:pPr>
      <w:r>
        <w:t>A diszkontkincstárjegyek májusi aukcióin a havi átlagos fedezettség az előző havi 1,9-ről 3,2-re emelkedett. A kötvényaukciókon a havi átlagos fedezettség az előző havi 3,1-ről 2,9-re mérséklődött.</w:t>
      </w:r>
    </w:p>
    <w:p w14:paraId="40BCBC8F" w14:textId="23713C0B" w:rsidR="00BF73A7" w:rsidRPr="00BF73A7" w:rsidRDefault="40B3576B" w:rsidP="00BF73A7">
      <w:pPr>
        <w:overflowPunct w:val="0"/>
        <w:autoSpaceDE w:val="0"/>
        <w:autoSpaceDN w:val="0"/>
        <w:adjustRightInd w:val="0"/>
        <w:textAlignment w:val="baseline"/>
        <w:rPr>
          <w:szCs w:val="26"/>
        </w:rPr>
      </w:pPr>
      <w:r>
        <w:t>A 3 hónapos diszkontkincstárjegy utolsó májusi aukcióján a hozam az egy hónappal korábbi aukcióhoz képest 21 bázisponttal csökkent, és 0,79%-ot tett ki. A 12 hónapos kincstárjegy utolsó májusi aukcióján a kialakult átlaghozam 0,84% lett, amely 28</w:t>
      </w:r>
      <w:r w:rsidR="00761F68">
        <w:t> </w:t>
      </w:r>
      <w:r>
        <w:t>bázisponttal alacsonyabb az áprilisi  értéknél.</w:t>
      </w:r>
    </w:p>
    <w:p w14:paraId="424DA771" w14:textId="0B51B612" w:rsidR="00B4580C" w:rsidRPr="00B4580C" w:rsidRDefault="40B3576B" w:rsidP="00BF73A7">
      <w:pPr>
        <w:overflowPunct w:val="0"/>
        <w:autoSpaceDE w:val="0"/>
        <w:autoSpaceDN w:val="0"/>
        <w:adjustRightInd w:val="0"/>
        <w:textAlignment w:val="baseline"/>
        <w:rPr>
          <w:bCs/>
        </w:rPr>
      </w:pPr>
      <w:r>
        <w:t>A 3 éves kötvényaukción a hozam 1,26%-ot tett ki, amely 15 bázisponttal alacsonyabb, mint az utolsó áprilisi aukción kialakult átlaghozam. Az 5 éves kötvény utolsó májusi aukcióján az átlaghozam 1,65%-ot ért el, amely 23 bázisponttal magasabb az utolsó áprilisi aukción kialakult átlaghozamtól. A 10 éves kötvényaukció 1,92%-os átlaghozama 54 bázisponttal alacsonyabb, mint az utolsó áprilisi aukción kialakult átlaghozam. A 20</w:t>
      </w:r>
      <w:r w:rsidR="00C66B62">
        <w:t> </w:t>
      </w:r>
      <w:r>
        <w:t xml:space="preserve">éves kötvényaukció 2,48%-os átlaghozama 53 bázisponttal elmarad a legutóbbi, januári aukción kialakult átlaghozamtól. </w:t>
      </w:r>
    </w:p>
    <w:sectPr w:rsidR="00B4580C" w:rsidRPr="00B4580C" w:rsidSect="00730878">
      <w:footnotePr>
        <w:numRestart w:val="eachPage"/>
      </w:footnotePr>
      <w:pgSz w:w="11907" w:h="16840" w:code="9"/>
      <w:pgMar w:top="1134" w:right="1134" w:bottom="1418" w:left="1418" w:header="709" w:footer="283"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D337E" w14:textId="77777777" w:rsidR="00675A88" w:rsidRDefault="00675A88">
      <w:r>
        <w:separator/>
      </w:r>
    </w:p>
  </w:endnote>
  <w:endnote w:type="continuationSeparator" w:id="0">
    <w:p w14:paraId="52A51AC8" w14:textId="77777777" w:rsidR="00675A88" w:rsidRDefault="00675A88">
      <w:r>
        <w:continuationSeparator/>
      </w:r>
    </w:p>
  </w:endnote>
  <w:endnote w:type="continuationNotice" w:id="1">
    <w:p w14:paraId="035A060E" w14:textId="77777777" w:rsidR="00675A88" w:rsidRDefault="00675A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Myriad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71311"/>
      <w:docPartObj>
        <w:docPartGallery w:val="Page Numbers (Bottom of Page)"/>
        <w:docPartUnique/>
      </w:docPartObj>
    </w:sdtPr>
    <w:sdtEndPr/>
    <w:sdtContent>
      <w:p w14:paraId="47A602DE" w14:textId="754FEDB4" w:rsidR="0033064D" w:rsidRDefault="0033064D">
        <w:pPr>
          <w:pStyle w:val="llb"/>
          <w:jc w:val="center"/>
        </w:pPr>
        <w:r>
          <w:fldChar w:fldCharType="begin"/>
        </w:r>
        <w:r>
          <w:instrText>PAGE   \* MERGEFORMAT</w:instrText>
        </w:r>
        <w:r>
          <w:fldChar w:fldCharType="separate"/>
        </w:r>
        <w:r w:rsidR="00301FEB">
          <w:rPr>
            <w:noProof/>
          </w:rPr>
          <w:t>23</w:t>
        </w:r>
        <w:r>
          <w:fldChar w:fldCharType="end"/>
        </w:r>
      </w:p>
    </w:sdtContent>
  </w:sdt>
  <w:p w14:paraId="5D4F0473" w14:textId="77777777" w:rsidR="0033064D" w:rsidRPr="00B65D56" w:rsidRDefault="0033064D" w:rsidP="00B65D5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190023"/>
      <w:docPartObj>
        <w:docPartGallery w:val="Page Numbers (Bottom of Page)"/>
        <w:docPartUnique/>
      </w:docPartObj>
    </w:sdtPr>
    <w:sdtEndPr/>
    <w:sdtContent>
      <w:p w14:paraId="5FB57992" w14:textId="371C8032" w:rsidR="0033064D" w:rsidRDefault="0033064D">
        <w:pPr>
          <w:pStyle w:val="llb"/>
          <w:jc w:val="center"/>
        </w:pPr>
        <w:r>
          <w:fldChar w:fldCharType="begin"/>
        </w:r>
        <w:r>
          <w:instrText>PAGE   \* MERGEFORMAT</w:instrText>
        </w:r>
        <w:r>
          <w:fldChar w:fldCharType="separate"/>
        </w:r>
        <w:r w:rsidR="00301FEB">
          <w:rPr>
            <w:noProof/>
          </w:rPr>
          <w:t>- 0 -</w:t>
        </w:r>
        <w:r>
          <w:fldChar w:fldCharType="end"/>
        </w:r>
      </w:p>
    </w:sdtContent>
  </w:sdt>
  <w:p w14:paraId="2F25FF07" w14:textId="77777777" w:rsidR="0033064D" w:rsidRDefault="0033064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AFB02" w14:textId="77777777" w:rsidR="00675A88" w:rsidRDefault="00675A88">
      <w:r>
        <w:separator/>
      </w:r>
    </w:p>
  </w:footnote>
  <w:footnote w:type="continuationSeparator" w:id="0">
    <w:p w14:paraId="33B2BD2F" w14:textId="77777777" w:rsidR="00675A88" w:rsidRDefault="00675A88">
      <w:r>
        <w:continuationSeparator/>
      </w:r>
    </w:p>
  </w:footnote>
  <w:footnote w:type="continuationNotice" w:id="1">
    <w:p w14:paraId="729A58C6" w14:textId="77777777" w:rsidR="00675A88" w:rsidRDefault="00675A88">
      <w:pPr>
        <w:spacing w:after="0"/>
      </w:pPr>
    </w:p>
  </w:footnote>
  <w:footnote w:id="2">
    <w:p w14:paraId="5D4F0478" w14:textId="77777777" w:rsidR="0033064D" w:rsidRDefault="0033064D" w:rsidP="40B3576B">
      <w:pPr>
        <w:pStyle w:val="Lbjegyzetszveg"/>
        <w:ind w:hanging="142"/>
        <w:jc w:val="both"/>
        <w:rPr>
          <w:sz w:val="18"/>
          <w:szCs w:val="18"/>
        </w:rPr>
      </w:pPr>
      <w:r w:rsidRPr="2291142B">
        <w:rPr>
          <w:rStyle w:val="Lbjegyzet-hivatkozs"/>
          <w:sz w:val="18"/>
          <w:szCs w:val="18"/>
        </w:rPr>
        <w:t>*</w:t>
      </w:r>
      <w:r>
        <w:rPr>
          <w:sz w:val="18"/>
        </w:rPr>
        <w:tab/>
      </w:r>
      <w:r w:rsidRPr="2291142B">
        <w:rPr>
          <w:sz w:val="18"/>
          <w:szCs w:val="18"/>
        </w:rPr>
        <w:t>Az államháztartás központi alrendszerének havonkénti részletes adatai megtalálhatók a Magyar Államkincstár honlapján (http://www.allamkincstar.gov.hu).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C22A" w14:textId="77777777" w:rsidR="0033064D" w:rsidRPr="00881044" w:rsidRDefault="0033064D" w:rsidP="00881044">
    <w:pPr>
      <w:pStyle w:val="lfej"/>
      <w:rPr>
        <w:rStyle w:val="Oldalsz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292FB" w14:textId="77777777" w:rsidR="0033064D" w:rsidRPr="00FE4DD1" w:rsidRDefault="0033064D" w:rsidP="00FE4DD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0476" w14:textId="77777777" w:rsidR="0033064D" w:rsidRPr="00881044" w:rsidRDefault="0033064D" w:rsidP="00881044">
    <w:pPr>
      <w:pStyle w:val="lfej"/>
      <w:rPr>
        <w:rStyle w:val="Oldalszm"/>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0477" w14:textId="77777777" w:rsidR="0033064D" w:rsidRPr="00FE4DD1" w:rsidRDefault="0033064D" w:rsidP="00FE4D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298"/>
    <w:multiLevelType w:val="hybridMultilevel"/>
    <w:tmpl w:val="44CCC2AC"/>
    <w:lvl w:ilvl="0" w:tplc="08783BEC">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BA535F0"/>
    <w:multiLevelType w:val="hybridMultilevel"/>
    <w:tmpl w:val="078025E6"/>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E6876C3"/>
    <w:multiLevelType w:val="hybridMultilevel"/>
    <w:tmpl w:val="1760077C"/>
    <w:lvl w:ilvl="0" w:tplc="8CDC5FA0">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F9E7043"/>
    <w:multiLevelType w:val="hybridMultilevel"/>
    <w:tmpl w:val="1498719C"/>
    <w:lvl w:ilvl="0" w:tplc="0C4C157A">
      <w:start w:val="1"/>
      <w:numFmt w:val="decimal"/>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66A2F41"/>
    <w:multiLevelType w:val="hybridMultilevel"/>
    <w:tmpl w:val="3D987462"/>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6EA776E"/>
    <w:multiLevelType w:val="hybridMultilevel"/>
    <w:tmpl w:val="F278880E"/>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E875348"/>
    <w:multiLevelType w:val="hybridMultilevel"/>
    <w:tmpl w:val="4C7C8330"/>
    <w:lvl w:ilvl="0" w:tplc="EEE8FA84">
      <w:start w:val="1"/>
      <w:numFmt w:val="upperRoman"/>
      <w:pStyle w:val="Kpalrs"/>
      <w:lvlText w:val="%1."/>
      <w:lvlJc w:val="left"/>
      <w:pPr>
        <w:tabs>
          <w:tab w:val="num" w:pos="1080"/>
        </w:tabs>
        <w:ind w:left="1080" w:hanging="720"/>
      </w:pPr>
      <w:rPr>
        <w:rFonts w:hint="default"/>
        <w:u w:val="none"/>
      </w:rPr>
    </w:lvl>
    <w:lvl w:ilvl="1" w:tplc="4F781A04">
      <w:start w:val="1"/>
      <w:numFmt w:val="decimal"/>
      <w:lvlText w:val="%2."/>
      <w:lvlJc w:val="left"/>
      <w:pPr>
        <w:tabs>
          <w:tab w:val="num" w:pos="1440"/>
        </w:tabs>
        <w:ind w:left="1440" w:hanging="360"/>
      </w:pPr>
      <w:rPr>
        <w:rFonts w:hint="default"/>
        <w:u w:val="no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573523A"/>
    <w:multiLevelType w:val="hybridMultilevel"/>
    <w:tmpl w:val="92D45DA0"/>
    <w:lvl w:ilvl="0" w:tplc="5E4290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E7C7F0F"/>
    <w:multiLevelType w:val="hybridMultilevel"/>
    <w:tmpl w:val="710EC9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FD006B9"/>
    <w:multiLevelType w:val="hybridMultilevel"/>
    <w:tmpl w:val="5090180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2F47659"/>
    <w:multiLevelType w:val="hybridMultilevel"/>
    <w:tmpl w:val="C60A11E4"/>
    <w:lvl w:ilvl="0" w:tplc="D9649056">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FA549BC"/>
    <w:multiLevelType w:val="hybridMultilevel"/>
    <w:tmpl w:val="DD082DA0"/>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CCE33D1"/>
    <w:multiLevelType w:val="hybridMultilevel"/>
    <w:tmpl w:val="D4381014"/>
    <w:lvl w:ilvl="0" w:tplc="B60223D4">
      <w:start w:val="201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8"/>
  </w:num>
  <w:num w:numId="7">
    <w:abstractNumId w:val="7"/>
  </w:num>
  <w:num w:numId="8">
    <w:abstractNumId w:val="0"/>
  </w:num>
  <w:num w:numId="9">
    <w:abstractNumId w:val="10"/>
  </w:num>
  <w:num w:numId="10">
    <w:abstractNumId w:val="12"/>
  </w:num>
  <w:num w:numId="11">
    <w:abstractNumId w:val="2"/>
  </w:num>
  <w:num w:numId="12">
    <w:abstractNumId w:val="9"/>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hu-HU" w:vendorID="7" w:dllVersion="513" w:checkStyle="0"/>
  <w:activeWritingStyle w:appName="MSWord" w:lang="hu-HU" w:vendorID="7" w:dllVersion="52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30"/>
  <w:drawingGridVerticalSpacing w:val="120"/>
  <w:displayHorizontalDrawingGridEvery w:val="2"/>
  <w:displayVerticalDrawingGridEvery w:val="0"/>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9A"/>
    <w:rsid w:val="00000082"/>
    <w:rsid w:val="00000262"/>
    <w:rsid w:val="0000053E"/>
    <w:rsid w:val="00000779"/>
    <w:rsid w:val="000007F2"/>
    <w:rsid w:val="00000BD9"/>
    <w:rsid w:val="00000C70"/>
    <w:rsid w:val="00000FA7"/>
    <w:rsid w:val="00001164"/>
    <w:rsid w:val="00001A1C"/>
    <w:rsid w:val="00002D44"/>
    <w:rsid w:val="00002EBA"/>
    <w:rsid w:val="00002F32"/>
    <w:rsid w:val="0000319C"/>
    <w:rsid w:val="000031E7"/>
    <w:rsid w:val="0000346F"/>
    <w:rsid w:val="000039C4"/>
    <w:rsid w:val="00003A0A"/>
    <w:rsid w:val="00003AB5"/>
    <w:rsid w:val="00003D71"/>
    <w:rsid w:val="00003DAA"/>
    <w:rsid w:val="00003E72"/>
    <w:rsid w:val="000040A1"/>
    <w:rsid w:val="000041CC"/>
    <w:rsid w:val="0000447C"/>
    <w:rsid w:val="00004A2B"/>
    <w:rsid w:val="00004A6C"/>
    <w:rsid w:val="00004B11"/>
    <w:rsid w:val="00004C60"/>
    <w:rsid w:val="000050A4"/>
    <w:rsid w:val="00005414"/>
    <w:rsid w:val="00005653"/>
    <w:rsid w:val="00005ABA"/>
    <w:rsid w:val="00006580"/>
    <w:rsid w:val="00006BEB"/>
    <w:rsid w:val="00006C1C"/>
    <w:rsid w:val="00006E83"/>
    <w:rsid w:val="00007429"/>
    <w:rsid w:val="0000786D"/>
    <w:rsid w:val="00007C32"/>
    <w:rsid w:val="00010E9B"/>
    <w:rsid w:val="00010EF9"/>
    <w:rsid w:val="00010FD3"/>
    <w:rsid w:val="00010FED"/>
    <w:rsid w:val="000111EE"/>
    <w:rsid w:val="000115A7"/>
    <w:rsid w:val="000118A8"/>
    <w:rsid w:val="00011A1C"/>
    <w:rsid w:val="00011AEC"/>
    <w:rsid w:val="00011CA1"/>
    <w:rsid w:val="000122E0"/>
    <w:rsid w:val="00012954"/>
    <w:rsid w:val="00012962"/>
    <w:rsid w:val="00012FB0"/>
    <w:rsid w:val="00012FE4"/>
    <w:rsid w:val="000133DD"/>
    <w:rsid w:val="000134F5"/>
    <w:rsid w:val="00013907"/>
    <w:rsid w:val="00013A33"/>
    <w:rsid w:val="00013CD2"/>
    <w:rsid w:val="000140C0"/>
    <w:rsid w:val="00014401"/>
    <w:rsid w:val="000148D6"/>
    <w:rsid w:val="00014A69"/>
    <w:rsid w:val="00014D97"/>
    <w:rsid w:val="000150A0"/>
    <w:rsid w:val="00015137"/>
    <w:rsid w:val="00015230"/>
    <w:rsid w:val="0001572F"/>
    <w:rsid w:val="000158B9"/>
    <w:rsid w:val="000159D2"/>
    <w:rsid w:val="00015DD1"/>
    <w:rsid w:val="000162DD"/>
    <w:rsid w:val="000171BE"/>
    <w:rsid w:val="0001738B"/>
    <w:rsid w:val="000173CF"/>
    <w:rsid w:val="00017505"/>
    <w:rsid w:val="000176FF"/>
    <w:rsid w:val="00017AB9"/>
    <w:rsid w:val="00017D30"/>
    <w:rsid w:val="00017D97"/>
    <w:rsid w:val="0002048B"/>
    <w:rsid w:val="00020553"/>
    <w:rsid w:val="0002080A"/>
    <w:rsid w:val="0002092A"/>
    <w:rsid w:val="000209F2"/>
    <w:rsid w:val="00021491"/>
    <w:rsid w:val="00021768"/>
    <w:rsid w:val="00021A79"/>
    <w:rsid w:val="00022190"/>
    <w:rsid w:val="0002286F"/>
    <w:rsid w:val="000228D4"/>
    <w:rsid w:val="00022C6B"/>
    <w:rsid w:val="000230A1"/>
    <w:rsid w:val="0002313D"/>
    <w:rsid w:val="00023277"/>
    <w:rsid w:val="00023497"/>
    <w:rsid w:val="00023517"/>
    <w:rsid w:val="000235DE"/>
    <w:rsid w:val="0002365F"/>
    <w:rsid w:val="00023977"/>
    <w:rsid w:val="00023B1E"/>
    <w:rsid w:val="00023D4A"/>
    <w:rsid w:val="000244AA"/>
    <w:rsid w:val="000249CF"/>
    <w:rsid w:val="00024A56"/>
    <w:rsid w:val="00024F61"/>
    <w:rsid w:val="00025088"/>
    <w:rsid w:val="0002532C"/>
    <w:rsid w:val="00025486"/>
    <w:rsid w:val="00025629"/>
    <w:rsid w:val="00025BA3"/>
    <w:rsid w:val="00025C6B"/>
    <w:rsid w:val="0002604D"/>
    <w:rsid w:val="00026280"/>
    <w:rsid w:val="000264E2"/>
    <w:rsid w:val="000266DF"/>
    <w:rsid w:val="00026701"/>
    <w:rsid w:val="000267A2"/>
    <w:rsid w:val="000268B5"/>
    <w:rsid w:val="00026C3E"/>
    <w:rsid w:val="00026CF8"/>
    <w:rsid w:val="00026D90"/>
    <w:rsid w:val="00027046"/>
    <w:rsid w:val="0002735F"/>
    <w:rsid w:val="00027464"/>
    <w:rsid w:val="000274E3"/>
    <w:rsid w:val="000278D7"/>
    <w:rsid w:val="000301B5"/>
    <w:rsid w:val="000302F7"/>
    <w:rsid w:val="0003042E"/>
    <w:rsid w:val="00031079"/>
    <w:rsid w:val="00031114"/>
    <w:rsid w:val="00031212"/>
    <w:rsid w:val="00031A7F"/>
    <w:rsid w:val="00031EE0"/>
    <w:rsid w:val="00032036"/>
    <w:rsid w:val="0003206C"/>
    <w:rsid w:val="000326B6"/>
    <w:rsid w:val="0003279A"/>
    <w:rsid w:val="000327EC"/>
    <w:rsid w:val="00032981"/>
    <w:rsid w:val="000329B0"/>
    <w:rsid w:val="000329C3"/>
    <w:rsid w:val="00032B54"/>
    <w:rsid w:val="00032F08"/>
    <w:rsid w:val="000336BA"/>
    <w:rsid w:val="000337E0"/>
    <w:rsid w:val="00033817"/>
    <w:rsid w:val="00033B0A"/>
    <w:rsid w:val="00034164"/>
    <w:rsid w:val="000341D4"/>
    <w:rsid w:val="00034A1C"/>
    <w:rsid w:val="00034E9F"/>
    <w:rsid w:val="0003506A"/>
    <w:rsid w:val="000353E7"/>
    <w:rsid w:val="000356B8"/>
    <w:rsid w:val="00035846"/>
    <w:rsid w:val="000359D1"/>
    <w:rsid w:val="00035B72"/>
    <w:rsid w:val="00035DFD"/>
    <w:rsid w:val="00035E6C"/>
    <w:rsid w:val="00035E93"/>
    <w:rsid w:val="00035FC8"/>
    <w:rsid w:val="00036A80"/>
    <w:rsid w:val="00036B13"/>
    <w:rsid w:val="00036CEF"/>
    <w:rsid w:val="00036D6A"/>
    <w:rsid w:val="000370CB"/>
    <w:rsid w:val="000371AA"/>
    <w:rsid w:val="000374B0"/>
    <w:rsid w:val="000374D9"/>
    <w:rsid w:val="000375DB"/>
    <w:rsid w:val="0003779F"/>
    <w:rsid w:val="00037A25"/>
    <w:rsid w:val="00037DE9"/>
    <w:rsid w:val="00037E5D"/>
    <w:rsid w:val="00040071"/>
    <w:rsid w:val="00040819"/>
    <w:rsid w:val="00040D56"/>
    <w:rsid w:val="000411F7"/>
    <w:rsid w:val="00041242"/>
    <w:rsid w:val="00041496"/>
    <w:rsid w:val="00041712"/>
    <w:rsid w:val="00041DA5"/>
    <w:rsid w:val="00041E51"/>
    <w:rsid w:val="00041F52"/>
    <w:rsid w:val="000423AE"/>
    <w:rsid w:val="000424F9"/>
    <w:rsid w:val="0004255E"/>
    <w:rsid w:val="00042AAC"/>
    <w:rsid w:val="00042E08"/>
    <w:rsid w:val="00042F3F"/>
    <w:rsid w:val="0004309A"/>
    <w:rsid w:val="0004312B"/>
    <w:rsid w:val="00043F64"/>
    <w:rsid w:val="000444EE"/>
    <w:rsid w:val="0004453C"/>
    <w:rsid w:val="00044996"/>
    <w:rsid w:val="00044B91"/>
    <w:rsid w:val="00044E9F"/>
    <w:rsid w:val="000450BB"/>
    <w:rsid w:val="00045390"/>
    <w:rsid w:val="0004560C"/>
    <w:rsid w:val="000459B0"/>
    <w:rsid w:val="00045EDE"/>
    <w:rsid w:val="00046118"/>
    <w:rsid w:val="00046204"/>
    <w:rsid w:val="00046229"/>
    <w:rsid w:val="0004639A"/>
    <w:rsid w:val="000463F7"/>
    <w:rsid w:val="000464B0"/>
    <w:rsid w:val="000464EB"/>
    <w:rsid w:val="000465F9"/>
    <w:rsid w:val="00046834"/>
    <w:rsid w:val="000468C4"/>
    <w:rsid w:val="000468D4"/>
    <w:rsid w:val="00046D1C"/>
    <w:rsid w:val="0004748D"/>
    <w:rsid w:val="0004754D"/>
    <w:rsid w:val="0004788F"/>
    <w:rsid w:val="000478D9"/>
    <w:rsid w:val="00047986"/>
    <w:rsid w:val="00047A20"/>
    <w:rsid w:val="00050055"/>
    <w:rsid w:val="00050561"/>
    <w:rsid w:val="00050A93"/>
    <w:rsid w:val="00050BE9"/>
    <w:rsid w:val="00050C3F"/>
    <w:rsid w:val="00050E7F"/>
    <w:rsid w:val="000513D6"/>
    <w:rsid w:val="00051653"/>
    <w:rsid w:val="00051D83"/>
    <w:rsid w:val="00051E51"/>
    <w:rsid w:val="00051F8F"/>
    <w:rsid w:val="000521E9"/>
    <w:rsid w:val="00052378"/>
    <w:rsid w:val="0005257C"/>
    <w:rsid w:val="00052606"/>
    <w:rsid w:val="00052889"/>
    <w:rsid w:val="0005295B"/>
    <w:rsid w:val="00052C8F"/>
    <w:rsid w:val="00052DE7"/>
    <w:rsid w:val="00052F73"/>
    <w:rsid w:val="00053202"/>
    <w:rsid w:val="00053627"/>
    <w:rsid w:val="00053733"/>
    <w:rsid w:val="000538D8"/>
    <w:rsid w:val="00053930"/>
    <w:rsid w:val="00053BEC"/>
    <w:rsid w:val="00053CEC"/>
    <w:rsid w:val="0005407D"/>
    <w:rsid w:val="000540CA"/>
    <w:rsid w:val="000540E7"/>
    <w:rsid w:val="00054213"/>
    <w:rsid w:val="0005467E"/>
    <w:rsid w:val="00054697"/>
    <w:rsid w:val="000547B5"/>
    <w:rsid w:val="000547CF"/>
    <w:rsid w:val="00054A93"/>
    <w:rsid w:val="00054C52"/>
    <w:rsid w:val="00054FE3"/>
    <w:rsid w:val="00055097"/>
    <w:rsid w:val="000551F1"/>
    <w:rsid w:val="000556FC"/>
    <w:rsid w:val="000557AC"/>
    <w:rsid w:val="00055A48"/>
    <w:rsid w:val="00055D3F"/>
    <w:rsid w:val="00056922"/>
    <w:rsid w:val="00056BC3"/>
    <w:rsid w:val="00057672"/>
    <w:rsid w:val="0005769C"/>
    <w:rsid w:val="000577AA"/>
    <w:rsid w:val="00057912"/>
    <w:rsid w:val="00057AFF"/>
    <w:rsid w:val="00057F9F"/>
    <w:rsid w:val="0006001E"/>
    <w:rsid w:val="00060784"/>
    <w:rsid w:val="00060819"/>
    <w:rsid w:val="00060826"/>
    <w:rsid w:val="00060844"/>
    <w:rsid w:val="00060866"/>
    <w:rsid w:val="00060AF3"/>
    <w:rsid w:val="00060D40"/>
    <w:rsid w:val="000610CB"/>
    <w:rsid w:val="00061530"/>
    <w:rsid w:val="00061C42"/>
    <w:rsid w:val="00061DFB"/>
    <w:rsid w:val="00061E39"/>
    <w:rsid w:val="000621F4"/>
    <w:rsid w:val="000622F9"/>
    <w:rsid w:val="00062332"/>
    <w:rsid w:val="000625BF"/>
    <w:rsid w:val="00062A7C"/>
    <w:rsid w:val="0006326A"/>
    <w:rsid w:val="00063356"/>
    <w:rsid w:val="0006342C"/>
    <w:rsid w:val="000636B7"/>
    <w:rsid w:val="00063730"/>
    <w:rsid w:val="0006386C"/>
    <w:rsid w:val="000639D7"/>
    <w:rsid w:val="00063B10"/>
    <w:rsid w:val="00063BB3"/>
    <w:rsid w:val="000640FE"/>
    <w:rsid w:val="0006470B"/>
    <w:rsid w:val="0006483D"/>
    <w:rsid w:val="00064E97"/>
    <w:rsid w:val="00065234"/>
    <w:rsid w:val="000652D1"/>
    <w:rsid w:val="00065AAD"/>
    <w:rsid w:val="00065B27"/>
    <w:rsid w:val="00065B4D"/>
    <w:rsid w:val="00065C49"/>
    <w:rsid w:val="00065F1C"/>
    <w:rsid w:val="0006642A"/>
    <w:rsid w:val="0006644F"/>
    <w:rsid w:val="0006662A"/>
    <w:rsid w:val="00066A73"/>
    <w:rsid w:val="00066F74"/>
    <w:rsid w:val="000676EC"/>
    <w:rsid w:val="0006777F"/>
    <w:rsid w:val="00067824"/>
    <w:rsid w:val="00067BCE"/>
    <w:rsid w:val="00067C20"/>
    <w:rsid w:val="000702D0"/>
    <w:rsid w:val="000704E9"/>
    <w:rsid w:val="00071166"/>
    <w:rsid w:val="000712BF"/>
    <w:rsid w:val="0007134D"/>
    <w:rsid w:val="0007139D"/>
    <w:rsid w:val="00071668"/>
    <w:rsid w:val="00071860"/>
    <w:rsid w:val="00071BE9"/>
    <w:rsid w:val="000720C3"/>
    <w:rsid w:val="0007223D"/>
    <w:rsid w:val="00073031"/>
    <w:rsid w:val="00073170"/>
    <w:rsid w:val="000736A3"/>
    <w:rsid w:val="000738A3"/>
    <w:rsid w:val="00073991"/>
    <w:rsid w:val="00073A61"/>
    <w:rsid w:val="00073D4B"/>
    <w:rsid w:val="00073EB1"/>
    <w:rsid w:val="00073F41"/>
    <w:rsid w:val="0007424D"/>
    <w:rsid w:val="00074329"/>
    <w:rsid w:val="00074544"/>
    <w:rsid w:val="0007454D"/>
    <w:rsid w:val="00074742"/>
    <w:rsid w:val="00074C6F"/>
    <w:rsid w:val="00074D2D"/>
    <w:rsid w:val="0007523F"/>
    <w:rsid w:val="000754B7"/>
    <w:rsid w:val="000756AB"/>
    <w:rsid w:val="00075A68"/>
    <w:rsid w:val="00075EA6"/>
    <w:rsid w:val="00075FCE"/>
    <w:rsid w:val="00076374"/>
    <w:rsid w:val="00076937"/>
    <w:rsid w:val="00076F7E"/>
    <w:rsid w:val="0007709B"/>
    <w:rsid w:val="000772FD"/>
    <w:rsid w:val="0007731E"/>
    <w:rsid w:val="000774D1"/>
    <w:rsid w:val="00077D0E"/>
    <w:rsid w:val="000806E9"/>
    <w:rsid w:val="00080A8A"/>
    <w:rsid w:val="00080BBB"/>
    <w:rsid w:val="00080BF9"/>
    <w:rsid w:val="00080C35"/>
    <w:rsid w:val="00080E92"/>
    <w:rsid w:val="0008118D"/>
    <w:rsid w:val="0008129E"/>
    <w:rsid w:val="0008147F"/>
    <w:rsid w:val="00081667"/>
    <w:rsid w:val="000818EC"/>
    <w:rsid w:val="00081900"/>
    <w:rsid w:val="00081A82"/>
    <w:rsid w:val="00081FB2"/>
    <w:rsid w:val="0008235E"/>
    <w:rsid w:val="0008236A"/>
    <w:rsid w:val="000827C1"/>
    <w:rsid w:val="000828B9"/>
    <w:rsid w:val="00082A5E"/>
    <w:rsid w:val="000832B8"/>
    <w:rsid w:val="00083625"/>
    <w:rsid w:val="00083647"/>
    <w:rsid w:val="0008374D"/>
    <w:rsid w:val="000838E8"/>
    <w:rsid w:val="00083928"/>
    <w:rsid w:val="000839C4"/>
    <w:rsid w:val="00083D48"/>
    <w:rsid w:val="00083DB7"/>
    <w:rsid w:val="00083E03"/>
    <w:rsid w:val="0008442C"/>
    <w:rsid w:val="000846B0"/>
    <w:rsid w:val="00084C35"/>
    <w:rsid w:val="00084E94"/>
    <w:rsid w:val="00084F8F"/>
    <w:rsid w:val="0008512A"/>
    <w:rsid w:val="00085183"/>
    <w:rsid w:val="000851FF"/>
    <w:rsid w:val="00086040"/>
    <w:rsid w:val="0008659E"/>
    <w:rsid w:val="000865F4"/>
    <w:rsid w:val="00086830"/>
    <w:rsid w:val="00086F21"/>
    <w:rsid w:val="00086F64"/>
    <w:rsid w:val="00087150"/>
    <w:rsid w:val="00087423"/>
    <w:rsid w:val="00087444"/>
    <w:rsid w:val="000875CA"/>
    <w:rsid w:val="000876A5"/>
    <w:rsid w:val="00087987"/>
    <w:rsid w:val="00087CD3"/>
    <w:rsid w:val="0009025B"/>
    <w:rsid w:val="00090271"/>
    <w:rsid w:val="0009055D"/>
    <w:rsid w:val="0009067F"/>
    <w:rsid w:val="0009087F"/>
    <w:rsid w:val="000908E7"/>
    <w:rsid w:val="00090AB4"/>
    <w:rsid w:val="00090C97"/>
    <w:rsid w:val="00090CE7"/>
    <w:rsid w:val="00091084"/>
    <w:rsid w:val="0009121C"/>
    <w:rsid w:val="00091B8D"/>
    <w:rsid w:val="00091B97"/>
    <w:rsid w:val="00091C45"/>
    <w:rsid w:val="00091E5E"/>
    <w:rsid w:val="00091E96"/>
    <w:rsid w:val="0009222C"/>
    <w:rsid w:val="0009228A"/>
    <w:rsid w:val="00092529"/>
    <w:rsid w:val="00092B62"/>
    <w:rsid w:val="00093352"/>
    <w:rsid w:val="000933D7"/>
    <w:rsid w:val="00093521"/>
    <w:rsid w:val="00093854"/>
    <w:rsid w:val="000938C6"/>
    <w:rsid w:val="00093B1E"/>
    <w:rsid w:val="00093CEC"/>
    <w:rsid w:val="00093D38"/>
    <w:rsid w:val="00094414"/>
    <w:rsid w:val="00094808"/>
    <w:rsid w:val="00094843"/>
    <w:rsid w:val="00095B41"/>
    <w:rsid w:val="00095DE3"/>
    <w:rsid w:val="000961B9"/>
    <w:rsid w:val="00096B6E"/>
    <w:rsid w:val="00096BD2"/>
    <w:rsid w:val="00096D11"/>
    <w:rsid w:val="00096FF2"/>
    <w:rsid w:val="00097DA2"/>
    <w:rsid w:val="00097E81"/>
    <w:rsid w:val="00097EC8"/>
    <w:rsid w:val="00097ED1"/>
    <w:rsid w:val="000A0825"/>
    <w:rsid w:val="000A0935"/>
    <w:rsid w:val="000A0A12"/>
    <w:rsid w:val="000A0A38"/>
    <w:rsid w:val="000A10BA"/>
    <w:rsid w:val="000A10BD"/>
    <w:rsid w:val="000A1E01"/>
    <w:rsid w:val="000A1FC2"/>
    <w:rsid w:val="000A209E"/>
    <w:rsid w:val="000A271A"/>
    <w:rsid w:val="000A30EA"/>
    <w:rsid w:val="000A3113"/>
    <w:rsid w:val="000A3214"/>
    <w:rsid w:val="000A3327"/>
    <w:rsid w:val="000A38EF"/>
    <w:rsid w:val="000A3BEE"/>
    <w:rsid w:val="000A3E99"/>
    <w:rsid w:val="000A41AF"/>
    <w:rsid w:val="000A42B7"/>
    <w:rsid w:val="000A45CB"/>
    <w:rsid w:val="000A4F88"/>
    <w:rsid w:val="000A55BD"/>
    <w:rsid w:val="000A5E92"/>
    <w:rsid w:val="000A64D5"/>
    <w:rsid w:val="000A683F"/>
    <w:rsid w:val="000A6F73"/>
    <w:rsid w:val="000A6FDB"/>
    <w:rsid w:val="000A741E"/>
    <w:rsid w:val="000A74A9"/>
    <w:rsid w:val="000A7BAE"/>
    <w:rsid w:val="000A7E87"/>
    <w:rsid w:val="000B0206"/>
    <w:rsid w:val="000B0A30"/>
    <w:rsid w:val="000B0CF3"/>
    <w:rsid w:val="000B0E2B"/>
    <w:rsid w:val="000B1186"/>
    <w:rsid w:val="000B11F1"/>
    <w:rsid w:val="000B13EA"/>
    <w:rsid w:val="000B15CB"/>
    <w:rsid w:val="000B18F1"/>
    <w:rsid w:val="000B1929"/>
    <w:rsid w:val="000B1EEB"/>
    <w:rsid w:val="000B2692"/>
    <w:rsid w:val="000B2ED2"/>
    <w:rsid w:val="000B379C"/>
    <w:rsid w:val="000B3C1C"/>
    <w:rsid w:val="000B3DC8"/>
    <w:rsid w:val="000B3EC9"/>
    <w:rsid w:val="000B427F"/>
    <w:rsid w:val="000B459B"/>
    <w:rsid w:val="000B4A7E"/>
    <w:rsid w:val="000B5BB2"/>
    <w:rsid w:val="000B615B"/>
    <w:rsid w:val="000B65B0"/>
    <w:rsid w:val="000B66DA"/>
    <w:rsid w:val="000B6A3F"/>
    <w:rsid w:val="000B6AC4"/>
    <w:rsid w:val="000B6C0E"/>
    <w:rsid w:val="000B6C94"/>
    <w:rsid w:val="000B6FDC"/>
    <w:rsid w:val="000B74D4"/>
    <w:rsid w:val="000B7925"/>
    <w:rsid w:val="000B79EC"/>
    <w:rsid w:val="000B7D3E"/>
    <w:rsid w:val="000B7D41"/>
    <w:rsid w:val="000C0263"/>
    <w:rsid w:val="000C037A"/>
    <w:rsid w:val="000C040F"/>
    <w:rsid w:val="000C0E4E"/>
    <w:rsid w:val="000C10AD"/>
    <w:rsid w:val="000C1110"/>
    <w:rsid w:val="000C11C6"/>
    <w:rsid w:val="000C17B1"/>
    <w:rsid w:val="000C18B6"/>
    <w:rsid w:val="000C18FE"/>
    <w:rsid w:val="000C1AA1"/>
    <w:rsid w:val="000C22FD"/>
    <w:rsid w:val="000C23BC"/>
    <w:rsid w:val="000C243D"/>
    <w:rsid w:val="000C2553"/>
    <w:rsid w:val="000C2C75"/>
    <w:rsid w:val="000C321A"/>
    <w:rsid w:val="000C3448"/>
    <w:rsid w:val="000C398C"/>
    <w:rsid w:val="000C3E03"/>
    <w:rsid w:val="000C3E3E"/>
    <w:rsid w:val="000C41ED"/>
    <w:rsid w:val="000C45BE"/>
    <w:rsid w:val="000C463E"/>
    <w:rsid w:val="000C4664"/>
    <w:rsid w:val="000C4867"/>
    <w:rsid w:val="000C508F"/>
    <w:rsid w:val="000C5241"/>
    <w:rsid w:val="000C549B"/>
    <w:rsid w:val="000C5604"/>
    <w:rsid w:val="000C56CA"/>
    <w:rsid w:val="000C58F6"/>
    <w:rsid w:val="000C5968"/>
    <w:rsid w:val="000C6061"/>
    <w:rsid w:val="000C624F"/>
    <w:rsid w:val="000C6BCD"/>
    <w:rsid w:val="000C6FB4"/>
    <w:rsid w:val="000C733A"/>
    <w:rsid w:val="000C7391"/>
    <w:rsid w:val="000C7453"/>
    <w:rsid w:val="000C794C"/>
    <w:rsid w:val="000C7B8F"/>
    <w:rsid w:val="000D02C7"/>
    <w:rsid w:val="000D0735"/>
    <w:rsid w:val="000D07ED"/>
    <w:rsid w:val="000D0BC6"/>
    <w:rsid w:val="000D0CCF"/>
    <w:rsid w:val="000D0EC8"/>
    <w:rsid w:val="000D1080"/>
    <w:rsid w:val="000D12A6"/>
    <w:rsid w:val="000D143E"/>
    <w:rsid w:val="000D1AEC"/>
    <w:rsid w:val="000D2162"/>
    <w:rsid w:val="000D2222"/>
    <w:rsid w:val="000D22DD"/>
    <w:rsid w:val="000D2A91"/>
    <w:rsid w:val="000D2ACD"/>
    <w:rsid w:val="000D2BFD"/>
    <w:rsid w:val="000D2C0D"/>
    <w:rsid w:val="000D3729"/>
    <w:rsid w:val="000D3CDF"/>
    <w:rsid w:val="000D3EB0"/>
    <w:rsid w:val="000D3F95"/>
    <w:rsid w:val="000D4BD6"/>
    <w:rsid w:val="000D4EF1"/>
    <w:rsid w:val="000D51E1"/>
    <w:rsid w:val="000D5292"/>
    <w:rsid w:val="000D542F"/>
    <w:rsid w:val="000D54C4"/>
    <w:rsid w:val="000D577A"/>
    <w:rsid w:val="000D5CCD"/>
    <w:rsid w:val="000D5D99"/>
    <w:rsid w:val="000D6810"/>
    <w:rsid w:val="000D6C76"/>
    <w:rsid w:val="000D6E2E"/>
    <w:rsid w:val="000D6E87"/>
    <w:rsid w:val="000D6FE6"/>
    <w:rsid w:val="000D79F5"/>
    <w:rsid w:val="000D7C17"/>
    <w:rsid w:val="000D7D3C"/>
    <w:rsid w:val="000E0020"/>
    <w:rsid w:val="000E0040"/>
    <w:rsid w:val="000E05E5"/>
    <w:rsid w:val="000E07AE"/>
    <w:rsid w:val="000E0B80"/>
    <w:rsid w:val="000E0F46"/>
    <w:rsid w:val="000E12F9"/>
    <w:rsid w:val="000E1AFF"/>
    <w:rsid w:val="000E1DE7"/>
    <w:rsid w:val="000E20B0"/>
    <w:rsid w:val="000E223E"/>
    <w:rsid w:val="000E2466"/>
    <w:rsid w:val="000E26F1"/>
    <w:rsid w:val="000E2940"/>
    <w:rsid w:val="000E2DA0"/>
    <w:rsid w:val="000E312F"/>
    <w:rsid w:val="000E3278"/>
    <w:rsid w:val="000E3387"/>
    <w:rsid w:val="000E3420"/>
    <w:rsid w:val="000E3430"/>
    <w:rsid w:val="000E366F"/>
    <w:rsid w:val="000E3D46"/>
    <w:rsid w:val="000E41DC"/>
    <w:rsid w:val="000E420F"/>
    <w:rsid w:val="000E4277"/>
    <w:rsid w:val="000E47AC"/>
    <w:rsid w:val="000E503A"/>
    <w:rsid w:val="000E525A"/>
    <w:rsid w:val="000E5591"/>
    <w:rsid w:val="000E5A34"/>
    <w:rsid w:val="000E5F7D"/>
    <w:rsid w:val="000E6041"/>
    <w:rsid w:val="000E62B5"/>
    <w:rsid w:val="000E662E"/>
    <w:rsid w:val="000E6909"/>
    <w:rsid w:val="000E6B85"/>
    <w:rsid w:val="000E6E60"/>
    <w:rsid w:val="000E6F1C"/>
    <w:rsid w:val="000E6FB7"/>
    <w:rsid w:val="000E7350"/>
    <w:rsid w:val="000E745B"/>
    <w:rsid w:val="000E7B7C"/>
    <w:rsid w:val="000F023F"/>
    <w:rsid w:val="000F098D"/>
    <w:rsid w:val="000F0E46"/>
    <w:rsid w:val="000F154F"/>
    <w:rsid w:val="000F1BD8"/>
    <w:rsid w:val="000F1E65"/>
    <w:rsid w:val="000F24A1"/>
    <w:rsid w:val="000F24A3"/>
    <w:rsid w:val="000F2919"/>
    <w:rsid w:val="000F2FB7"/>
    <w:rsid w:val="000F341F"/>
    <w:rsid w:val="000F363A"/>
    <w:rsid w:val="000F3838"/>
    <w:rsid w:val="000F3C2E"/>
    <w:rsid w:val="000F3DCE"/>
    <w:rsid w:val="000F3E1A"/>
    <w:rsid w:val="000F3EDB"/>
    <w:rsid w:val="000F3F4D"/>
    <w:rsid w:val="000F4030"/>
    <w:rsid w:val="000F43D9"/>
    <w:rsid w:val="000F49B7"/>
    <w:rsid w:val="000F4D1A"/>
    <w:rsid w:val="000F5785"/>
    <w:rsid w:val="000F5CD3"/>
    <w:rsid w:val="000F5DF9"/>
    <w:rsid w:val="000F5FF7"/>
    <w:rsid w:val="000F6073"/>
    <w:rsid w:val="000F6439"/>
    <w:rsid w:val="000F6B36"/>
    <w:rsid w:val="000F6DEC"/>
    <w:rsid w:val="000F7060"/>
    <w:rsid w:val="000F7170"/>
    <w:rsid w:val="000F744F"/>
    <w:rsid w:val="000F7849"/>
    <w:rsid w:val="000F7AD4"/>
    <w:rsid w:val="000F7B58"/>
    <w:rsid w:val="000F7F23"/>
    <w:rsid w:val="001006F2"/>
    <w:rsid w:val="00100AED"/>
    <w:rsid w:val="00100E92"/>
    <w:rsid w:val="00101701"/>
    <w:rsid w:val="00101917"/>
    <w:rsid w:val="00101B9B"/>
    <w:rsid w:val="00101BC2"/>
    <w:rsid w:val="00101FDA"/>
    <w:rsid w:val="0010208B"/>
    <w:rsid w:val="00102255"/>
    <w:rsid w:val="00102343"/>
    <w:rsid w:val="001024C6"/>
    <w:rsid w:val="001027C3"/>
    <w:rsid w:val="00102ABC"/>
    <w:rsid w:val="00102D54"/>
    <w:rsid w:val="00103AF9"/>
    <w:rsid w:val="00104479"/>
    <w:rsid w:val="00104728"/>
    <w:rsid w:val="0010496A"/>
    <w:rsid w:val="00104AEE"/>
    <w:rsid w:val="00104BAF"/>
    <w:rsid w:val="00104D97"/>
    <w:rsid w:val="00105314"/>
    <w:rsid w:val="00105777"/>
    <w:rsid w:val="00105951"/>
    <w:rsid w:val="00105CA3"/>
    <w:rsid w:val="00105D1F"/>
    <w:rsid w:val="001063AD"/>
    <w:rsid w:val="00106752"/>
    <w:rsid w:val="001069E7"/>
    <w:rsid w:val="00106BC7"/>
    <w:rsid w:val="00106CDC"/>
    <w:rsid w:val="00106F31"/>
    <w:rsid w:val="00107058"/>
    <w:rsid w:val="001071AB"/>
    <w:rsid w:val="0010724A"/>
    <w:rsid w:val="00107827"/>
    <w:rsid w:val="00110091"/>
    <w:rsid w:val="0011034D"/>
    <w:rsid w:val="00110748"/>
    <w:rsid w:val="00110B6A"/>
    <w:rsid w:val="00110C23"/>
    <w:rsid w:val="00111085"/>
    <w:rsid w:val="00111635"/>
    <w:rsid w:val="00111904"/>
    <w:rsid w:val="00111B0B"/>
    <w:rsid w:val="001121BA"/>
    <w:rsid w:val="001121FA"/>
    <w:rsid w:val="00112BAF"/>
    <w:rsid w:val="00112BB6"/>
    <w:rsid w:val="00112BE5"/>
    <w:rsid w:val="001136A2"/>
    <w:rsid w:val="001136F6"/>
    <w:rsid w:val="001139C5"/>
    <w:rsid w:val="00113B53"/>
    <w:rsid w:val="00113BAF"/>
    <w:rsid w:val="00113C91"/>
    <w:rsid w:val="00113E14"/>
    <w:rsid w:val="00113F82"/>
    <w:rsid w:val="0011508B"/>
    <w:rsid w:val="001150A8"/>
    <w:rsid w:val="00115546"/>
    <w:rsid w:val="00115750"/>
    <w:rsid w:val="0011595F"/>
    <w:rsid w:val="00116176"/>
    <w:rsid w:val="00116427"/>
    <w:rsid w:val="00116AB1"/>
    <w:rsid w:val="00116DAD"/>
    <w:rsid w:val="00116FB4"/>
    <w:rsid w:val="00117574"/>
    <w:rsid w:val="00117717"/>
    <w:rsid w:val="00117C41"/>
    <w:rsid w:val="0012048C"/>
    <w:rsid w:val="001204FC"/>
    <w:rsid w:val="00120A2C"/>
    <w:rsid w:val="00120F4A"/>
    <w:rsid w:val="00120FEB"/>
    <w:rsid w:val="001210AF"/>
    <w:rsid w:val="001212C9"/>
    <w:rsid w:val="0012135A"/>
    <w:rsid w:val="00121410"/>
    <w:rsid w:val="0012144F"/>
    <w:rsid w:val="00121DE4"/>
    <w:rsid w:val="00121E1C"/>
    <w:rsid w:val="0012263B"/>
    <w:rsid w:val="001226AA"/>
    <w:rsid w:val="00123245"/>
    <w:rsid w:val="001239CC"/>
    <w:rsid w:val="00123CD0"/>
    <w:rsid w:val="00124225"/>
    <w:rsid w:val="00124607"/>
    <w:rsid w:val="0012476B"/>
    <w:rsid w:val="0012477D"/>
    <w:rsid w:val="0012483F"/>
    <w:rsid w:val="00124897"/>
    <w:rsid w:val="00124967"/>
    <w:rsid w:val="00125076"/>
    <w:rsid w:val="0012513D"/>
    <w:rsid w:val="00125141"/>
    <w:rsid w:val="00125AC8"/>
    <w:rsid w:val="00125B76"/>
    <w:rsid w:val="00125D2F"/>
    <w:rsid w:val="00125D90"/>
    <w:rsid w:val="0012618A"/>
    <w:rsid w:val="00126262"/>
    <w:rsid w:val="00126620"/>
    <w:rsid w:val="00126867"/>
    <w:rsid w:val="00126E66"/>
    <w:rsid w:val="00127139"/>
    <w:rsid w:val="00127395"/>
    <w:rsid w:val="0012794E"/>
    <w:rsid w:val="00127C84"/>
    <w:rsid w:val="0013003B"/>
    <w:rsid w:val="00130ABA"/>
    <w:rsid w:val="00130B55"/>
    <w:rsid w:val="001312D1"/>
    <w:rsid w:val="001312E2"/>
    <w:rsid w:val="0013137D"/>
    <w:rsid w:val="00131485"/>
    <w:rsid w:val="00131900"/>
    <w:rsid w:val="0013241C"/>
    <w:rsid w:val="00132592"/>
    <w:rsid w:val="00133101"/>
    <w:rsid w:val="00133884"/>
    <w:rsid w:val="00133D79"/>
    <w:rsid w:val="0013409A"/>
    <w:rsid w:val="0013447D"/>
    <w:rsid w:val="00134C90"/>
    <w:rsid w:val="00134F0C"/>
    <w:rsid w:val="0013513D"/>
    <w:rsid w:val="00135388"/>
    <w:rsid w:val="00135696"/>
    <w:rsid w:val="00135AEC"/>
    <w:rsid w:val="00135D7A"/>
    <w:rsid w:val="00135E47"/>
    <w:rsid w:val="00135E8F"/>
    <w:rsid w:val="00136092"/>
    <w:rsid w:val="0013609D"/>
    <w:rsid w:val="00136531"/>
    <w:rsid w:val="001365AE"/>
    <w:rsid w:val="0013661D"/>
    <w:rsid w:val="00136AEA"/>
    <w:rsid w:val="00136DD0"/>
    <w:rsid w:val="00136DD3"/>
    <w:rsid w:val="00136EB9"/>
    <w:rsid w:val="00137097"/>
    <w:rsid w:val="0013711F"/>
    <w:rsid w:val="001371CF"/>
    <w:rsid w:val="001376D7"/>
    <w:rsid w:val="00137A21"/>
    <w:rsid w:val="00137B29"/>
    <w:rsid w:val="00137C45"/>
    <w:rsid w:val="00137D4B"/>
    <w:rsid w:val="00140219"/>
    <w:rsid w:val="001402FD"/>
    <w:rsid w:val="00140314"/>
    <w:rsid w:val="0014031C"/>
    <w:rsid w:val="0014082F"/>
    <w:rsid w:val="00140F6E"/>
    <w:rsid w:val="001411DD"/>
    <w:rsid w:val="0014126A"/>
    <w:rsid w:val="0014129D"/>
    <w:rsid w:val="0014148F"/>
    <w:rsid w:val="00141579"/>
    <w:rsid w:val="00142069"/>
    <w:rsid w:val="001423BA"/>
    <w:rsid w:val="0014275D"/>
    <w:rsid w:val="0014298A"/>
    <w:rsid w:val="00142E30"/>
    <w:rsid w:val="00142F34"/>
    <w:rsid w:val="00142F57"/>
    <w:rsid w:val="0014316A"/>
    <w:rsid w:val="00143392"/>
    <w:rsid w:val="00143671"/>
    <w:rsid w:val="001437F8"/>
    <w:rsid w:val="001438EA"/>
    <w:rsid w:val="00143A35"/>
    <w:rsid w:val="00143A57"/>
    <w:rsid w:val="00143C04"/>
    <w:rsid w:val="00143C5A"/>
    <w:rsid w:val="00143DD0"/>
    <w:rsid w:val="00143E8D"/>
    <w:rsid w:val="0014446E"/>
    <w:rsid w:val="0014479F"/>
    <w:rsid w:val="00144B94"/>
    <w:rsid w:val="0014569E"/>
    <w:rsid w:val="00145A32"/>
    <w:rsid w:val="00145D01"/>
    <w:rsid w:val="00145D9D"/>
    <w:rsid w:val="00145F80"/>
    <w:rsid w:val="00145FF7"/>
    <w:rsid w:val="00146A4C"/>
    <w:rsid w:val="00146AE4"/>
    <w:rsid w:val="00146C74"/>
    <w:rsid w:val="00146F36"/>
    <w:rsid w:val="001473C4"/>
    <w:rsid w:val="00147482"/>
    <w:rsid w:val="00147585"/>
    <w:rsid w:val="00147A25"/>
    <w:rsid w:val="00147C45"/>
    <w:rsid w:val="001501D7"/>
    <w:rsid w:val="0015045E"/>
    <w:rsid w:val="00150A96"/>
    <w:rsid w:val="00150EC6"/>
    <w:rsid w:val="00150ECC"/>
    <w:rsid w:val="00151165"/>
    <w:rsid w:val="00151DFA"/>
    <w:rsid w:val="00151E44"/>
    <w:rsid w:val="0015205B"/>
    <w:rsid w:val="00152292"/>
    <w:rsid w:val="00152C6F"/>
    <w:rsid w:val="00152E35"/>
    <w:rsid w:val="00152EB0"/>
    <w:rsid w:val="00153027"/>
    <w:rsid w:val="0015307F"/>
    <w:rsid w:val="001532A4"/>
    <w:rsid w:val="0015383C"/>
    <w:rsid w:val="00153905"/>
    <w:rsid w:val="001544DA"/>
    <w:rsid w:val="00154A48"/>
    <w:rsid w:val="00154A89"/>
    <w:rsid w:val="00154FFA"/>
    <w:rsid w:val="00155223"/>
    <w:rsid w:val="0015540C"/>
    <w:rsid w:val="00155ED0"/>
    <w:rsid w:val="00155F30"/>
    <w:rsid w:val="001560DC"/>
    <w:rsid w:val="00156230"/>
    <w:rsid w:val="00156D2A"/>
    <w:rsid w:val="0015742E"/>
    <w:rsid w:val="00157964"/>
    <w:rsid w:val="00157E6F"/>
    <w:rsid w:val="00157ECB"/>
    <w:rsid w:val="00160175"/>
    <w:rsid w:val="00160641"/>
    <w:rsid w:val="0016092E"/>
    <w:rsid w:val="00160CEB"/>
    <w:rsid w:val="00160D8C"/>
    <w:rsid w:val="0016103C"/>
    <w:rsid w:val="001615B7"/>
    <w:rsid w:val="00161659"/>
    <w:rsid w:val="001616CB"/>
    <w:rsid w:val="001619E6"/>
    <w:rsid w:val="00161DA4"/>
    <w:rsid w:val="00161E2D"/>
    <w:rsid w:val="001621EF"/>
    <w:rsid w:val="001624B0"/>
    <w:rsid w:val="0016263B"/>
    <w:rsid w:val="00162ABA"/>
    <w:rsid w:val="00162AC3"/>
    <w:rsid w:val="00162DDF"/>
    <w:rsid w:val="00162F2A"/>
    <w:rsid w:val="001631A9"/>
    <w:rsid w:val="00163243"/>
    <w:rsid w:val="001637A1"/>
    <w:rsid w:val="00163BF1"/>
    <w:rsid w:val="00163C01"/>
    <w:rsid w:val="00163D1F"/>
    <w:rsid w:val="0016436C"/>
    <w:rsid w:val="0016444F"/>
    <w:rsid w:val="0016456F"/>
    <w:rsid w:val="00164878"/>
    <w:rsid w:val="00164A1E"/>
    <w:rsid w:val="00164F57"/>
    <w:rsid w:val="00164FAC"/>
    <w:rsid w:val="00165003"/>
    <w:rsid w:val="00165DD6"/>
    <w:rsid w:val="00166196"/>
    <w:rsid w:val="001664BB"/>
    <w:rsid w:val="00166F66"/>
    <w:rsid w:val="00167475"/>
    <w:rsid w:val="00167B8E"/>
    <w:rsid w:val="00167EA0"/>
    <w:rsid w:val="00167FF6"/>
    <w:rsid w:val="00170138"/>
    <w:rsid w:val="001701CA"/>
    <w:rsid w:val="001702A3"/>
    <w:rsid w:val="00170361"/>
    <w:rsid w:val="0017042D"/>
    <w:rsid w:val="001706AA"/>
    <w:rsid w:val="0017098E"/>
    <w:rsid w:val="001710D9"/>
    <w:rsid w:val="00171261"/>
    <w:rsid w:val="00171283"/>
    <w:rsid w:val="00171427"/>
    <w:rsid w:val="00171C3F"/>
    <w:rsid w:val="00171DAF"/>
    <w:rsid w:val="0017229E"/>
    <w:rsid w:val="0017242D"/>
    <w:rsid w:val="00172BE9"/>
    <w:rsid w:val="00172C42"/>
    <w:rsid w:val="00172E1B"/>
    <w:rsid w:val="00173014"/>
    <w:rsid w:val="00173160"/>
    <w:rsid w:val="00173290"/>
    <w:rsid w:val="001736C2"/>
    <w:rsid w:val="00173BFB"/>
    <w:rsid w:val="00173F4F"/>
    <w:rsid w:val="0017462A"/>
    <w:rsid w:val="00174E61"/>
    <w:rsid w:val="0017518F"/>
    <w:rsid w:val="00175289"/>
    <w:rsid w:val="001752C0"/>
    <w:rsid w:val="0017578F"/>
    <w:rsid w:val="00175830"/>
    <w:rsid w:val="00175B91"/>
    <w:rsid w:val="00175CFC"/>
    <w:rsid w:val="00175D0C"/>
    <w:rsid w:val="00175D85"/>
    <w:rsid w:val="00175E8F"/>
    <w:rsid w:val="0017601F"/>
    <w:rsid w:val="0017607A"/>
    <w:rsid w:val="00176479"/>
    <w:rsid w:val="00176574"/>
    <w:rsid w:val="001765F3"/>
    <w:rsid w:val="00176A14"/>
    <w:rsid w:val="00176AF6"/>
    <w:rsid w:val="00177104"/>
    <w:rsid w:val="00177593"/>
    <w:rsid w:val="00177819"/>
    <w:rsid w:val="00177B0B"/>
    <w:rsid w:val="00177C38"/>
    <w:rsid w:val="00177CFE"/>
    <w:rsid w:val="00177EE6"/>
    <w:rsid w:val="001808E8"/>
    <w:rsid w:val="0018091B"/>
    <w:rsid w:val="00180932"/>
    <w:rsid w:val="00180A1B"/>
    <w:rsid w:val="00180C76"/>
    <w:rsid w:val="00181096"/>
    <w:rsid w:val="001812A7"/>
    <w:rsid w:val="001813A7"/>
    <w:rsid w:val="001819C2"/>
    <w:rsid w:val="0018208B"/>
    <w:rsid w:val="00182096"/>
    <w:rsid w:val="00182593"/>
    <w:rsid w:val="001828D0"/>
    <w:rsid w:val="00182E26"/>
    <w:rsid w:val="00182EAC"/>
    <w:rsid w:val="00182FAF"/>
    <w:rsid w:val="00183087"/>
    <w:rsid w:val="0018317F"/>
    <w:rsid w:val="001831E4"/>
    <w:rsid w:val="001834FC"/>
    <w:rsid w:val="00183501"/>
    <w:rsid w:val="00183580"/>
    <w:rsid w:val="001835EC"/>
    <w:rsid w:val="0018366C"/>
    <w:rsid w:val="00183C61"/>
    <w:rsid w:val="00184119"/>
    <w:rsid w:val="001843FE"/>
    <w:rsid w:val="001844D8"/>
    <w:rsid w:val="00184754"/>
    <w:rsid w:val="001848FF"/>
    <w:rsid w:val="00184C77"/>
    <w:rsid w:val="00184CFF"/>
    <w:rsid w:val="00184D31"/>
    <w:rsid w:val="00184D61"/>
    <w:rsid w:val="00184FA0"/>
    <w:rsid w:val="001855AD"/>
    <w:rsid w:val="00185792"/>
    <w:rsid w:val="00185957"/>
    <w:rsid w:val="00185C47"/>
    <w:rsid w:val="0018608A"/>
    <w:rsid w:val="001863D5"/>
    <w:rsid w:val="00186629"/>
    <w:rsid w:val="00186FB8"/>
    <w:rsid w:val="00186FD4"/>
    <w:rsid w:val="001871F1"/>
    <w:rsid w:val="001872BD"/>
    <w:rsid w:val="0018754E"/>
    <w:rsid w:val="00187693"/>
    <w:rsid w:val="00187A34"/>
    <w:rsid w:val="00187DFE"/>
    <w:rsid w:val="001907A0"/>
    <w:rsid w:val="001909EA"/>
    <w:rsid w:val="00190A7E"/>
    <w:rsid w:val="00190BAC"/>
    <w:rsid w:val="00190F89"/>
    <w:rsid w:val="00191196"/>
    <w:rsid w:val="00191462"/>
    <w:rsid w:val="001916BE"/>
    <w:rsid w:val="00191925"/>
    <w:rsid w:val="00191C2B"/>
    <w:rsid w:val="00192332"/>
    <w:rsid w:val="00192427"/>
    <w:rsid w:val="00192667"/>
    <w:rsid w:val="001927BA"/>
    <w:rsid w:val="00193225"/>
    <w:rsid w:val="00193579"/>
    <w:rsid w:val="00194256"/>
    <w:rsid w:val="001943CB"/>
    <w:rsid w:val="00194B05"/>
    <w:rsid w:val="00194B3F"/>
    <w:rsid w:val="0019518A"/>
    <w:rsid w:val="00195214"/>
    <w:rsid w:val="0019548C"/>
    <w:rsid w:val="001956D7"/>
    <w:rsid w:val="001960A1"/>
    <w:rsid w:val="001960EB"/>
    <w:rsid w:val="00196207"/>
    <w:rsid w:val="00196366"/>
    <w:rsid w:val="001963B1"/>
    <w:rsid w:val="001966C8"/>
    <w:rsid w:val="0019680E"/>
    <w:rsid w:val="0019688A"/>
    <w:rsid w:val="00196C0C"/>
    <w:rsid w:val="00196EB7"/>
    <w:rsid w:val="00196F8D"/>
    <w:rsid w:val="0019705B"/>
    <w:rsid w:val="0019732A"/>
    <w:rsid w:val="001973AC"/>
    <w:rsid w:val="00197428"/>
    <w:rsid w:val="0019766B"/>
    <w:rsid w:val="00197758"/>
    <w:rsid w:val="0019780A"/>
    <w:rsid w:val="00197BF4"/>
    <w:rsid w:val="00197E5D"/>
    <w:rsid w:val="001A0137"/>
    <w:rsid w:val="001A0367"/>
    <w:rsid w:val="001A084F"/>
    <w:rsid w:val="001A11AE"/>
    <w:rsid w:val="001A1354"/>
    <w:rsid w:val="001A13B2"/>
    <w:rsid w:val="001A143D"/>
    <w:rsid w:val="001A1B7A"/>
    <w:rsid w:val="001A20AE"/>
    <w:rsid w:val="001A22C7"/>
    <w:rsid w:val="001A2601"/>
    <w:rsid w:val="001A27D2"/>
    <w:rsid w:val="001A2CC7"/>
    <w:rsid w:val="001A2E56"/>
    <w:rsid w:val="001A3540"/>
    <w:rsid w:val="001A3624"/>
    <w:rsid w:val="001A3CC8"/>
    <w:rsid w:val="001A3DC7"/>
    <w:rsid w:val="001A3E96"/>
    <w:rsid w:val="001A3EFD"/>
    <w:rsid w:val="001A40BE"/>
    <w:rsid w:val="001A42A0"/>
    <w:rsid w:val="001A4555"/>
    <w:rsid w:val="001A5268"/>
    <w:rsid w:val="001A56D0"/>
    <w:rsid w:val="001A570B"/>
    <w:rsid w:val="001A5A54"/>
    <w:rsid w:val="001A5F47"/>
    <w:rsid w:val="001A6102"/>
    <w:rsid w:val="001A72C9"/>
    <w:rsid w:val="001A7A0E"/>
    <w:rsid w:val="001A7A40"/>
    <w:rsid w:val="001A7E52"/>
    <w:rsid w:val="001A7E84"/>
    <w:rsid w:val="001A7ECE"/>
    <w:rsid w:val="001B0B96"/>
    <w:rsid w:val="001B0F06"/>
    <w:rsid w:val="001B1635"/>
    <w:rsid w:val="001B188F"/>
    <w:rsid w:val="001B1912"/>
    <w:rsid w:val="001B1A2F"/>
    <w:rsid w:val="001B1E31"/>
    <w:rsid w:val="001B20B6"/>
    <w:rsid w:val="001B21EB"/>
    <w:rsid w:val="001B22DA"/>
    <w:rsid w:val="001B2540"/>
    <w:rsid w:val="001B2574"/>
    <w:rsid w:val="001B26F3"/>
    <w:rsid w:val="001B2772"/>
    <w:rsid w:val="001B27E4"/>
    <w:rsid w:val="001B2AA1"/>
    <w:rsid w:val="001B3544"/>
    <w:rsid w:val="001B35F2"/>
    <w:rsid w:val="001B39C7"/>
    <w:rsid w:val="001B3E12"/>
    <w:rsid w:val="001B3F9A"/>
    <w:rsid w:val="001B3FA1"/>
    <w:rsid w:val="001B40BB"/>
    <w:rsid w:val="001B4158"/>
    <w:rsid w:val="001B4207"/>
    <w:rsid w:val="001B425B"/>
    <w:rsid w:val="001B474F"/>
    <w:rsid w:val="001B47A9"/>
    <w:rsid w:val="001B495D"/>
    <w:rsid w:val="001B4BE2"/>
    <w:rsid w:val="001B4E58"/>
    <w:rsid w:val="001B5764"/>
    <w:rsid w:val="001B5901"/>
    <w:rsid w:val="001B59C2"/>
    <w:rsid w:val="001B59DA"/>
    <w:rsid w:val="001B5D7C"/>
    <w:rsid w:val="001B609D"/>
    <w:rsid w:val="001B6293"/>
    <w:rsid w:val="001B64BC"/>
    <w:rsid w:val="001B64E6"/>
    <w:rsid w:val="001B7291"/>
    <w:rsid w:val="001B79C0"/>
    <w:rsid w:val="001B7B2E"/>
    <w:rsid w:val="001B7EC3"/>
    <w:rsid w:val="001C00FC"/>
    <w:rsid w:val="001C0822"/>
    <w:rsid w:val="001C097A"/>
    <w:rsid w:val="001C09F1"/>
    <w:rsid w:val="001C160A"/>
    <w:rsid w:val="001C196C"/>
    <w:rsid w:val="001C1A94"/>
    <w:rsid w:val="001C1EF5"/>
    <w:rsid w:val="001C202A"/>
    <w:rsid w:val="001C230B"/>
    <w:rsid w:val="001C255B"/>
    <w:rsid w:val="001C27A9"/>
    <w:rsid w:val="001C2AF6"/>
    <w:rsid w:val="001C2D9E"/>
    <w:rsid w:val="001C2EA3"/>
    <w:rsid w:val="001C38B7"/>
    <w:rsid w:val="001C4050"/>
    <w:rsid w:val="001C4384"/>
    <w:rsid w:val="001C4AF1"/>
    <w:rsid w:val="001C4BE4"/>
    <w:rsid w:val="001C505A"/>
    <w:rsid w:val="001C530D"/>
    <w:rsid w:val="001C5E20"/>
    <w:rsid w:val="001C5E6E"/>
    <w:rsid w:val="001C5F2E"/>
    <w:rsid w:val="001C694B"/>
    <w:rsid w:val="001C6C81"/>
    <w:rsid w:val="001C6EC0"/>
    <w:rsid w:val="001C714E"/>
    <w:rsid w:val="001C7188"/>
    <w:rsid w:val="001C7231"/>
    <w:rsid w:val="001C7834"/>
    <w:rsid w:val="001D0049"/>
    <w:rsid w:val="001D01AE"/>
    <w:rsid w:val="001D024E"/>
    <w:rsid w:val="001D1C7F"/>
    <w:rsid w:val="001D21DA"/>
    <w:rsid w:val="001D3178"/>
    <w:rsid w:val="001D351B"/>
    <w:rsid w:val="001D3702"/>
    <w:rsid w:val="001D3709"/>
    <w:rsid w:val="001D39D2"/>
    <w:rsid w:val="001D3C35"/>
    <w:rsid w:val="001D42BF"/>
    <w:rsid w:val="001D48C1"/>
    <w:rsid w:val="001D4A12"/>
    <w:rsid w:val="001D4BEC"/>
    <w:rsid w:val="001D4C9B"/>
    <w:rsid w:val="001D51CE"/>
    <w:rsid w:val="001D5317"/>
    <w:rsid w:val="001D5468"/>
    <w:rsid w:val="001D5C83"/>
    <w:rsid w:val="001D603C"/>
    <w:rsid w:val="001D67C4"/>
    <w:rsid w:val="001D67FE"/>
    <w:rsid w:val="001D6B71"/>
    <w:rsid w:val="001D6C5B"/>
    <w:rsid w:val="001D6DF6"/>
    <w:rsid w:val="001D6F83"/>
    <w:rsid w:val="001D70A4"/>
    <w:rsid w:val="001D73E3"/>
    <w:rsid w:val="001D758F"/>
    <w:rsid w:val="001D75F1"/>
    <w:rsid w:val="001D7682"/>
    <w:rsid w:val="001D7A65"/>
    <w:rsid w:val="001D7B57"/>
    <w:rsid w:val="001D7BE0"/>
    <w:rsid w:val="001D7E9D"/>
    <w:rsid w:val="001D7EBA"/>
    <w:rsid w:val="001E0026"/>
    <w:rsid w:val="001E005B"/>
    <w:rsid w:val="001E053A"/>
    <w:rsid w:val="001E0CA7"/>
    <w:rsid w:val="001E1334"/>
    <w:rsid w:val="001E142E"/>
    <w:rsid w:val="001E144D"/>
    <w:rsid w:val="001E155D"/>
    <w:rsid w:val="001E176B"/>
    <w:rsid w:val="001E19AD"/>
    <w:rsid w:val="001E1F27"/>
    <w:rsid w:val="001E20FE"/>
    <w:rsid w:val="001E259E"/>
    <w:rsid w:val="001E2A6D"/>
    <w:rsid w:val="001E2C86"/>
    <w:rsid w:val="001E2DF0"/>
    <w:rsid w:val="001E3297"/>
    <w:rsid w:val="001E33F7"/>
    <w:rsid w:val="001E35C3"/>
    <w:rsid w:val="001E37AA"/>
    <w:rsid w:val="001E37D3"/>
    <w:rsid w:val="001E4141"/>
    <w:rsid w:val="001E43E5"/>
    <w:rsid w:val="001E4959"/>
    <w:rsid w:val="001E4AB1"/>
    <w:rsid w:val="001E4CCC"/>
    <w:rsid w:val="001E4DA2"/>
    <w:rsid w:val="001E4F63"/>
    <w:rsid w:val="001E57B5"/>
    <w:rsid w:val="001E5A93"/>
    <w:rsid w:val="001E5D38"/>
    <w:rsid w:val="001E5EA9"/>
    <w:rsid w:val="001E677B"/>
    <w:rsid w:val="001E6840"/>
    <w:rsid w:val="001E6BD1"/>
    <w:rsid w:val="001E6EDC"/>
    <w:rsid w:val="001E73DE"/>
    <w:rsid w:val="001F0049"/>
    <w:rsid w:val="001F06B9"/>
    <w:rsid w:val="001F0997"/>
    <w:rsid w:val="001F0A97"/>
    <w:rsid w:val="001F0A99"/>
    <w:rsid w:val="001F0DC5"/>
    <w:rsid w:val="001F1095"/>
    <w:rsid w:val="001F1299"/>
    <w:rsid w:val="001F14DF"/>
    <w:rsid w:val="001F1507"/>
    <w:rsid w:val="001F207C"/>
    <w:rsid w:val="001F22F3"/>
    <w:rsid w:val="001F29AE"/>
    <w:rsid w:val="001F2AB3"/>
    <w:rsid w:val="001F2CEA"/>
    <w:rsid w:val="001F32A7"/>
    <w:rsid w:val="001F385D"/>
    <w:rsid w:val="001F3BFF"/>
    <w:rsid w:val="001F3CD9"/>
    <w:rsid w:val="001F3F4E"/>
    <w:rsid w:val="001F4158"/>
    <w:rsid w:val="001F4520"/>
    <w:rsid w:val="001F45C6"/>
    <w:rsid w:val="001F4A79"/>
    <w:rsid w:val="001F4BF3"/>
    <w:rsid w:val="001F4E40"/>
    <w:rsid w:val="001F57E2"/>
    <w:rsid w:val="001F5CC3"/>
    <w:rsid w:val="001F5DB3"/>
    <w:rsid w:val="001F5F28"/>
    <w:rsid w:val="001F63F8"/>
    <w:rsid w:val="001F6543"/>
    <w:rsid w:val="001F6889"/>
    <w:rsid w:val="001F6E41"/>
    <w:rsid w:val="001F70CF"/>
    <w:rsid w:val="001F7308"/>
    <w:rsid w:val="001F7461"/>
    <w:rsid w:val="001F7742"/>
    <w:rsid w:val="001F78F1"/>
    <w:rsid w:val="001F7CAF"/>
    <w:rsid w:val="001F7D91"/>
    <w:rsid w:val="001F7E56"/>
    <w:rsid w:val="001F7F01"/>
    <w:rsid w:val="001F7FE0"/>
    <w:rsid w:val="002003B0"/>
    <w:rsid w:val="002009DE"/>
    <w:rsid w:val="0020136C"/>
    <w:rsid w:val="0020142B"/>
    <w:rsid w:val="00201628"/>
    <w:rsid w:val="00201781"/>
    <w:rsid w:val="0020185F"/>
    <w:rsid w:val="00201A65"/>
    <w:rsid w:val="00201D02"/>
    <w:rsid w:val="00201F00"/>
    <w:rsid w:val="0020222D"/>
    <w:rsid w:val="002029DC"/>
    <w:rsid w:val="00203303"/>
    <w:rsid w:val="0020334E"/>
    <w:rsid w:val="00203483"/>
    <w:rsid w:val="002037B2"/>
    <w:rsid w:val="00203AAD"/>
    <w:rsid w:val="00203BC0"/>
    <w:rsid w:val="00203FE0"/>
    <w:rsid w:val="00204100"/>
    <w:rsid w:val="00204621"/>
    <w:rsid w:val="00204CE2"/>
    <w:rsid w:val="00205693"/>
    <w:rsid w:val="00205950"/>
    <w:rsid w:val="00205A89"/>
    <w:rsid w:val="00205C0D"/>
    <w:rsid w:val="00205DA5"/>
    <w:rsid w:val="00206263"/>
    <w:rsid w:val="0020650C"/>
    <w:rsid w:val="00206AF2"/>
    <w:rsid w:val="00206F45"/>
    <w:rsid w:val="00207E25"/>
    <w:rsid w:val="00207F7B"/>
    <w:rsid w:val="00207F81"/>
    <w:rsid w:val="00210147"/>
    <w:rsid w:val="002105C1"/>
    <w:rsid w:val="0021062E"/>
    <w:rsid w:val="002106A7"/>
    <w:rsid w:val="0021079F"/>
    <w:rsid w:val="00210948"/>
    <w:rsid w:val="002109BE"/>
    <w:rsid w:val="002109C0"/>
    <w:rsid w:val="002109F5"/>
    <w:rsid w:val="00210A98"/>
    <w:rsid w:val="00210C92"/>
    <w:rsid w:val="00210D88"/>
    <w:rsid w:val="00210DED"/>
    <w:rsid w:val="00211167"/>
    <w:rsid w:val="0021134C"/>
    <w:rsid w:val="002113A3"/>
    <w:rsid w:val="00211A60"/>
    <w:rsid w:val="00212185"/>
    <w:rsid w:val="00212205"/>
    <w:rsid w:val="00212432"/>
    <w:rsid w:val="0021243C"/>
    <w:rsid w:val="00212677"/>
    <w:rsid w:val="00212784"/>
    <w:rsid w:val="00212841"/>
    <w:rsid w:val="00212A87"/>
    <w:rsid w:val="00212AA3"/>
    <w:rsid w:val="00212BFA"/>
    <w:rsid w:val="00212E05"/>
    <w:rsid w:val="00213107"/>
    <w:rsid w:val="00213791"/>
    <w:rsid w:val="002139BD"/>
    <w:rsid w:val="00213A05"/>
    <w:rsid w:val="00214548"/>
    <w:rsid w:val="00214BF3"/>
    <w:rsid w:val="002153E3"/>
    <w:rsid w:val="00215474"/>
    <w:rsid w:val="002154AB"/>
    <w:rsid w:val="00215716"/>
    <w:rsid w:val="002163E0"/>
    <w:rsid w:val="00216571"/>
    <w:rsid w:val="00216A25"/>
    <w:rsid w:val="00216B10"/>
    <w:rsid w:val="00216BC3"/>
    <w:rsid w:val="00216FEB"/>
    <w:rsid w:val="002173DB"/>
    <w:rsid w:val="0021751F"/>
    <w:rsid w:val="002175E8"/>
    <w:rsid w:val="00217903"/>
    <w:rsid w:val="002179B2"/>
    <w:rsid w:val="00217BE8"/>
    <w:rsid w:val="00217F2A"/>
    <w:rsid w:val="00220093"/>
    <w:rsid w:val="0022065B"/>
    <w:rsid w:val="00220AFD"/>
    <w:rsid w:val="00220BB8"/>
    <w:rsid w:val="002210F4"/>
    <w:rsid w:val="00221615"/>
    <w:rsid w:val="002216E0"/>
    <w:rsid w:val="0022178D"/>
    <w:rsid w:val="0022179D"/>
    <w:rsid w:val="0022185C"/>
    <w:rsid w:val="002218A2"/>
    <w:rsid w:val="002218A4"/>
    <w:rsid w:val="002219C4"/>
    <w:rsid w:val="00221DB6"/>
    <w:rsid w:val="00221ED8"/>
    <w:rsid w:val="0022223D"/>
    <w:rsid w:val="002227D9"/>
    <w:rsid w:val="00222A7E"/>
    <w:rsid w:val="00222F82"/>
    <w:rsid w:val="00223142"/>
    <w:rsid w:val="00223956"/>
    <w:rsid w:val="00223AD3"/>
    <w:rsid w:val="00223BA0"/>
    <w:rsid w:val="0022431D"/>
    <w:rsid w:val="002246F7"/>
    <w:rsid w:val="002251C6"/>
    <w:rsid w:val="002254D0"/>
    <w:rsid w:val="00225793"/>
    <w:rsid w:val="00225967"/>
    <w:rsid w:val="002259F3"/>
    <w:rsid w:val="00226188"/>
    <w:rsid w:val="002264DD"/>
    <w:rsid w:val="00226C84"/>
    <w:rsid w:val="002272CF"/>
    <w:rsid w:val="00227320"/>
    <w:rsid w:val="00227424"/>
    <w:rsid w:val="002276C4"/>
    <w:rsid w:val="00230033"/>
    <w:rsid w:val="002300BB"/>
    <w:rsid w:val="002304FF"/>
    <w:rsid w:val="002309A7"/>
    <w:rsid w:val="00230CE2"/>
    <w:rsid w:val="002311B8"/>
    <w:rsid w:val="002314D5"/>
    <w:rsid w:val="00231664"/>
    <w:rsid w:val="00231949"/>
    <w:rsid w:val="00231B39"/>
    <w:rsid w:val="00231BFE"/>
    <w:rsid w:val="00231F22"/>
    <w:rsid w:val="00231FBD"/>
    <w:rsid w:val="0023231A"/>
    <w:rsid w:val="00232763"/>
    <w:rsid w:val="00232A2E"/>
    <w:rsid w:val="00232FA9"/>
    <w:rsid w:val="00233082"/>
    <w:rsid w:val="00233180"/>
    <w:rsid w:val="00233474"/>
    <w:rsid w:val="00233674"/>
    <w:rsid w:val="002336C5"/>
    <w:rsid w:val="00233E42"/>
    <w:rsid w:val="00233E7F"/>
    <w:rsid w:val="00234110"/>
    <w:rsid w:val="00234120"/>
    <w:rsid w:val="002343F1"/>
    <w:rsid w:val="00234437"/>
    <w:rsid w:val="002349CF"/>
    <w:rsid w:val="002349ED"/>
    <w:rsid w:val="00234F4A"/>
    <w:rsid w:val="0023538F"/>
    <w:rsid w:val="002355D3"/>
    <w:rsid w:val="002358F8"/>
    <w:rsid w:val="00235AE2"/>
    <w:rsid w:val="00236294"/>
    <w:rsid w:val="002368F6"/>
    <w:rsid w:val="00236F99"/>
    <w:rsid w:val="0023731C"/>
    <w:rsid w:val="00237681"/>
    <w:rsid w:val="002377C2"/>
    <w:rsid w:val="002378CB"/>
    <w:rsid w:val="00237963"/>
    <w:rsid w:val="0024056B"/>
    <w:rsid w:val="00240682"/>
    <w:rsid w:val="002406E0"/>
    <w:rsid w:val="00240D1D"/>
    <w:rsid w:val="00240EB9"/>
    <w:rsid w:val="0024119A"/>
    <w:rsid w:val="002414B9"/>
    <w:rsid w:val="00241810"/>
    <w:rsid w:val="00241A63"/>
    <w:rsid w:val="00241C3E"/>
    <w:rsid w:val="00241CF4"/>
    <w:rsid w:val="00241E2B"/>
    <w:rsid w:val="00242439"/>
    <w:rsid w:val="00242A5F"/>
    <w:rsid w:val="00242BC3"/>
    <w:rsid w:val="00242C51"/>
    <w:rsid w:val="00242D3A"/>
    <w:rsid w:val="00242D74"/>
    <w:rsid w:val="0024339F"/>
    <w:rsid w:val="002434A9"/>
    <w:rsid w:val="00243535"/>
    <w:rsid w:val="00243EAD"/>
    <w:rsid w:val="0024442A"/>
    <w:rsid w:val="00244709"/>
    <w:rsid w:val="00244AE7"/>
    <w:rsid w:val="00244E54"/>
    <w:rsid w:val="002452CA"/>
    <w:rsid w:val="00245571"/>
    <w:rsid w:val="00245695"/>
    <w:rsid w:val="00245DB2"/>
    <w:rsid w:val="00245F5B"/>
    <w:rsid w:val="002467C2"/>
    <w:rsid w:val="002469EA"/>
    <w:rsid w:val="00246D63"/>
    <w:rsid w:val="00246DC2"/>
    <w:rsid w:val="0024709B"/>
    <w:rsid w:val="00247638"/>
    <w:rsid w:val="0024768E"/>
    <w:rsid w:val="0024776A"/>
    <w:rsid w:val="0024778E"/>
    <w:rsid w:val="0024784E"/>
    <w:rsid w:val="002479A4"/>
    <w:rsid w:val="002479B9"/>
    <w:rsid w:val="00247BCC"/>
    <w:rsid w:val="00247F3C"/>
    <w:rsid w:val="00250253"/>
    <w:rsid w:val="002504FE"/>
    <w:rsid w:val="00250C9F"/>
    <w:rsid w:val="00250EAA"/>
    <w:rsid w:val="00251099"/>
    <w:rsid w:val="002514C9"/>
    <w:rsid w:val="0025172B"/>
    <w:rsid w:val="00251984"/>
    <w:rsid w:val="00251A60"/>
    <w:rsid w:val="00251CDB"/>
    <w:rsid w:val="00251D1C"/>
    <w:rsid w:val="002525C6"/>
    <w:rsid w:val="002528F9"/>
    <w:rsid w:val="00252B28"/>
    <w:rsid w:val="00252BAF"/>
    <w:rsid w:val="00252CF7"/>
    <w:rsid w:val="00252D36"/>
    <w:rsid w:val="002530F8"/>
    <w:rsid w:val="002539C0"/>
    <w:rsid w:val="00253E19"/>
    <w:rsid w:val="00253F11"/>
    <w:rsid w:val="002542CD"/>
    <w:rsid w:val="00254597"/>
    <w:rsid w:val="00254AD2"/>
    <w:rsid w:val="00254E63"/>
    <w:rsid w:val="0025508A"/>
    <w:rsid w:val="002551C0"/>
    <w:rsid w:val="002551D2"/>
    <w:rsid w:val="002554F4"/>
    <w:rsid w:val="0025560B"/>
    <w:rsid w:val="002557C7"/>
    <w:rsid w:val="00255BC0"/>
    <w:rsid w:val="00256069"/>
    <w:rsid w:val="002562B9"/>
    <w:rsid w:val="00256495"/>
    <w:rsid w:val="0025651F"/>
    <w:rsid w:val="00256E1E"/>
    <w:rsid w:val="00256EE8"/>
    <w:rsid w:val="00257080"/>
    <w:rsid w:val="002577A0"/>
    <w:rsid w:val="00257DF6"/>
    <w:rsid w:val="002601E8"/>
    <w:rsid w:val="00260386"/>
    <w:rsid w:val="00260651"/>
    <w:rsid w:val="00260742"/>
    <w:rsid w:val="0026078A"/>
    <w:rsid w:val="002609BB"/>
    <w:rsid w:val="00260D0A"/>
    <w:rsid w:val="002610F3"/>
    <w:rsid w:val="00261261"/>
    <w:rsid w:val="00261279"/>
    <w:rsid w:val="0026187B"/>
    <w:rsid w:val="00261A18"/>
    <w:rsid w:val="00261C2C"/>
    <w:rsid w:val="0026201C"/>
    <w:rsid w:val="0026266D"/>
    <w:rsid w:val="0026278D"/>
    <w:rsid w:val="0026289F"/>
    <w:rsid w:val="00262EC5"/>
    <w:rsid w:val="002630DF"/>
    <w:rsid w:val="002637FC"/>
    <w:rsid w:val="00263A57"/>
    <w:rsid w:val="00263DC4"/>
    <w:rsid w:val="00264A3D"/>
    <w:rsid w:val="00264A5E"/>
    <w:rsid w:val="00264B01"/>
    <w:rsid w:val="00265193"/>
    <w:rsid w:val="00265249"/>
    <w:rsid w:val="002652EE"/>
    <w:rsid w:val="002656F3"/>
    <w:rsid w:val="00265736"/>
    <w:rsid w:val="00265739"/>
    <w:rsid w:val="00265830"/>
    <w:rsid w:val="00265B2D"/>
    <w:rsid w:val="00265B74"/>
    <w:rsid w:val="00265CF4"/>
    <w:rsid w:val="002660E7"/>
    <w:rsid w:val="002663A6"/>
    <w:rsid w:val="00266436"/>
    <w:rsid w:val="002665F7"/>
    <w:rsid w:val="00266749"/>
    <w:rsid w:val="00266816"/>
    <w:rsid w:val="00266AE8"/>
    <w:rsid w:val="00266B7D"/>
    <w:rsid w:val="00266CF4"/>
    <w:rsid w:val="00266D0B"/>
    <w:rsid w:val="0026700F"/>
    <w:rsid w:val="0026790D"/>
    <w:rsid w:val="00267B57"/>
    <w:rsid w:val="0027009D"/>
    <w:rsid w:val="00270562"/>
    <w:rsid w:val="002706AA"/>
    <w:rsid w:val="002708D5"/>
    <w:rsid w:val="00270C7F"/>
    <w:rsid w:val="002711E2"/>
    <w:rsid w:val="00271439"/>
    <w:rsid w:val="00271D40"/>
    <w:rsid w:val="002724A5"/>
    <w:rsid w:val="00272916"/>
    <w:rsid w:val="00272C18"/>
    <w:rsid w:val="00272EF5"/>
    <w:rsid w:val="002736CA"/>
    <w:rsid w:val="0027391A"/>
    <w:rsid w:val="00273B49"/>
    <w:rsid w:val="00273C12"/>
    <w:rsid w:val="00273D39"/>
    <w:rsid w:val="00273D64"/>
    <w:rsid w:val="00274014"/>
    <w:rsid w:val="002741B7"/>
    <w:rsid w:val="00274470"/>
    <w:rsid w:val="00274500"/>
    <w:rsid w:val="002746A4"/>
    <w:rsid w:val="00274787"/>
    <w:rsid w:val="00274B2C"/>
    <w:rsid w:val="00274E5F"/>
    <w:rsid w:val="00275201"/>
    <w:rsid w:val="0027531C"/>
    <w:rsid w:val="00275D02"/>
    <w:rsid w:val="00275D19"/>
    <w:rsid w:val="002764A8"/>
    <w:rsid w:val="002765B4"/>
    <w:rsid w:val="00276C52"/>
    <w:rsid w:val="00276FA2"/>
    <w:rsid w:val="002770BA"/>
    <w:rsid w:val="00277507"/>
    <w:rsid w:val="002776A7"/>
    <w:rsid w:val="002776F1"/>
    <w:rsid w:val="00277764"/>
    <w:rsid w:val="00277AC3"/>
    <w:rsid w:val="00277B59"/>
    <w:rsid w:val="00277D42"/>
    <w:rsid w:val="00277FE2"/>
    <w:rsid w:val="0028000B"/>
    <w:rsid w:val="00280129"/>
    <w:rsid w:val="002801BE"/>
    <w:rsid w:val="002803D4"/>
    <w:rsid w:val="0028055C"/>
    <w:rsid w:val="00280EE2"/>
    <w:rsid w:val="002811FC"/>
    <w:rsid w:val="0028121E"/>
    <w:rsid w:val="002812DE"/>
    <w:rsid w:val="0028150E"/>
    <w:rsid w:val="00281636"/>
    <w:rsid w:val="0028181E"/>
    <w:rsid w:val="00281A9D"/>
    <w:rsid w:val="00281C3B"/>
    <w:rsid w:val="00281D7B"/>
    <w:rsid w:val="002822CF"/>
    <w:rsid w:val="002822F7"/>
    <w:rsid w:val="002829AF"/>
    <w:rsid w:val="00282A0E"/>
    <w:rsid w:val="00282B45"/>
    <w:rsid w:val="0028325B"/>
    <w:rsid w:val="00283527"/>
    <w:rsid w:val="00283599"/>
    <w:rsid w:val="002835EB"/>
    <w:rsid w:val="00283EC1"/>
    <w:rsid w:val="00284188"/>
    <w:rsid w:val="00284219"/>
    <w:rsid w:val="002842B4"/>
    <w:rsid w:val="00284495"/>
    <w:rsid w:val="002846D2"/>
    <w:rsid w:val="00284A44"/>
    <w:rsid w:val="002850E3"/>
    <w:rsid w:val="00285259"/>
    <w:rsid w:val="00285296"/>
    <w:rsid w:val="002854A2"/>
    <w:rsid w:val="002859E6"/>
    <w:rsid w:val="00286081"/>
    <w:rsid w:val="00286A48"/>
    <w:rsid w:val="00286FA6"/>
    <w:rsid w:val="00287165"/>
    <w:rsid w:val="00287236"/>
    <w:rsid w:val="00287749"/>
    <w:rsid w:val="00287F4C"/>
    <w:rsid w:val="00290547"/>
    <w:rsid w:val="00290623"/>
    <w:rsid w:val="002908C3"/>
    <w:rsid w:val="00290921"/>
    <w:rsid w:val="00290D74"/>
    <w:rsid w:val="002911A9"/>
    <w:rsid w:val="002913E1"/>
    <w:rsid w:val="00291950"/>
    <w:rsid w:val="00291D28"/>
    <w:rsid w:val="00291FFE"/>
    <w:rsid w:val="00292187"/>
    <w:rsid w:val="0029230C"/>
    <w:rsid w:val="0029270C"/>
    <w:rsid w:val="00292763"/>
    <w:rsid w:val="00292BE7"/>
    <w:rsid w:val="00293002"/>
    <w:rsid w:val="0029331F"/>
    <w:rsid w:val="00293377"/>
    <w:rsid w:val="002933D6"/>
    <w:rsid w:val="002933DF"/>
    <w:rsid w:val="002934DC"/>
    <w:rsid w:val="0029355C"/>
    <w:rsid w:val="002938B3"/>
    <w:rsid w:val="00293C73"/>
    <w:rsid w:val="00293E30"/>
    <w:rsid w:val="00294001"/>
    <w:rsid w:val="00294019"/>
    <w:rsid w:val="002946B9"/>
    <w:rsid w:val="00294888"/>
    <w:rsid w:val="00294B4F"/>
    <w:rsid w:val="00294B9E"/>
    <w:rsid w:val="00295095"/>
    <w:rsid w:val="00295E02"/>
    <w:rsid w:val="00295F5D"/>
    <w:rsid w:val="0029601F"/>
    <w:rsid w:val="0029612F"/>
    <w:rsid w:val="00296320"/>
    <w:rsid w:val="00296476"/>
    <w:rsid w:val="00296579"/>
    <w:rsid w:val="00296BB7"/>
    <w:rsid w:val="0029743E"/>
    <w:rsid w:val="002974BF"/>
    <w:rsid w:val="002977F4"/>
    <w:rsid w:val="00297BE8"/>
    <w:rsid w:val="00297C51"/>
    <w:rsid w:val="00297D2B"/>
    <w:rsid w:val="002A0DBF"/>
    <w:rsid w:val="002A0E97"/>
    <w:rsid w:val="002A11CD"/>
    <w:rsid w:val="002A1607"/>
    <w:rsid w:val="002A1668"/>
    <w:rsid w:val="002A2116"/>
    <w:rsid w:val="002A285F"/>
    <w:rsid w:val="002A2D70"/>
    <w:rsid w:val="002A343D"/>
    <w:rsid w:val="002A348C"/>
    <w:rsid w:val="002A3624"/>
    <w:rsid w:val="002A3678"/>
    <w:rsid w:val="002A381F"/>
    <w:rsid w:val="002A3DBC"/>
    <w:rsid w:val="002A4128"/>
    <w:rsid w:val="002A4297"/>
    <w:rsid w:val="002A462A"/>
    <w:rsid w:val="002A4F06"/>
    <w:rsid w:val="002A577C"/>
    <w:rsid w:val="002A5CFF"/>
    <w:rsid w:val="002A5E7F"/>
    <w:rsid w:val="002A5F7A"/>
    <w:rsid w:val="002A66F5"/>
    <w:rsid w:val="002A6760"/>
    <w:rsid w:val="002A6E34"/>
    <w:rsid w:val="002A71A3"/>
    <w:rsid w:val="002A77DD"/>
    <w:rsid w:val="002A7DE8"/>
    <w:rsid w:val="002B02B6"/>
    <w:rsid w:val="002B02C9"/>
    <w:rsid w:val="002B0315"/>
    <w:rsid w:val="002B0473"/>
    <w:rsid w:val="002B0504"/>
    <w:rsid w:val="002B055D"/>
    <w:rsid w:val="002B05D4"/>
    <w:rsid w:val="002B0A1C"/>
    <w:rsid w:val="002B0D00"/>
    <w:rsid w:val="002B118B"/>
    <w:rsid w:val="002B122F"/>
    <w:rsid w:val="002B1646"/>
    <w:rsid w:val="002B1811"/>
    <w:rsid w:val="002B1A62"/>
    <w:rsid w:val="002B1E21"/>
    <w:rsid w:val="002B24E1"/>
    <w:rsid w:val="002B2CA1"/>
    <w:rsid w:val="002B2D5E"/>
    <w:rsid w:val="002B316D"/>
    <w:rsid w:val="002B3201"/>
    <w:rsid w:val="002B37DA"/>
    <w:rsid w:val="002B3B31"/>
    <w:rsid w:val="002B400C"/>
    <w:rsid w:val="002B40E3"/>
    <w:rsid w:val="002B422A"/>
    <w:rsid w:val="002B4431"/>
    <w:rsid w:val="002B48C2"/>
    <w:rsid w:val="002B5037"/>
    <w:rsid w:val="002B51F5"/>
    <w:rsid w:val="002B5504"/>
    <w:rsid w:val="002B5A80"/>
    <w:rsid w:val="002B6141"/>
    <w:rsid w:val="002B6253"/>
    <w:rsid w:val="002B6B28"/>
    <w:rsid w:val="002C0591"/>
    <w:rsid w:val="002C0826"/>
    <w:rsid w:val="002C0985"/>
    <w:rsid w:val="002C098D"/>
    <w:rsid w:val="002C0BEF"/>
    <w:rsid w:val="002C0D29"/>
    <w:rsid w:val="002C109F"/>
    <w:rsid w:val="002C157F"/>
    <w:rsid w:val="002C1632"/>
    <w:rsid w:val="002C1817"/>
    <w:rsid w:val="002C18AD"/>
    <w:rsid w:val="002C1E64"/>
    <w:rsid w:val="002C201C"/>
    <w:rsid w:val="002C216E"/>
    <w:rsid w:val="002C21B6"/>
    <w:rsid w:val="002C23EF"/>
    <w:rsid w:val="002C27F3"/>
    <w:rsid w:val="002C2B8C"/>
    <w:rsid w:val="002C2C23"/>
    <w:rsid w:val="002C30D0"/>
    <w:rsid w:val="002C3122"/>
    <w:rsid w:val="002C31DD"/>
    <w:rsid w:val="002C340D"/>
    <w:rsid w:val="002C350A"/>
    <w:rsid w:val="002C3558"/>
    <w:rsid w:val="002C3A02"/>
    <w:rsid w:val="002C3F27"/>
    <w:rsid w:val="002C459B"/>
    <w:rsid w:val="002C4A86"/>
    <w:rsid w:val="002C4DA2"/>
    <w:rsid w:val="002C4E4B"/>
    <w:rsid w:val="002C4E50"/>
    <w:rsid w:val="002C4FA3"/>
    <w:rsid w:val="002C50F7"/>
    <w:rsid w:val="002C5165"/>
    <w:rsid w:val="002C5187"/>
    <w:rsid w:val="002C598F"/>
    <w:rsid w:val="002C5996"/>
    <w:rsid w:val="002C653C"/>
    <w:rsid w:val="002C66A5"/>
    <w:rsid w:val="002C6A04"/>
    <w:rsid w:val="002C6B51"/>
    <w:rsid w:val="002C6F4F"/>
    <w:rsid w:val="002C6F6E"/>
    <w:rsid w:val="002C7014"/>
    <w:rsid w:val="002C7175"/>
    <w:rsid w:val="002C7621"/>
    <w:rsid w:val="002C7A6E"/>
    <w:rsid w:val="002C7CC1"/>
    <w:rsid w:val="002C7ED6"/>
    <w:rsid w:val="002C7EFD"/>
    <w:rsid w:val="002D029A"/>
    <w:rsid w:val="002D0407"/>
    <w:rsid w:val="002D0480"/>
    <w:rsid w:val="002D0606"/>
    <w:rsid w:val="002D07BD"/>
    <w:rsid w:val="002D0C6C"/>
    <w:rsid w:val="002D0CC9"/>
    <w:rsid w:val="002D0D9F"/>
    <w:rsid w:val="002D0E1C"/>
    <w:rsid w:val="002D10E8"/>
    <w:rsid w:val="002D17C2"/>
    <w:rsid w:val="002D1BA4"/>
    <w:rsid w:val="002D1E69"/>
    <w:rsid w:val="002D211F"/>
    <w:rsid w:val="002D2222"/>
    <w:rsid w:val="002D22FB"/>
    <w:rsid w:val="002D23D5"/>
    <w:rsid w:val="002D26E7"/>
    <w:rsid w:val="002D2918"/>
    <w:rsid w:val="002D2B2C"/>
    <w:rsid w:val="002D30B3"/>
    <w:rsid w:val="002D3B6C"/>
    <w:rsid w:val="002D3E79"/>
    <w:rsid w:val="002D4087"/>
    <w:rsid w:val="002D40C3"/>
    <w:rsid w:val="002D512D"/>
    <w:rsid w:val="002D550F"/>
    <w:rsid w:val="002D5666"/>
    <w:rsid w:val="002D5A48"/>
    <w:rsid w:val="002D5E76"/>
    <w:rsid w:val="002D5F18"/>
    <w:rsid w:val="002D6296"/>
    <w:rsid w:val="002D659B"/>
    <w:rsid w:val="002D666A"/>
    <w:rsid w:val="002D683A"/>
    <w:rsid w:val="002D69FC"/>
    <w:rsid w:val="002D6B72"/>
    <w:rsid w:val="002D6D39"/>
    <w:rsid w:val="002D72DF"/>
    <w:rsid w:val="002D7306"/>
    <w:rsid w:val="002D7D04"/>
    <w:rsid w:val="002E0082"/>
    <w:rsid w:val="002E058F"/>
    <w:rsid w:val="002E0925"/>
    <w:rsid w:val="002E09EC"/>
    <w:rsid w:val="002E0D51"/>
    <w:rsid w:val="002E16BA"/>
    <w:rsid w:val="002E1772"/>
    <w:rsid w:val="002E1808"/>
    <w:rsid w:val="002E1DF6"/>
    <w:rsid w:val="002E2818"/>
    <w:rsid w:val="002E2C8E"/>
    <w:rsid w:val="002E300F"/>
    <w:rsid w:val="002E3DAA"/>
    <w:rsid w:val="002E4237"/>
    <w:rsid w:val="002E495B"/>
    <w:rsid w:val="002E53E0"/>
    <w:rsid w:val="002E5A13"/>
    <w:rsid w:val="002E5C94"/>
    <w:rsid w:val="002E5FED"/>
    <w:rsid w:val="002E615D"/>
    <w:rsid w:val="002E6851"/>
    <w:rsid w:val="002E6907"/>
    <w:rsid w:val="002E6B2D"/>
    <w:rsid w:val="002E6CC7"/>
    <w:rsid w:val="002E6ED8"/>
    <w:rsid w:val="002E7220"/>
    <w:rsid w:val="002E7BDC"/>
    <w:rsid w:val="002E7D35"/>
    <w:rsid w:val="002E7DD9"/>
    <w:rsid w:val="002E7E02"/>
    <w:rsid w:val="002F08A7"/>
    <w:rsid w:val="002F0999"/>
    <w:rsid w:val="002F0B40"/>
    <w:rsid w:val="002F0BFE"/>
    <w:rsid w:val="002F1451"/>
    <w:rsid w:val="002F1AC3"/>
    <w:rsid w:val="002F1E10"/>
    <w:rsid w:val="002F1E9E"/>
    <w:rsid w:val="002F23EF"/>
    <w:rsid w:val="002F2404"/>
    <w:rsid w:val="002F25E1"/>
    <w:rsid w:val="002F272E"/>
    <w:rsid w:val="002F278B"/>
    <w:rsid w:val="002F2A64"/>
    <w:rsid w:val="002F2B19"/>
    <w:rsid w:val="002F2B88"/>
    <w:rsid w:val="002F2F47"/>
    <w:rsid w:val="002F33C4"/>
    <w:rsid w:val="002F3C17"/>
    <w:rsid w:val="002F3EC7"/>
    <w:rsid w:val="002F4C2F"/>
    <w:rsid w:val="002F4DCA"/>
    <w:rsid w:val="002F4FA7"/>
    <w:rsid w:val="002F5538"/>
    <w:rsid w:val="002F5588"/>
    <w:rsid w:val="002F5772"/>
    <w:rsid w:val="002F5779"/>
    <w:rsid w:val="002F6032"/>
    <w:rsid w:val="002F60D8"/>
    <w:rsid w:val="002F613E"/>
    <w:rsid w:val="002F62F7"/>
    <w:rsid w:val="002F6378"/>
    <w:rsid w:val="002F667D"/>
    <w:rsid w:val="002F669D"/>
    <w:rsid w:val="002F66C8"/>
    <w:rsid w:val="002F6AEE"/>
    <w:rsid w:val="002F6C17"/>
    <w:rsid w:val="002F7366"/>
    <w:rsid w:val="003004AE"/>
    <w:rsid w:val="00300646"/>
    <w:rsid w:val="00300C12"/>
    <w:rsid w:val="00300C27"/>
    <w:rsid w:val="00300D96"/>
    <w:rsid w:val="00300E6A"/>
    <w:rsid w:val="003013FF"/>
    <w:rsid w:val="00301498"/>
    <w:rsid w:val="00301767"/>
    <w:rsid w:val="00301FEB"/>
    <w:rsid w:val="00302031"/>
    <w:rsid w:val="00302521"/>
    <w:rsid w:val="0030270D"/>
    <w:rsid w:val="00302B9E"/>
    <w:rsid w:val="00302C30"/>
    <w:rsid w:val="00302DEA"/>
    <w:rsid w:val="0030303F"/>
    <w:rsid w:val="00303333"/>
    <w:rsid w:val="00303513"/>
    <w:rsid w:val="00303A4F"/>
    <w:rsid w:val="00303BDC"/>
    <w:rsid w:val="00303DB8"/>
    <w:rsid w:val="0030405E"/>
    <w:rsid w:val="0030452B"/>
    <w:rsid w:val="0030455D"/>
    <w:rsid w:val="00304666"/>
    <w:rsid w:val="00304835"/>
    <w:rsid w:val="0030487D"/>
    <w:rsid w:val="00304B91"/>
    <w:rsid w:val="00304FB8"/>
    <w:rsid w:val="003051DB"/>
    <w:rsid w:val="00305892"/>
    <w:rsid w:val="00305957"/>
    <w:rsid w:val="00305E1F"/>
    <w:rsid w:val="003061CB"/>
    <w:rsid w:val="0030623C"/>
    <w:rsid w:val="00306842"/>
    <w:rsid w:val="00306958"/>
    <w:rsid w:val="00306A87"/>
    <w:rsid w:val="00306B2C"/>
    <w:rsid w:val="0030702F"/>
    <w:rsid w:val="003070F7"/>
    <w:rsid w:val="00307153"/>
    <w:rsid w:val="0030796F"/>
    <w:rsid w:val="0030797A"/>
    <w:rsid w:val="00307D41"/>
    <w:rsid w:val="00307D93"/>
    <w:rsid w:val="00310063"/>
    <w:rsid w:val="003100FD"/>
    <w:rsid w:val="0031067F"/>
    <w:rsid w:val="00310CAB"/>
    <w:rsid w:val="00311013"/>
    <w:rsid w:val="00311152"/>
    <w:rsid w:val="00311186"/>
    <w:rsid w:val="003113C0"/>
    <w:rsid w:val="003116E8"/>
    <w:rsid w:val="003116E9"/>
    <w:rsid w:val="003117B1"/>
    <w:rsid w:val="00311851"/>
    <w:rsid w:val="00311AAA"/>
    <w:rsid w:val="00311E0B"/>
    <w:rsid w:val="003121B8"/>
    <w:rsid w:val="003122E3"/>
    <w:rsid w:val="003125B7"/>
    <w:rsid w:val="003126D8"/>
    <w:rsid w:val="003129FE"/>
    <w:rsid w:val="00312BE0"/>
    <w:rsid w:val="00312EC5"/>
    <w:rsid w:val="00312F98"/>
    <w:rsid w:val="00313119"/>
    <w:rsid w:val="003131B9"/>
    <w:rsid w:val="00313341"/>
    <w:rsid w:val="0031341A"/>
    <w:rsid w:val="00313A5F"/>
    <w:rsid w:val="00313C49"/>
    <w:rsid w:val="00313E25"/>
    <w:rsid w:val="0031426C"/>
    <w:rsid w:val="0031454E"/>
    <w:rsid w:val="003145E4"/>
    <w:rsid w:val="003149E2"/>
    <w:rsid w:val="00314F8B"/>
    <w:rsid w:val="00315639"/>
    <w:rsid w:val="00315781"/>
    <w:rsid w:val="00315A8A"/>
    <w:rsid w:val="00315B33"/>
    <w:rsid w:val="00315E92"/>
    <w:rsid w:val="003160D7"/>
    <w:rsid w:val="003166A8"/>
    <w:rsid w:val="00316759"/>
    <w:rsid w:val="003169A3"/>
    <w:rsid w:val="003169E0"/>
    <w:rsid w:val="00316D5C"/>
    <w:rsid w:val="00316DDA"/>
    <w:rsid w:val="00316EBC"/>
    <w:rsid w:val="00316F22"/>
    <w:rsid w:val="00317298"/>
    <w:rsid w:val="00317430"/>
    <w:rsid w:val="00317B62"/>
    <w:rsid w:val="00317BA8"/>
    <w:rsid w:val="00317C77"/>
    <w:rsid w:val="00317DC6"/>
    <w:rsid w:val="00317F0D"/>
    <w:rsid w:val="00317F2F"/>
    <w:rsid w:val="00317F7C"/>
    <w:rsid w:val="00320651"/>
    <w:rsid w:val="00320744"/>
    <w:rsid w:val="00320923"/>
    <w:rsid w:val="00320C3A"/>
    <w:rsid w:val="003210FA"/>
    <w:rsid w:val="0032142C"/>
    <w:rsid w:val="003214FC"/>
    <w:rsid w:val="00321527"/>
    <w:rsid w:val="003219FA"/>
    <w:rsid w:val="00321A47"/>
    <w:rsid w:val="00322103"/>
    <w:rsid w:val="00322382"/>
    <w:rsid w:val="003223DA"/>
    <w:rsid w:val="00322433"/>
    <w:rsid w:val="00322462"/>
    <w:rsid w:val="0032263A"/>
    <w:rsid w:val="0032276E"/>
    <w:rsid w:val="003228CB"/>
    <w:rsid w:val="00322CF5"/>
    <w:rsid w:val="003232D1"/>
    <w:rsid w:val="0032342F"/>
    <w:rsid w:val="00323533"/>
    <w:rsid w:val="003237B2"/>
    <w:rsid w:val="00324111"/>
    <w:rsid w:val="00324162"/>
    <w:rsid w:val="003243CE"/>
    <w:rsid w:val="0032444A"/>
    <w:rsid w:val="003245D7"/>
    <w:rsid w:val="0032466A"/>
    <w:rsid w:val="003248AA"/>
    <w:rsid w:val="00324A87"/>
    <w:rsid w:val="00324C63"/>
    <w:rsid w:val="00324D7D"/>
    <w:rsid w:val="00325292"/>
    <w:rsid w:val="00325395"/>
    <w:rsid w:val="00325576"/>
    <w:rsid w:val="00325B64"/>
    <w:rsid w:val="00325B6B"/>
    <w:rsid w:val="00325D3E"/>
    <w:rsid w:val="00325E85"/>
    <w:rsid w:val="00325F83"/>
    <w:rsid w:val="003264F4"/>
    <w:rsid w:val="003265F4"/>
    <w:rsid w:val="003267C4"/>
    <w:rsid w:val="00327069"/>
    <w:rsid w:val="003272D6"/>
    <w:rsid w:val="00327325"/>
    <w:rsid w:val="00327457"/>
    <w:rsid w:val="00327476"/>
    <w:rsid w:val="00327566"/>
    <w:rsid w:val="003275F1"/>
    <w:rsid w:val="0032774E"/>
    <w:rsid w:val="00327F83"/>
    <w:rsid w:val="0033013D"/>
    <w:rsid w:val="00330640"/>
    <w:rsid w:val="0033064D"/>
    <w:rsid w:val="003313F2"/>
    <w:rsid w:val="003315A9"/>
    <w:rsid w:val="003315AE"/>
    <w:rsid w:val="003316FA"/>
    <w:rsid w:val="00332462"/>
    <w:rsid w:val="00332704"/>
    <w:rsid w:val="00332ADB"/>
    <w:rsid w:val="00332B8F"/>
    <w:rsid w:val="00333841"/>
    <w:rsid w:val="00334AD7"/>
    <w:rsid w:val="00335205"/>
    <w:rsid w:val="0033560D"/>
    <w:rsid w:val="00335A5F"/>
    <w:rsid w:val="00335D7A"/>
    <w:rsid w:val="00335F09"/>
    <w:rsid w:val="00336169"/>
    <w:rsid w:val="00336247"/>
    <w:rsid w:val="0033647B"/>
    <w:rsid w:val="003365D7"/>
    <w:rsid w:val="00336992"/>
    <w:rsid w:val="00336EE1"/>
    <w:rsid w:val="003373FA"/>
    <w:rsid w:val="003374A5"/>
    <w:rsid w:val="00337529"/>
    <w:rsid w:val="003377B5"/>
    <w:rsid w:val="003378F7"/>
    <w:rsid w:val="003379EB"/>
    <w:rsid w:val="00337D38"/>
    <w:rsid w:val="00337F6F"/>
    <w:rsid w:val="00337FB8"/>
    <w:rsid w:val="0034045D"/>
    <w:rsid w:val="003405DF"/>
    <w:rsid w:val="00340733"/>
    <w:rsid w:val="00340911"/>
    <w:rsid w:val="00340C59"/>
    <w:rsid w:val="00340F30"/>
    <w:rsid w:val="00342044"/>
    <w:rsid w:val="003420F2"/>
    <w:rsid w:val="00342590"/>
    <w:rsid w:val="00342A8D"/>
    <w:rsid w:val="00342DCF"/>
    <w:rsid w:val="003431C3"/>
    <w:rsid w:val="00344565"/>
    <w:rsid w:val="0034467A"/>
    <w:rsid w:val="0034474A"/>
    <w:rsid w:val="00344BD2"/>
    <w:rsid w:val="00344E92"/>
    <w:rsid w:val="00344EEA"/>
    <w:rsid w:val="00345043"/>
    <w:rsid w:val="003454DD"/>
    <w:rsid w:val="00345B3F"/>
    <w:rsid w:val="0034663B"/>
    <w:rsid w:val="00346D8F"/>
    <w:rsid w:val="00346F5A"/>
    <w:rsid w:val="00347012"/>
    <w:rsid w:val="003470B4"/>
    <w:rsid w:val="00347BA9"/>
    <w:rsid w:val="00350451"/>
    <w:rsid w:val="00350570"/>
    <w:rsid w:val="00350A71"/>
    <w:rsid w:val="00350D4C"/>
    <w:rsid w:val="00350E6B"/>
    <w:rsid w:val="00351170"/>
    <w:rsid w:val="0035166B"/>
    <w:rsid w:val="00351C81"/>
    <w:rsid w:val="00352499"/>
    <w:rsid w:val="00352863"/>
    <w:rsid w:val="00352AD3"/>
    <w:rsid w:val="00352FCF"/>
    <w:rsid w:val="003532A6"/>
    <w:rsid w:val="00353318"/>
    <w:rsid w:val="00353909"/>
    <w:rsid w:val="00353ACA"/>
    <w:rsid w:val="00353B7E"/>
    <w:rsid w:val="0035402B"/>
    <w:rsid w:val="00354443"/>
    <w:rsid w:val="00354CD5"/>
    <w:rsid w:val="00354E31"/>
    <w:rsid w:val="00354F11"/>
    <w:rsid w:val="0035500F"/>
    <w:rsid w:val="00355093"/>
    <w:rsid w:val="00355772"/>
    <w:rsid w:val="003559EA"/>
    <w:rsid w:val="00355DB0"/>
    <w:rsid w:val="00355DBF"/>
    <w:rsid w:val="00355F23"/>
    <w:rsid w:val="003561B8"/>
    <w:rsid w:val="00356260"/>
    <w:rsid w:val="0035628B"/>
    <w:rsid w:val="0035666F"/>
    <w:rsid w:val="0035679D"/>
    <w:rsid w:val="00356841"/>
    <w:rsid w:val="00356CE1"/>
    <w:rsid w:val="00356D8E"/>
    <w:rsid w:val="00356ED7"/>
    <w:rsid w:val="00357588"/>
    <w:rsid w:val="003577A5"/>
    <w:rsid w:val="0036011E"/>
    <w:rsid w:val="00360714"/>
    <w:rsid w:val="00360928"/>
    <w:rsid w:val="00360C33"/>
    <w:rsid w:val="00360DE2"/>
    <w:rsid w:val="00361272"/>
    <w:rsid w:val="00361522"/>
    <w:rsid w:val="003617E9"/>
    <w:rsid w:val="00361AAA"/>
    <w:rsid w:val="00361AFB"/>
    <w:rsid w:val="00362333"/>
    <w:rsid w:val="0036233D"/>
    <w:rsid w:val="00362373"/>
    <w:rsid w:val="003626EA"/>
    <w:rsid w:val="00362BA1"/>
    <w:rsid w:val="00362F33"/>
    <w:rsid w:val="00363A81"/>
    <w:rsid w:val="00363B34"/>
    <w:rsid w:val="00363B51"/>
    <w:rsid w:val="00363DEE"/>
    <w:rsid w:val="00363EEE"/>
    <w:rsid w:val="00364670"/>
    <w:rsid w:val="00364E9E"/>
    <w:rsid w:val="00365118"/>
    <w:rsid w:val="0036524A"/>
    <w:rsid w:val="00365F9C"/>
    <w:rsid w:val="00366186"/>
    <w:rsid w:val="00366543"/>
    <w:rsid w:val="0036677B"/>
    <w:rsid w:val="0036688C"/>
    <w:rsid w:val="00366F22"/>
    <w:rsid w:val="00367395"/>
    <w:rsid w:val="0036777E"/>
    <w:rsid w:val="00367990"/>
    <w:rsid w:val="00367D92"/>
    <w:rsid w:val="00367DF1"/>
    <w:rsid w:val="00367E4C"/>
    <w:rsid w:val="003703D6"/>
    <w:rsid w:val="0037040D"/>
    <w:rsid w:val="003706EE"/>
    <w:rsid w:val="003708A7"/>
    <w:rsid w:val="0037140F"/>
    <w:rsid w:val="00371D5F"/>
    <w:rsid w:val="00372100"/>
    <w:rsid w:val="0037223B"/>
    <w:rsid w:val="00372475"/>
    <w:rsid w:val="0037248B"/>
    <w:rsid w:val="00372605"/>
    <w:rsid w:val="003726C1"/>
    <w:rsid w:val="003727F6"/>
    <w:rsid w:val="00372ACF"/>
    <w:rsid w:val="00372DCB"/>
    <w:rsid w:val="00372FC0"/>
    <w:rsid w:val="00373151"/>
    <w:rsid w:val="00373294"/>
    <w:rsid w:val="003734EE"/>
    <w:rsid w:val="003737C0"/>
    <w:rsid w:val="00373B0D"/>
    <w:rsid w:val="00373E66"/>
    <w:rsid w:val="00373F12"/>
    <w:rsid w:val="00374107"/>
    <w:rsid w:val="00374317"/>
    <w:rsid w:val="003744C9"/>
    <w:rsid w:val="00374655"/>
    <w:rsid w:val="003746B5"/>
    <w:rsid w:val="0037535E"/>
    <w:rsid w:val="00375454"/>
    <w:rsid w:val="003759CE"/>
    <w:rsid w:val="00375AE9"/>
    <w:rsid w:val="00375BB0"/>
    <w:rsid w:val="00376ED3"/>
    <w:rsid w:val="00377379"/>
    <w:rsid w:val="00377460"/>
    <w:rsid w:val="003776B8"/>
    <w:rsid w:val="003778D9"/>
    <w:rsid w:val="0037792D"/>
    <w:rsid w:val="003779C3"/>
    <w:rsid w:val="00377AA0"/>
    <w:rsid w:val="0038031E"/>
    <w:rsid w:val="003805D1"/>
    <w:rsid w:val="00380BC8"/>
    <w:rsid w:val="0038103B"/>
    <w:rsid w:val="0038113C"/>
    <w:rsid w:val="0038139F"/>
    <w:rsid w:val="0038160C"/>
    <w:rsid w:val="00381C53"/>
    <w:rsid w:val="00381E75"/>
    <w:rsid w:val="003820D6"/>
    <w:rsid w:val="0038217C"/>
    <w:rsid w:val="0038229E"/>
    <w:rsid w:val="00382311"/>
    <w:rsid w:val="00382729"/>
    <w:rsid w:val="00382CE0"/>
    <w:rsid w:val="003832DB"/>
    <w:rsid w:val="0038333B"/>
    <w:rsid w:val="00383999"/>
    <w:rsid w:val="00383AEB"/>
    <w:rsid w:val="00383AF2"/>
    <w:rsid w:val="00383DB0"/>
    <w:rsid w:val="00383FC4"/>
    <w:rsid w:val="00384101"/>
    <w:rsid w:val="003842E0"/>
    <w:rsid w:val="0038464F"/>
    <w:rsid w:val="003846CD"/>
    <w:rsid w:val="00384807"/>
    <w:rsid w:val="003848E8"/>
    <w:rsid w:val="00384A2B"/>
    <w:rsid w:val="00384EA2"/>
    <w:rsid w:val="00385BED"/>
    <w:rsid w:val="00385C0A"/>
    <w:rsid w:val="00385CF6"/>
    <w:rsid w:val="00385D82"/>
    <w:rsid w:val="00385E6F"/>
    <w:rsid w:val="00385FD8"/>
    <w:rsid w:val="00385FFB"/>
    <w:rsid w:val="0038600B"/>
    <w:rsid w:val="003862A8"/>
    <w:rsid w:val="003869C6"/>
    <w:rsid w:val="00386A1A"/>
    <w:rsid w:val="00386BC5"/>
    <w:rsid w:val="00386FC9"/>
    <w:rsid w:val="00387B10"/>
    <w:rsid w:val="0039030A"/>
    <w:rsid w:val="00390493"/>
    <w:rsid w:val="00390575"/>
    <w:rsid w:val="003908B8"/>
    <w:rsid w:val="00390984"/>
    <w:rsid w:val="00390FEA"/>
    <w:rsid w:val="00391232"/>
    <w:rsid w:val="003919E7"/>
    <w:rsid w:val="00391ABA"/>
    <w:rsid w:val="00391B3B"/>
    <w:rsid w:val="00391D38"/>
    <w:rsid w:val="0039211A"/>
    <w:rsid w:val="0039241B"/>
    <w:rsid w:val="00392B55"/>
    <w:rsid w:val="00392B5A"/>
    <w:rsid w:val="00392C84"/>
    <w:rsid w:val="00392CDD"/>
    <w:rsid w:val="00393216"/>
    <w:rsid w:val="003933A8"/>
    <w:rsid w:val="00393567"/>
    <w:rsid w:val="0039356D"/>
    <w:rsid w:val="003937A8"/>
    <w:rsid w:val="00393B66"/>
    <w:rsid w:val="00394D69"/>
    <w:rsid w:val="00394E50"/>
    <w:rsid w:val="0039503A"/>
    <w:rsid w:val="00395135"/>
    <w:rsid w:val="003958D7"/>
    <w:rsid w:val="00395CE9"/>
    <w:rsid w:val="00395D64"/>
    <w:rsid w:val="003960D4"/>
    <w:rsid w:val="003963F2"/>
    <w:rsid w:val="0039680F"/>
    <w:rsid w:val="00396AC0"/>
    <w:rsid w:val="00396AEA"/>
    <w:rsid w:val="00396C09"/>
    <w:rsid w:val="00396C54"/>
    <w:rsid w:val="00396D31"/>
    <w:rsid w:val="00396FB0"/>
    <w:rsid w:val="00397379"/>
    <w:rsid w:val="0039753B"/>
    <w:rsid w:val="00397ADC"/>
    <w:rsid w:val="00397B76"/>
    <w:rsid w:val="00397CD7"/>
    <w:rsid w:val="00397CF1"/>
    <w:rsid w:val="003A027F"/>
    <w:rsid w:val="003A03D9"/>
    <w:rsid w:val="003A0415"/>
    <w:rsid w:val="003A0438"/>
    <w:rsid w:val="003A0471"/>
    <w:rsid w:val="003A0533"/>
    <w:rsid w:val="003A07D0"/>
    <w:rsid w:val="003A0B63"/>
    <w:rsid w:val="003A0E17"/>
    <w:rsid w:val="003A14FC"/>
    <w:rsid w:val="003A17E5"/>
    <w:rsid w:val="003A1D91"/>
    <w:rsid w:val="003A1FA6"/>
    <w:rsid w:val="003A2331"/>
    <w:rsid w:val="003A23EF"/>
    <w:rsid w:val="003A26C3"/>
    <w:rsid w:val="003A2A86"/>
    <w:rsid w:val="003A2B97"/>
    <w:rsid w:val="003A2CBC"/>
    <w:rsid w:val="003A3B71"/>
    <w:rsid w:val="003A4581"/>
    <w:rsid w:val="003A4A96"/>
    <w:rsid w:val="003A4AF3"/>
    <w:rsid w:val="003A4C92"/>
    <w:rsid w:val="003A4EF6"/>
    <w:rsid w:val="003A511F"/>
    <w:rsid w:val="003A52D9"/>
    <w:rsid w:val="003A53FE"/>
    <w:rsid w:val="003A5522"/>
    <w:rsid w:val="003A5902"/>
    <w:rsid w:val="003A5ACB"/>
    <w:rsid w:val="003A5B1C"/>
    <w:rsid w:val="003A5B9E"/>
    <w:rsid w:val="003A5F5A"/>
    <w:rsid w:val="003A5FBA"/>
    <w:rsid w:val="003A61C2"/>
    <w:rsid w:val="003A61C5"/>
    <w:rsid w:val="003A652C"/>
    <w:rsid w:val="003A66C1"/>
    <w:rsid w:val="003A6860"/>
    <w:rsid w:val="003A6A40"/>
    <w:rsid w:val="003A6BAB"/>
    <w:rsid w:val="003A71E6"/>
    <w:rsid w:val="003A746E"/>
    <w:rsid w:val="003A74A3"/>
    <w:rsid w:val="003A7CCC"/>
    <w:rsid w:val="003A7CF9"/>
    <w:rsid w:val="003B00C2"/>
    <w:rsid w:val="003B0174"/>
    <w:rsid w:val="003B03E1"/>
    <w:rsid w:val="003B07B3"/>
    <w:rsid w:val="003B0918"/>
    <w:rsid w:val="003B0AEC"/>
    <w:rsid w:val="003B0DD1"/>
    <w:rsid w:val="003B0ED6"/>
    <w:rsid w:val="003B12EF"/>
    <w:rsid w:val="003B14E3"/>
    <w:rsid w:val="003B1698"/>
    <w:rsid w:val="003B1861"/>
    <w:rsid w:val="003B1C2D"/>
    <w:rsid w:val="003B1C34"/>
    <w:rsid w:val="003B2164"/>
    <w:rsid w:val="003B2274"/>
    <w:rsid w:val="003B25E5"/>
    <w:rsid w:val="003B2816"/>
    <w:rsid w:val="003B2901"/>
    <w:rsid w:val="003B2B28"/>
    <w:rsid w:val="003B3220"/>
    <w:rsid w:val="003B328D"/>
    <w:rsid w:val="003B39BE"/>
    <w:rsid w:val="003B3A8D"/>
    <w:rsid w:val="003B3E95"/>
    <w:rsid w:val="003B4422"/>
    <w:rsid w:val="003B45AE"/>
    <w:rsid w:val="003B47B1"/>
    <w:rsid w:val="003B48D5"/>
    <w:rsid w:val="003B4A5D"/>
    <w:rsid w:val="003B4A7A"/>
    <w:rsid w:val="003B4B20"/>
    <w:rsid w:val="003B4CDD"/>
    <w:rsid w:val="003B5133"/>
    <w:rsid w:val="003B515D"/>
    <w:rsid w:val="003B59BE"/>
    <w:rsid w:val="003B5B99"/>
    <w:rsid w:val="003B5DC3"/>
    <w:rsid w:val="003B646E"/>
    <w:rsid w:val="003B674C"/>
    <w:rsid w:val="003B67F3"/>
    <w:rsid w:val="003B680A"/>
    <w:rsid w:val="003B6A06"/>
    <w:rsid w:val="003B6A60"/>
    <w:rsid w:val="003B6DC7"/>
    <w:rsid w:val="003B6E7F"/>
    <w:rsid w:val="003B6E95"/>
    <w:rsid w:val="003B7723"/>
    <w:rsid w:val="003B7847"/>
    <w:rsid w:val="003B7DC4"/>
    <w:rsid w:val="003B7E2D"/>
    <w:rsid w:val="003C0658"/>
    <w:rsid w:val="003C0EAD"/>
    <w:rsid w:val="003C0F27"/>
    <w:rsid w:val="003C135C"/>
    <w:rsid w:val="003C1375"/>
    <w:rsid w:val="003C14BD"/>
    <w:rsid w:val="003C14FD"/>
    <w:rsid w:val="003C16A6"/>
    <w:rsid w:val="003C1A48"/>
    <w:rsid w:val="003C1DBA"/>
    <w:rsid w:val="003C20E3"/>
    <w:rsid w:val="003C2147"/>
    <w:rsid w:val="003C23C0"/>
    <w:rsid w:val="003C2520"/>
    <w:rsid w:val="003C254C"/>
    <w:rsid w:val="003C28F8"/>
    <w:rsid w:val="003C294E"/>
    <w:rsid w:val="003C2ED4"/>
    <w:rsid w:val="003C2FAE"/>
    <w:rsid w:val="003C30C4"/>
    <w:rsid w:val="003C3333"/>
    <w:rsid w:val="003C353F"/>
    <w:rsid w:val="003C3E6F"/>
    <w:rsid w:val="003C3F4D"/>
    <w:rsid w:val="003C416A"/>
    <w:rsid w:val="003C4E3A"/>
    <w:rsid w:val="003C50E3"/>
    <w:rsid w:val="003C5135"/>
    <w:rsid w:val="003C5DA5"/>
    <w:rsid w:val="003C5ED6"/>
    <w:rsid w:val="003C638B"/>
    <w:rsid w:val="003C6549"/>
    <w:rsid w:val="003C665F"/>
    <w:rsid w:val="003C676E"/>
    <w:rsid w:val="003C6DB8"/>
    <w:rsid w:val="003C6F30"/>
    <w:rsid w:val="003C73A6"/>
    <w:rsid w:val="003C7779"/>
    <w:rsid w:val="003C7785"/>
    <w:rsid w:val="003C77B4"/>
    <w:rsid w:val="003C790E"/>
    <w:rsid w:val="003C7A26"/>
    <w:rsid w:val="003C7BA2"/>
    <w:rsid w:val="003C7C11"/>
    <w:rsid w:val="003D037A"/>
    <w:rsid w:val="003D03E0"/>
    <w:rsid w:val="003D04E8"/>
    <w:rsid w:val="003D0699"/>
    <w:rsid w:val="003D08B0"/>
    <w:rsid w:val="003D09E1"/>
    <w:rsid w:val="003D0B03"/>
    <w:rsid w:val="003D0BEC"/>
    <w:rsid w:val="003D0F0B"/>
    <w:rsid w:val="003D11A9"/>
    <w:rsid w:val="003D12E0"/>
    <w:rsid w:val="003D12ED"/>
    <w:rsid w:val="003D1F22"/>
    <w:rsid w:val="003D2835"/>
    <w:rsid w:val="003D28F1"/>
    <w:rsid w:val="003D2DA7"/>
    <w:rsid w:val="003D2F5C"/>
    <w:rsid w:val="003D344E"/>
    <w:rsid w:val="003D386B"/>
    <w:rsid w:val="003D3A51"/>
    <w:rsid w:val="003D3DCF"/>
    <w:rsid w:val="003D4411"/>
    <w:rsid w:val="003D4548"/>
    <w:rsid w:val="003D4B83"/>
    <w:rsid w:val="003D4F51"/>
    <w:rsid w:val="003D5238"/>
    <w:rsid w:val="003D52F8"/>
    <w:rsid w:val="003D5782"/>
    <w:rsid w:val="003D59F4"/>
    <w:rsid w:val="003D5D7C"/>
    <w:rsid w:val="003D5E7B"/>
    <w:rsid w:val="003D5F4B"/>
    <w:rsid w:val="003D6246"/>
    <w:rsid w:val="003D686F"/>
    <w:rsid w:val="003D697B"/>
    <w:rsid w:val="003D698F"/>
    <w:rsid w:val="003D6A64"/>
    <w:rsid w:val="003D759B"/>
    <w:rsid w:val="003D78A5"/>
    <w:rsid w:val="003D7F6E"/>
    <w:rsid w:val="003E0025"/>
    <w:rsid w:val="003E0337"/>
    <w:rsid w:val="003E033D"/>
    <w:rsid w:val="003E03BB"/>
    <w:rsid w:val="003E068B"/>
    <w:rsid w:val="003E07DF"/>
    <w:rsid w:val="003E0A52"/>
    <w:rsid w:val="003E0BCE"/>
    <w:rsid w:val="003E0D11"/>
    <w:rsid w:val="003E0F89"/>
    <w:rsid w:val="003E11E0"/>
    <w:rsid w:val="003E16C4"/>
    <w:rsid w:val="003E16FC"/>
    <w:rsid w:val="003E1EBB"/>
    <w:rsid w:val="003E205A"/>
    <w:rsid w:val="003E2CB5"/>
    <w:rsid w:val="003E341E"/>
    <w:rsid w:val="003E3AEB"/>
    <w:rsid w:val="003E3D6A"/>
    <w:rsid w:val="003E3E72"/>
    <w:rsid w:val="003E416F"/>
    <w:rsid w:val="003E4220"/>
    <w:rsid w:val="003E42C4"/>
    <w:rsid w:val="003E42E8"/>
    <w:rsid w:val="003E44D4"/>
    <w:rsid w:val="003E4AAF"/>
    <w:rsid w:val="003E4D6D"/>
    <w:rsid w:val="003E51C3"/>
    <w:rsid w:val="003E5985"/>
    <w:rsid w:val="003E5CD0"/>
    <w:rsid w:val="003E5E84"/>
    <w:rsid w:val="003E5ED6"/>
    <w:rsid w:val="003E6044"/>
    <w:rsid w:val="003E6120"/>
    <w:rsid w:val="003E66BC"/>
    <w:rsid w:val="003E6FCE"/>
    <w:rsid w:val="003E7143"/>
    <w:rsid w:val="003E7500"/>
    <w:rsid w:val="003E7569"/>
    <w:rsid w:val="003E7693"/>
    <w:rsid w:val="003E771A"/>
    <w:rsid w:val="003E77BC"/>
    <w:rsid w:val="003E7A02"/>
    <w:rsid w:val="003E7C51"/>
    <w:rsid w:val="003E7DC1"/>
    <w:rsid w:val="003E7E1D"/>
    <w:rsid w:val="003E7FDA"/>
    <w:rsid w:val="003F06E0"/>
    <w:rsid w:val="003F0722"/>
    <w:rsid w:val="003F0957"/>
    <w:rsid w:val="003F0B64"/>
    <w:rsid w:val="003F0B80"/>
    <w:rsid w:val="003F111D"/>
    <w:rsid w:val="003F12BD"/>
    <w:rsid w:val="003F1341"/>
    <w:rsid w:val="003F1352"/>
    <w:rsid w:val="003F1CB2"/>
    <w:rsid w:val="003F1F70"/>
    <w:rsid w:val="003F20FD"/>
    <w:rsid w:val="003F2787"/>
    <w:rsid w:val="003F2FB9"/>
    <w:rsid w:val="003F3257"/>
    <w:rsid w:val="003F32F0"/>
    <w:rsid w:val="003F34B5"/>
    <w:rsid w:val="003F34B7"/>
    <w:rsid w:val="003F365C"/>
    <w:rsid w:val="003F36DA"/>
    <w:rsid w:val="003F38DE"/>
    <w:rsid w:val="003F4ABF"/>
    <w:rsid w:val="003F4C65"/>
    <w:rsid w:val="003F4FD5"/>
    <w:rsid w:val="003F514D"/>
    <w:rsid w:val="003F5839"/>
    <w:rsid w:val="003F6175"/>
    <w:rsid w:val="003F66E5"/>
    <w:rsid w:val="003F66EB"/>
    <w:rsid w:val="003F6B2B"/>
    <w:rsid w:val="003F6CAC"/>
    <w:rsid w:val="003F702F"/>
    <w:rsid w:val="003F7347"/>
    <w:rsid w:val="003F7417"/>
    <w:rsid w:val="003F76B8"/>
    <w:rsid w:val="003F7F61"/>
    <w:rsid w:val="0040000D"/>
    <w:rsid w:val="004000A1"/>
    <w:rsid w:val="004001FF"/>
    <w:rsid w:val="004002D0"/>
    <w:rsid w:val="00400482"/>
    <w:rsid w:val="0040066B"/>
    <w:rsid w:val="004007A7"/>
    <w:rsid w:val="0040097D"/>
    <w:rsid w:val="00400A7F"/>
    <w:rsid w:val="00400DA4"/>
    <w:rsid w:val="00400EF8"/>
    <w:rsid w:val="0040107A"/>
    <w:rsid w:val="004012B4"/>
    <w:rsid w:val="004014FF"/>
    <w:rsid w:val="00401798"/>
    <w:rsid w:val="004017C0"/>
    <w:rsid w:val="00401E2D"/>
    <w:rsid w:val="00401EA7"/>
    <w:rsid w:val="00402139"/>
    <w:rsid w:val="00402601"/>
    <w:rsid w:val="004026C5"/>
    <w:rsid w:val="004026D3"/>
    <w:rsid w:val="00402AC5"/>
    <w:rsid w:val="00402F9C"/>
    <w:rsid w:val="00403014"/>
    <w:rsid w:val="004036D0"/>
    <w:rsid w:val="00403D99"/>
    <w:rsid w:val="00404061"/>
    <w:rsid w:val="00404518"/>
    <w:rsid w:val="00404845"/>
    <w:rsid w:val="00404DFC"/>
    <w:rsid w:val="0040524C"/>
    <w:rsid w:val="00405258"/>
    <w:rsid w:val="0040563A"/>
    <w:rsid w:val="00405B50"/>
    <w:rsid w:val="00406144"/>
    <w:rsid w:val="004064FF"/>
    <w:rsid w:val="0040666D"/>
    <w:rsid w:val="00406786"/>
    <w:rsid w:val="004069E6"/>
    <w:rsid w:val="00406A98"/>
    <w:rsid w:val="00406B87"/>
    <w:rsid w:val="00406D3F"/>
    <w:rsid w:val="004078AB"/>
    <w:rsid w:val="00410263"/>
    <w:rsid w:val="0041038D"/>
    <w:rsid w:val="004103CB"/>
    <w:rsid w:val="004104FC"/>
    <w:rsid w:val="0041050B"/>
    <w:rsid w:val="00410B6B"/>
    <w:rsid w:val="00410FAC"/>
    <w:rsid w:val="0041107F"/>
    <w:rsid w:val="004111D3"/>
    <w:rsid w:val="004111F9"/>
    <w:rsid w:val="00411B3B"/>
    <w:rsid w:val="00411D7C"/>
    <w:rsid w:val="004122A9"/>
    <w:rsid w:val="00412476"/>
    <w:rsid w:val="00412B19"/>
    <w:rsid w:val="00413183"/>
    <w:rsid w:val="00413712"/>
    <w:rsid w:val="004137CB"/>
    <w:rsid w:val="004138D7"/>
    <w:rsid w:val="00413FEB"/>
    <w:rsid w:val="00414162"/>
    <w:rsid w:val="00414762"/>
    <w:rsid w:val="00414E7B"/>
    <w:rsid w:val="00414EF6"/>
    <w:rsid w:val="00414F4F"/>
    <w:rsid w:val="00415158"/>
    <w:rsid w:val="0041536F"/>
    <w:rsid w:val="00415634"/>
    <w:rsid w:val="00415E52"/>
    <w:rsid w:val="00415F9B"/>
    <w:rsid w:val="00415FF8"/>
    <w:rsid w:val="004164B9"/>
    <w:rsid w:val="004167FC"/>
    <w:rsid w:val="0041713E"/>
    <w:rsid w:val="004172E9"/>
    <w:rsid w:val="004174CF"/>
    <w:rsid w:val="00417924"/>
    <w:rsid w:val="00417E5C"/>
    <w:rsid w:val="00417FC4"/>
    <w:rsid w:val="00420025"/>
    <w:rsid w:val="0042080C"/>
    <w:rsid w:val="0042086B"/>
    <w:rsid w:val="0042110A"/>
    <w:rsid w:val="0042127C"/>
    <w:rsid w:val="004212BF"/>
    <w:rsid w:val="00421756"/>
    <w:rsid w:val="004218EF"/>
    <w:rsid w:val="0042195B"/>
    <w:rsid w:val="00422054"/>
    <w:rsid w:val="0042217D"/>
    <w:rsid w:val="004221DA"/>
    <w:rsid w:val="00422304"/>
    <w:rsid w:val="00422EED"/>
    <w:rsid w:val="0042316A"/>
    <w:rsid w:val="00423230"/>
    <w:rsid w:val="0042382F"/>
    <w:rsid w:val="0042386C"/>
    <w:rsid w:val="00423B28"/>
    <w:rsid w:val="00423C94"/>
    <w:rsid w:val="00423DF5"/>
    <w:rsid w:val="00424007"/>
    <w:rsid w:val="00424156"/>
    <w:rsid w:val="00424499"/>
    <w:rsid w:val="0042467C"/>
    <w:rsid w:val="00424834"/>
    <w:rsid w:val="004249F9"/>
    <w:rsid w:val="0042564B"/>
    <w:rsid w:val="004257E1"/>
    <w:rsid w:val="00425818"/>
    <w:rsid w:val="004258A8"/>
    <w:rsid w:val="004258D7"/>
    <w:rsid w:val="00425BBC"/>
    <w:rsid w:val="00425E07"/>
    <w:rsid w:val="00426200"/>
    <w:rsid w:val="00426469"/>
    <w:rsid w:val="0042664D"/>
    <w:rsid w:val="00426752"/>
    <w:rsid w:val="00426B0A"/>
    <w:rsid w:val="00426BD3"/>
    <w:rsid w:val="0042712E"/>
    <w:rsid w:val="00427411"/>
    <w:rsid w:val="00427696"/>
    <w:rsid w:val="00427794"/>
    <w:rsid w:val="004277EE"/>
    <w:rsid w:val="00427EDA"/>
    <w:rsid w:val="00430348"/>
    <w:rsid w:val="004303C7"/>
    <w:rsid w:val="004307AD"/>
    <w:rsid w:val="0043092A"/>
    <w:rsid w:val="00430F78"/>
    <w:rsid w:val="004311A0"/>
    <w:rsid w:val="00431C28"/>
    <w:rsid w:val="00431D3B"/>
    <w:rsid w:val="00431E56"/>
    <w:rsid w:val="00432356"/>
    <w:rsid w:val="00432379"/>
    <w:rsid w:val="0043254A"/>
    <w:rsid w:val="00432984"/>
    <w:rsid w:val="004329AB"/>
    <w:rsid w:val="00432A08"/>
    <w:rsid w:val="004332F6"/>
    <w:rsid w:val="00433365"/>
    <w:rsid w:val="004334CE"/>
    <w:rsid w:val="0043382A"/>
    <w:rsid w:val="00433D8F"/>
    <w:rsid w:val="00433F60"/>
    <w:rsid w:val="00434102"/>
    <w:rsid w:val="0043434C"/>
    <w:rsid w:val="00434A24"/>
    <w:rsid w:val="00435309"/>
    <w:rsid w:val="004358C4"/>
    <w:rsid w:val="00436349"/>
    <w:rsid w:val="004365E3"/>
    <w:rsid w:val="004374ED"/>
    <w:rsid w:val="004376B2"/>
    <w:rsid w:val="004407D5"/>
    <w:rsid w:val="00441BF2"/>
    <w:rsid w:val="00441ED1"/>
    <w:rsid w:val="004423F8"/>
    <w:rsid w:val="004432D2"/>
    <w:rsid w:val="0044386D"/>
    <w:rsid w:val="00443E58"/>
    <w:rsid w:val="004442E2"/>
    <w:rsid w:val="0044465C"/>
    <w:rsid w:val="004448B3"/>
    <w:rsid w:val="004448CD"/>
    <w:rsid w:val="00444921"/>
    <w:rsid w:val="00444A34"/>
    <w:rsid w:val="00444F31"/>
    <w:rsid w:val="004453FD"/>
    <w:rsid w:val="00445895"/>
    <w:rsid w:val="00445AA5"/>
    <w:rsid w:val="00445D0B"/>
    <w:rsid w:val="00445D50"/>
    <w:rsid w:val="00445E4D"/>
    <w:rsid w:val="00446060"/>
    <w:rsid w:val="004461E9"/>
    <w:rsid w:val="0044643B"/>
    <w:rsid w:val="00446938"/>
    <w:rsid w:val="00446CCE"/>
    <w:rsid w:val="004470B1"/>
    <w:rsid w:val="00447AE9"/>
    <w:rsid w:val="00447D2B"/>
    <w:rsid w:val="004500FC"/>
    <w:rsid w:val="00450791"/>
    <w:rsid w:val="00450A34"/>
    <w:rsid w:val="00450F11"/>
    <w:rsid w:val="004513CB"/>
    <w:rsid w:val="00451601"/>
    <w:rsid w:val="0045180E"/>
    <w:rsid w:val="00451B7A"/>
    <w:rsid w:val="00451C14"/>
    <w:rsid w:val="00452218"/>
    <w:rsid w:val="00452413"/>
    <w:rsid w:val="0045257F"/>
    <w:rsid w:val="00452A10"/>
    <w:rsid w:val="00452DF6"/>
    <w:rsid w:val="00452F82"/>
    <w:rsid w:val="00453007"/>
    <w:rsid w:val="004530CD"/>
    <w:rsid w:val="004536A0"/>
    <w:rsid w:val="0045374D"/>
    <w:rsid w:val="00453EDD"/>
    <w:rsid w:val="00454145"/>
    <w:rsid w:val="004541C4"/>
    <w:rsid w:val="00454553"/>
    <w:rsid w:val="00454974"/>
    <w:rsid w:val="00454E4D"/>
    <w:rsid w:val="00454ECC"/>
    <w:rsid w:val="00454F56"/>
    <w:rsid w:val="00455189"/>
    <w:rsid w:val="0045530E"/>
    <w:rsid w:val="00455477"/>
    <w:rsid w:val="00455569"/>
    <w:rsid w:val="00455B50"/>
    <w:rsid w:val="00455E7A"/>
    <w:rsid w:val="00455F14"/>
    <w:rsid w:val="00456722"/>
    <w:rsid w:val="00456935"/>
    <w:rsid w:val="00456FA7"/>
    <w:rsid w:val="004576D0"/>
    <w:rsid w:val="0045790C"/>
    <w:rsid w:val="00457ECB"/>
    <w:rsid w:val="00460237"/>
    <w:rsid w:val="00460492"/>
    <w:rsid w:val="00460543"/>
    <w:rsid w:val="0046067F"/>
    <w:rsid w:val="004607AA"/>
    <w:rsid w:val="004608FB"/>
    <w:rsid w:val="004609D1"/>
    <w:rsid w:val="00460B56"/>
    <w:rsid w:val="00460CE1"/>
    <w:rsid w:val="00460E72"/>
    <w:rsid w:val="00460FC2"/>
    <w:rsid w:val="004610D8"/>
    <w:rsid w:val="004616A1"/>
    <w:rsid w:val="00461A02"/>
    <w:rsid w:val="00462476"/>
    <w:rsid w:val="004624E2"/>
    <w:rsid w:val="00462755"/>
    <w:rsid w:val="00463182"/>
    <w:rsid w:val="004633BA"/>
    <w:rsid w:val="00463B47"/>
    <w:rsid w:val="00463E6A"/>
    <w:rsid w:val="00463F06"/>
    <w:rsid w:val="0046437C"/>
    <w:rsid w:val="0046438A"/>
    <w:rsid w:val="00464B4B"/>
    <w:rsid w:val="00464B8A"/>
    <w:rsid w:val="00464C76"/>
    <w:rsid w:val="00464E2B"/>
    <w:rsid w:val="00464F08"/>
    <w:rsid w:val="00465154"/>
    <w:rsid w:val="004653F2"/>
    <w:rsid w:val="0046547C"/>
    <w:rsid w:val="00465ADF"/>
    <w:rsid w:val="00465BAD"/>
    <w:rsid w:val="00465BE6"/>
    <w:rsid w:val="00465CD3"/>
    <w:rsid w:val="00465F7C"/>
    <w:rsid w:val="004660EF"/>
    <w:rsid w:val="00466281"/>
    <w:rsid w:val="004665C7"/>
    <w:rsid w:val="004667E2"/>
    <w:rsid w:val="00466B0F"/>
    <w:rsid w:val="00466C67"/>
    <w:rsid w:val="00466D70"/>
    <w:rsid w:val="00467148"/>
    <w:rsid w:val="0046783F"/>
    <w:rsid w:val="00467B6B"/>
    <w:rsid w:val="00467E17"/>
    <w:rsid w:val="00467EAF"/>
    <w:rsid w:val="004702E7"/>
    <w:rsid w:val="004704CF"/>
    <w:rsid w:val="004706EB"/>
    <w:rsid w:val="00470811"/>
    <w:rsid w:val="00470EB5"/>
    <w:rsid w:val="004711B2"/>
    <w:rsid w:val="004713AB"/>
    <w:rsid w:val="004716E4"/>
    <w:rsid w:val="00471D0C"/>
    <w:rsid w:val="00471F27"/>
    <w:rsid w:val="0047263B"/>
    <w:rsid w:val="0047279A"/>
    <w:rsid w:val="00472C25"/>
    <w:rsid w:val="00473070"/>
    <w:rsid w:val="00473071"/>
    <w:rsid w:val="0047336E"/>
    <w:rsid w:val="004737B7"/>
    <w:rsid w:val="00473B72"/>
    <w:rsid w:val="00473C85"/>
    <w:rsid w:val="004740CB"/>
    <w:rsid w:val="004742BB"/>
    <w:rsid w:val="00474E06"/>
    <w:rsid w:val="00474F3B"/>
    <w:rsid w:val="00474F7B"/>
    <w:rsid w:val="0047568B"/>
    <w:rsid w:val="0047595C"/>
    <w:rsid w:val="004759D3"/>
    <w:rsid w:val="00475BA4"/>
    <w:rsid w:val="00475C23"/>
    <w:rsid w:val="00475E0D"/>
    <w:rsid w:val="00475EB2"/>
    <w:rsid w:val="0047607E"/>
    <w:rsid w:val="0047610F"/>
    <w:rsid w:val="004765CC"/>
    <w:rsid w:val="0047671B"/>
    <w:rsid w:val="00476CE7"/>
    <w:rsid w:val="00476E5C"/>
    <w:rsid w:val="00476FB5"/>
    <w:rsid w:val="00477238"/>
    <w:rsid w:val="00477411"/>
    <w:rsid w:val="0047758F"/>
    <w:rsid w:val="004776F8"/>
    <w:rsid w:val="00477A35"/>
    <w:rsid w:val="00477CDE"/>
    <w:rsid w:val="00477DB5"/>
    <w:rsid w:val="004808BF"/>
    <w:rsid w:val="00481265"/>
    <w:rsid w:val="004814B2"/>
    <w:rsid w:val="004814ED"/>
    <w:rsid w:val="004815B4"/>
    <w:rsid w:val="0048167D"/>
    <w:rsid w:val="0048193C"/>
    <w:rsid w:val="00481BD0"/>
    <w:rsid w:val="00481C9A"/>
    <w:rsid w:val="00481FE7"/>
    <w:rsid w:val="004825F3"/>
    <w:rsid w:val="004828B1"/>
    <w:rsid w:val="004831CF"/>
    <w:rsid w:val="004831F7"/>
    <w:rsid w:val="004834C6"/>
    <w:rsid w:val="0048363E"/>
    <w:rsid w:val="00483A53"/>
    <w:rsid w:val="00483DB0"/>
    <w:rsid w:val="00484034"/>
    <w:rsid w:val="0048403E"/>
    <w:rsid w:val="0048489A"/>
    <w:rsid w:val="00484E3C"/>
    <w:rsid w:val="00484E5A"/>
    <w:rsid w:val="00484FD1"/>
    <w:rsid w:val="00485273"/>
    <w:rsid w:val="00485535"/>
    <w:rsid w:val="00485605"/>
    <w:rsid w:val="0048564B"/>
    <w:rsid w:val="00485788"/>
    <w:rsid w:val="004857A2"/>
    <w:rsid w:val="00485A0A"/>
    <w:rsid w:val="00485CEE"/>
    <w:rsid w:val="00485E28"/>
    <w:rsid w:val="004866EA"/>
    <w:rsid w:val="0048677C"/>
    <w:rsid w:val="00486CED"/>
    <w:rsid w:val="00487259"/>
    <w:rsid w:val="004872A5"/>
    <w:rsid w:val="0048741B"/>
    <w:rsid w:val="004875A8"/>
    <w:rsid w:val="0048760A"/>
    <w:rsid w:val="00487626"/>
    <w:rsid w:val="004876CE"/>
    <w:rsid w:val="004876EC"/>
    <w:rsid w:val="004905CE"/>
    <w:rsid w:val="00490659"/>
    <w:rsid w:val="00490961"/>
    <w:rsid w:val="00490BB0"/>
    <w:rsid w:val="00491155"/>
    <w:rsid w:val="00491215"/>
    <w:rsid w:val="0049121D"/>
    <w:rsid w:val="00491599"/>
    <w:rsid w:val="004927A8"/>
    <w:rsid w:val="004929BD"/>
    <w:rsid w:val="00493588"/>
    <w:rsid w:val="00493707"/>
    <w:rsid w:val="004939B6"/>
    <w:rsid w:val="00493C16"/>
    <w:rsid w:val="0049408C"/>
    <w:rsid w:val="0049455C"/>
    <w:rsid w:val="00494788"/>
    <w:rsid w:val="00494E3A"/>
    <w:rsid w:val="00494F90"/>
    <w:rsid w:val="004957D9"/>
    <w:rsid w:val="0049580B"/>
    <w:rsid w:val="00495C16"/>
    <w:rsid w:val="00495F2D"/>
    <w:rsid w:val="004964B5"/>
    <w:rsid w:val="004964F4"/>
    <w:rsid w:val="004967A0"/>
    <w:rsid w:val="00496CB3"/>
    <w:rsid w:val="004970FC"/>
    <w:rsid w:val="0049778F"/>
    <w:rsid w:val="004978BE"/>
    <w:rsid w:val="004978DD"/>
    <w:rsid w:val="004979D2"/>
    <w:rsid w:val="00497B99"/>
    <w:rsid w:val="00497CCD"/>
    <w:rsid w:val="004A0129"/>
    <w:rsid w:val="004A0166"/>
    <w:rsid w:val="004A025D"/>
    <w:rsid w:val="004A068D"/>
    <w:rsid w:val="004A0937"/>
    <w:rsid w:val="004A0D9B"/>
    <w:rsid w:val="004A0E75"/>
    <w:rsid w:val="004A0F65"/>
    <w:rsid w:val="004A11A2"/>
    <w:rsid w:val="004A157E"/>
    <w:rsid w:val="004A1BEA"/>
    <w:rsid w:val="004A1FF2"/>
    <w:rsid w:val="004A21C2"/>
    <w:rsid w:val="004A2207"/>
    <w:rsid w:val="004A29F9"/>
    <w:rsid w:val="004A2F5A"/>
    <w:rsid w:val="004A2F7D"/>
    <w:rsid w:val="004A2FC6"/>
    <w:rsid w:val="004A352E"/>
    <w:rsid w:val="004A42CA"/>
    <w:rsid w:val="004A4D8C"/>
    <w:rsid w:val="004A4F4B"/>
    <w:rsid w:val="004A518A"/>
    <w:rsid w:val="004A649E"/>
    <w:rsid w:val="004A6A0E"/>
    <w:rsid w:val="004A6C08"/>
    <w:rsid w:val="004A6C93"/>
    <w:rsid w:val="004A6F86"/>
    <w:rsid w:val="004A700F"/>
    <w:rsid w:val="004A713C"/>
    <w:rsid w:val="004A7167"/>
    <w:rsid w:val="004A7554"/>
    <w:rsid w:val="004A7602"/>
    <w:rsid w:val="004A77A9"/>
    <w:rsid w:val="004A7DFF"/>
    <w:rsid w:val="004B0075"/>
    <w:rsid w:val="004B00C0"/>
    <w:rsid w:val="004B03FB"/>
    <w:rsid w:val="004B0866"/>
    <w:rsid w:val="004B14B0"/>
    <w:rsid w:val="004B15F3"/>
    <w:rsid w:val="004B18B5"/>
    <w:rsid w:val="004B1F75"/>
    <w:rsid w:val="004B2194"/>
    <w:rsid w:val="004B21C7"/>
    <w:rsid w:val="004B22C0"/>
    <w:rsid w:val="004B22CE"/>
    <w:rsid w:val="004B2379"/>
    <w:rsid w:val="004B23A8"/>
    <w:rsid w:val="004B243D"/>
    <w:rsid w:val="004B2642"/>
    <w:rsid w:val="004B2AAA"/>
    <w:rsid w:val="004B2D10"/>
    <w:rsid w:val="004B2D49"/>
    <w:rsid w:val="004B2E03"/>
    <w:rsid w:val="004B362B"/>
    <w:rsid w:val="004B3994"/>
    <w:rsid w:val="004B3FA5"/>
    <w:rsid w:val="004B43BF"/>
    <w:rsid w:val="004B4551"/>
    <w:rsid w:val="004B499C"/>
    <w:rsid w:val="004B4C2B"/>
    <w:rsid w:val="004B4C6D"/>
    <w:rsid w:val="004B56DF"/>
    <w:rsid w:val="004B58F3"/>
    <w:rsid w:val="004B5A00"/>
    <w:rsid w:val="004B5C55"/>
    <w:rsid w:val="004B612E"/>
    <w:rsid w:val="004B6130"/>
    <w:rsid w:val="004B6313"/>
    <w:rsid w:val="004B6A83"/>
    <w:rsid w:val="004B6F89"/>
    <w:rsid w:val="004B74BC"/>
    <w:rsid w:val="004B75E0"/>
    <w:rsid w:val="004B76CD"/>
    <w:rsid w:val="004B776E"/>
    <w:rsid w:val="004B79FE"/>
    <w:rsid w:val="004B7F62"/>
    <w:rsid w:val="004C0416"/>
    <w:rsid w:val="004C04D3"/>
    <w:rsid w:val="004C099E"/>
    <w:rsid w:val="004C0BC5"/>
    <w:rsid w:val="004C0E3E"/>
    <w:rsid w:val="004C12AE"/>
    <w:rsid w:val="004C1410"/>
    <w:rsid w:val="004C1494"/>
    <w:rsid w:val="004C17B3"/>
    <w:rsid w:val="004C1E6C"/>
    <w:rsid w:val="004C1FE6"/>
    <w:rsid w:val="004C203B"/>
    <w:rsid w:val="004C22C1"/>
    <w:rsid w:val="004C257D"/>
    <w:rsid w:val="004C3033"/>
    <w:rsid w:val="004C30D8"/>
    <w:rsid w:val="004C30F8"/>
    <w:rsid w:val="004C356F"/>
    <w:rsid w:val="004C3C2D"/>
    <w:rsid w:val="004C3C8E"/>
    <w:rsid w:val="004C3D0C"/>
    <w:rsid w:val="004C4442"/>
    <w:rsid w:val="004C497C"/>
    <w:rsid w:val="004C4BC1"/>
    <w:rsid w:val="004C4F28"/>
    <w:rsid w:val="004C5FDC"/>
    <w:rsid w:val="004C61AE"/>
    <w:rsid w:val="004C6275"/>
    <w:rsid w:val="004C6347"/>
    <w:rsid w:val="004C63DF"/>
    <w:rsid w:val="004C68F7"/>
    <w:rsid w:val="004C6C42"/>
    <w:rsid w:val="004C6D17"/>
    <w:rsid w:val="004C6EBA"/>
    <w:rsid w:val="004C7955"/>
    <w:rsid w:val="004D057C"/>
    <w:rsid w:val="004D0CC3"/>
    <w:rsid w:val="004D1474"/>
    <w:rsid w:val="004D1589"/>
    <w:rsid w:val="004D207B"/>
    <w:rsid w:val="004D20D3"/>
    <w:rsid w:val="004D23C2"/>
    <w:rsid w:val="004D2D53"/>
    <w:rsid w:val="004D32AD"/>
    <w:rsid w:val="004D3A79"/>
    <w:rsid w:val="004D3E95"/>
    <w:rsid w:val="004D3ECD"/>
    <w:rsid w:val="004D43BF"/>
    <w:rsid w:val="004D4685"/>
    <w:rsid w:val="004D4A7D"/>
    <w:rsid w:val="004D51DF"/>
    <w:rsid w:val="004D52AE"/>
    <w:rsid w:val="004D52EC"/>
    <w:rsid w:val="004D5483"/>
    <w:rsid w:val="004D5569"/>
    <w:rsid w:val="004D568D"/>
    <w:rsid w:val="004D5821"/>
    <w:rsid w:val="004D5CC2"/>
    <w:rsid w:val="004D5E3F"/>
    <w:rsid w:val="004D5E43"/>
    <w:rsid w:val="004D5F02"/>
    <w:rsid w:val="004D6247"/>
    <w:rsid w:val="004D6353"/>
    <w:rsid w:val="004D638A"/>
    <w:rsid w:val="004D6682"/>
    <w:rsid w:val="004D7005"/>
    <w:rsid w:val="004D7462"/>
    <w:rsid w:val="004D765B"/>
    <w:rsid w:val="004D7677"/>
    <w:rsid w:val="004D7809"/>
    <w:rsid w:val="004D7A46"/>
    <w:rsid w:val="004D7F5E"/>
    <w:rsid w:val="004E02DE"/>
    <w:rsid w:val="004E0640"/>
    <w:rsid w:val="004E0772"/>
    <w:rsid w:val="004E143B"/>
    <w:rsid w:val="004E161A"/>
    <w:rsid w:val="004E1A76"/>
    <w:rsid w:val="004E1D7B"/>
    <w:rsid w:val="004E1D8B"/>
    <w:rsid w:val="004E1E71"/>
    <w:rsid w:val="004E1F4C"/>
    <w:rsid w:val="004E226D"/>
    <w:rsid w:val="004E2272"/>
    <w:rsid w:val="004E2329"/>
    <w:rsid w:val="004E245C"/>
    <w:rsid w:val="004E251E"/>
    <w:rsid w:val="004E25F8"/>
    <w:rsid w:val="004E26F1"/>
    <w:rsid w:val="004E2944"/>
    <w:rsid w:val="004E3479"/>
    <w:rsid w:val="004E3C6C"/>
    <w:rsid w:val="004E3EEB"/>
    <w:rsid w:val="004E4492"/>
    <w:rsid w:val="004E4890"/>
    <w:rsid w:val="004E4C7C"/>
    <w:rsid w:val="004E4CBB"/>
    <w:rsid w:val="004E4FA3"/>
    <w:rsid w:val="004E4FCA"/>
    <w:rsid w:val="004E5274"/>
    <w:rsid w:val="004E58BF"/>
    <w:rsid w:val="004E5979"/>
    <w:rsid w:val="004E59AA"/>
    <w:rsid w:val="004E5B43"/>
    <w:rsid w:val="004E5C56"/>
    <w:rsid w:val="004E5C67"/>
    <w:rsid w:val="004E633E"/>
    <w:rsid w:val="004E67EC"/>
    <w:rsid w:val="004E6978"/>
    <w:rsid w:val="004E69C6"/>
    <w:rsid w:val="004E7442"/>
    <w:rsid w:val="004E77F4"/>
    <w:rsid w:val="004F003C"/>
    <w:rsid w:val="004F0393"/>
    <w:rsid w:val="004F09ED"/>
    <w:rsid w:val="004F0D19"/>
    <w:rsid w:val="004F0EBB"/>
    <w:rsid w:val="004F10CA"/>
    <w:rsid w:val="004F1256"/>
    <w:rsid w:val="004F12FC"/>
    <w:rsid w:val="004F13E9"/>
    <w:rsid w:val="004F1411"/>
    <w:rsid w:val="004F1527"/>
    <w:rsid w:val="004F2272"/>
    <w:rsid w:val="004F2401"/>
    <w:rsid w:val="004F25E7"/>
    <w:rsid w:val="004F2681"/>
    <w:rsid w:val="004F289D"/>
    <w:rsid w:val="004F3000"/>
    <w:rsid w:val="004F3061"/>
    <w:rsid w:val="004F396D"/>
    <w:rsid w:val="004F3A18"/>
    <w:rsid w:val="004F3ABF"/>
    <w:rsid w:val="004F3D72"/>
    <w:rsid w:val="004F3FB5"/>
    <w:rsid w:val="004F4633"/>
    <w:rsid w:val="004F4638"/>
    <w:rsid w:val="004F47D2"/>
    <w:rsid w:val="004F49FE"/>
    <w:rsid w:val="004F4C2A"/>
    <w:rsid w:val="004F53BF"/>
    <w:rsid w:val="004F54B6"/>
    <w:rsid w:val="004F5FAB"/>
    <w:rsid w:val="004F5FFF"/>
    <w:rsid w:val="004F606A"/>
    <w:rsid w:val="004F649E"/>
    <w:rsid w:val="004F7094"/>
    <w:rsid w:val="004F7638"/>
    <w:rsid w:val="004F7700"/>
    <w:rsid w:val="004F77AB"/>
    <w:rsid w:val="005001E2"/>
    <w:rsid w:val="00500678"/>
    <w:rsid w:val="00500C21"/>
    <w:rsid w:val="00501762"/>
    <w:rsid w:val="00501E8F"/>
    <w:rsid w:val="0050258A"/>
    <w:rsid w:val="005025BE"/>
    <w:rsid w:val="005029DF"/>
    <w:rsid w:val="00502A1E"/>
    <w:rsid w:val="0050309B"/>
    <w:rsid w:val="005039F7"/>
    <w:rsid w:val="005039F8"/>
    <w:rsid w:val="00503B90"/>
    <w:rsid w:val="00503CF4"/>
    <w:rsid w:val="005040A6"/>
    <w:rsid w:val="005043A8"/>
    <w:rsid w:val="00504841"/>
    <w:rsid w:val="00504887"/>
    <w:rsid w:val="00504D34"/>
    <w:rsid w:val="00504D92"/>
    <w:rsid w:val="00504F9E"/>
    <w:rsid w:val="00505163"/>
    <w:rsid w:val="005053A0"/>
    <w:rsid w:val="005053DB"/>
    <w:rsid w:val="0050580C"/>
    <w:rsid w:val="005058F8"/>
    <w:rsid w:val="00505D1C"/>
    <w:rsid w:val="00505DBB"/>
    <w:rsid w:val="005060C9"/>
    <w:rsid w:val="00506293"/>
    <w:rsid w:val="005062C7"/>
    <w:rsid w:val="00506504"/>
    <w:rsid w:val="00506A9B"/>
    <w:rsid w:val="005072A1"/>
    <w:rsid w:val="005074E5"/>
    <w:rsid w:val="00507967"/>
    <w:rsid w:val="00507C3E"/>
    <w:rsid w:val="00510352"/>
    <w:rsid w:val="00510988"/>
    <w:rsid w:val="00510EB1"/>
    <w:rsid w:val="00510F20"/>
    <w:rsid w:val="00510FB0"/>
    <w:rsid w:val="0051102F"/>
    <w:rsid w:val="005112F3"/>
    <w:rsid w:val="005126BA"/>
    <w:rsid w:val="005128DA"/>
    <w:rsid w:val="00512917"/>
    <w:rsid w:val="00512F40"/>
    <w:rsid w:val="00513061"/>
    <w:rsid w:val="0051345C"/>
    <w:rsid w:val="005134F9"/>
    <w:rsid w:val="00513C2E"/>
    <w:rsid w:val="005140D8"/>
    <w:rsid w:val="0051419C"/>
    <w:rsid w:val="00514880"/>
    <w:rsid w:val="00515AA8"/>
    <w:rsid w:val="00515EB8"/>
    <w:rsid w:val="00515F98"/>
    <w:rsid w:val="00516127"/>
    <w:rsid w:val="0051639D"/>
    <w:rsid w:val="00516621"/>
    <w:rsid w:val="00516CA7"/>
    <w:rsid w:val="005175E2"/>
    <w:rsid w:val="00517DE4"/>
    <w:rsid w:val="0052016B"/>
    <w:rsid w:val="0052092D"/>
    <w:rsid w:val="00520C21"/>
    <w:rsid w:val="00520D35"/>
    <w:rsid w:val="00520D6F"/>
    <w:rsid w:val="00520E4C"/>
    <w:rsid w:val="00521005"/>
    <w:rsid w:val="00521231"/>
    <w:rsid w:val="005213C0"/>
    <w:rsid w:val="005216E1"/>
    <w:rsid w:val="00521706"/>
    <w:rsid w:val="00521897"/>
    <w:rsid w:val="00521E81"/>
    <w:rsid w:val="00521FA1"/>
    <w:rsid w:val="005224D3"/>
    <w:rsid w:val="00522A4D"/>
    <w:rsid w:val="00522E15"/>
    <w:rsid w:val="00522E26"/>
    <w:rsid w:val="00523122"/>
    <w:rsid w:val="00523250"/>
    <w:rsid w:val="005232BF"/>
    <w:rsid w:val="00523320"/>
    <w:rsid w:val="00523691"/>
    <w:rsid w:val="005238B5"/>
    <w:rsid w:val="00523A8B"/>
    <w:rsid w:val="00523E22"/>
    <w:rsid w:val="00523F14"/>
    <w:rsid w:val="00524324"/>
    <w:rsid w:val="005243EE"/>
    <w:rsid w:val="0052449A"/>
    <w:rsid w:val="0052454C"/>
    <w:rsid w:val="00524A80"/>
    <w:rsid w:val="00524D09"/>
    <w:rsid w:val="00524DC7"/>
    <w:rsid w:val="00524E32"/>
    <w:rsid w:val="00524F29"/>
    <w:rsid w:val="005256AA"/>
    <w:rsid w:val="0052575A"/>
    <w:rsid w:val="0052586C"/>
    <w:rsid w:val="00525ACE"/>
    <w:rsid w:val="00525D43"/>
    <w:rsid w:val="00526194"/>
    <w:rsid w:val="005264BF"/>
    <w:rsid w:val="00526AC9"/>
    <w:rsid w:val="00526B3A"/>
    <w:rsid w:val="00526BBF"/>
    <w:rsid w:val="00526BFA"/>
    <w:rsid w:val="005271A4"/>
    <w:rsid w:val="005273FB"/>
    <w:rsid w:val="00527660"/>
    <w:rsid w:val="005276A9"/>
    <w:rsid w:val="00527C77"/>
    <w:rsid w:val="00527EA5"/>
    <w:rsid w:val="00527F5D"/>
    <w:rsid w:val="0053003D"/>
    <w:rsid w:val="005301AD"/>
    <w:rsid w:val="005303A1"/>
    <w:rsid w:val="005309CF"/>
    <w:rsid w:val="00530C31"/>
    <w:rsid w:val="00530CB6"/>
    <w:rsid w:val="00530CC2"/>
    <w:rsid w:val="00530D2C"/>
    <w:rsid w:val="005311CC"/>
    <w:rsid w:val="005311D3"/>
    <w:rsid w:val="00531294"/>
    <w:rsid w:val="005312EB"/>
    <w:rsid w:val="005315A2"/>
    <w:rsid w:val="005317CD"/>
    <w:rsid w:val="0053190D"/>
    <w:rsid w:val="00532772"/>
    <w:rsid w:val="0053287D"/>
    <w:rsid w:val="00532A8C"/>
    <w:rsid w:val="00532B71"/>
    <w:rsid w:val="00532ECE"/>
    <w:rsid w:val="00533C62"/>
    <w:rsid w:val="00533D59"/>
    <w:rsid w:val="00534342"/>
    <w:rsid w:val="0053452B"/>
    <w:rsid w:val="005346DA"/>
    <w:rsid w:val="00534E0A"/>
    <w:rsid w:val="00534E79"/>
    <w:rsid w:val="00535015"/>
    <w:rsid w:val="0053505E"/>
    <w:rsid w:val="005353AA"/>
    <w:rsid w:val="00535542"/>
    <w:rsid w:val="00535678"/>
    <w:rsid w:val="00535E5B"/>
    <w:rsid w:val="00535F5B"/>
    <w:rsid w:val="00535F87"/>
    <w:rsid w:val="00535FDF"/>
    <w:rsid w:val="0053636A"/>
    <w:rsid w:val="00536EAC"/>
    <w:rsid w:val="00537179"/>
    <w:rsid w:val="005371D8"/>
    <w:rsid w:val="005379A7"/>
    <w:rsid w:val="00540808"/>
    <w:rsid w:val="00540870"/>
    <w:rsid w:val="005408B5"/>
    <w:rsid w:val="00540935"/>
    <w:rsid w:val="00540961"/>
    <w:rsid w:val="00540BFD"/>
    <w:rsid w:val="00540F31"/>
    <w:rsid w:val="00540F39"/>
    <w:rsid w:val="0054121C"/>
    <w:rsid w:val="00541235"/>
    <w:rsid w:val="0054125C"/>
    <w:rsid w:val="00541590"/>
    <w:rsid w:val="005417D0"/>
    <w:rsid w:val="00542276"/>
    <w:rsid w:val="00542409"/>
    <w:rsid w:val="0054305F"/>
    <w:rsid w:val="00543976"/>
    <w:rsid w:val="005439B7"/>
    <w:rsid w:val="00543B3F"/>
    <w:rsid w:val="00543B97"/>
    <w:rsid w:val="0054403B"/>
    <w:rsid w:val="0054412D"/>
    <w:rsid w:val="00544268"/>
    <w:rsid w:val="005442DF"/>
    <w:rsid w:val="0054434A"/>
    <w:rsid w:val="0054437E"/>
    <w:rsid w:val="005443C3"/>
    <w:rsid w:val="0054443C"/>
    <w:rsid w:val="005448C9"/>
    <w:rsid w:val="00544DC0"/>
    <w:rsid w:val="00545085"/>
    <w:rsid w:val="005454C8"/>
    <w:rsid w:val="00545626"/>
    <w:rsid w:val="0054633C"/>
    <w:rsid w:val="00546345"/>
    <w:rsid w:val="0054636E"/>
    <w:rsid w:val="00546700"/>
    <w:rsid w:val="00546A40"/>
    <w:rsid w:val="00546A86"/>
    <w:rsid w:val="00546CA1"/>
    <w:rsid w:val="00546EA7"/>
    <w:rsid w:val="0054786F"/>
    <w:rsid w:val="00547BD9"/>
    <w:rsid w:val="00547D49"/>
    <w:rsid w:val="00550213"/>
    <w:rsid w:val="00550DB8"/>
    <w:rsid w:val="00551291"/>
    <w:rsid w:val="005513F9"/>
    <w:rsid w:val="00551563"/>
    <w:rsid w:val="00551739"/>
    <w:rsid w:val="00551892"/>
    <w:rsid w:val="0055200A"/>
    <w:rsid w:val="005523A5"/>
    <w:rsid w:val="00552BAD"/>
    <w:rsid w:val="00552E0E"/>
    <w:rsid w:val="0055359B"/>
    <w:rsid w:val="0055391C"/>
    <w:rsid w:val="00553B58"/>
    <w:rsid w:val="00554205"/>
    <w:rsid w:val="005543D5"/>
    <w:rsid w:val="005547B1"/>
    <w:rsid w:val="00554810"/>
    <w:rsid w:val="00554F38"/>
    <w:rsid w:val="00555153"/>
    <w:rsid w:val="005551B0"/>
    <w:rsid w:val="00555628"/>
    <w:rsid w:val="005558CC"/>
    <w:rsid w:val="00555D19"/>
    <w:rsid w:val="00555EB2"/>
    <w:rsid w:val="00556A44"/>
    <w:rsid w:val="00556E1D"/>
    <w:rsid w:val="00556E89"/>
    <w:rsid w:val="005572E6"/>
    <w:rsid w:val="0055747D"/>
    <w:rsid w:val="005576BE"/>
    <w:rsid w:val="00557706"/>
    <w:rsid w:val="00557BA4"/>
    <w:rsid w:val="00557D2B"/>
    <w:rsid w:val="00560197"/>
    <w:rsid w:val="00560618"/>
    <w:rsid w:val="00560725"/>
    <w:rsid w:val="00560C55"/>
    <w:rsid w:val="00560D46"/>
    <w:rsid w:val="00560F64"/>
    <w:rsid w:val="00561232"/>
    <w:rsid w:val="0056189E"/>
    <w:rsid w:val="005619D9"/>
    <w:rsid w:val="00561BE5"/>
    <w:rsid w:val="00561CA7"/>
    <w:rsid w:val="00562019"/>
    <w:rsid w:val="005629C1"/>
    <w:rsid w:val="00562A31"/>
    <w:rsid w:val="00562B30"/>
    <w:rsid w:val="00562F7B"/>
    <w:rsid w:val="0056301A"/>
    <w:rsid w:val="00563642"/>
    <w:rsid w:val="00563756"/>
    <w:rsid w:val="0056473C"/>
    <w:rsid w:val="0056498C"/>
    <w:rsid w:val="005649BF"/>
    <w:rsid w:val="00564B8E"/>
    <w:rsid w:val="00564C82"/>
    <w:rsid w:val="005651DD"/>
    <w:rsid w:val="0056520D"/>
    <w:rsid w:val="0056530E"/>
    <w:rsid w:val="005653EB"/>
    <w:rsid w:val="00565BA8"/>
    <w:rsid w:val="00565BC1"/>
    <w:rsid w:val="00565CE3"/>
    <w:rsid w:val="00565DB1"/>
    <w:rsid w:val="005661DC"/>
    <w:rsid w:val="0056639C"/>
    <w:rsid w:val="00566565"/>
    <w:rsid w:val="00567033"/>
    <w:rsid w:val="005677C0"/>
    <w:rsid w:val="00567AAE"/>
    <w:rsid w:val="00567B09"/>
    <w:rsid w:val="00567B9D"/>
    <w:rsid w:val="00567C2C"/>
    <w:rsid w:val="00567ECF"/>
    <w:rsid w:val="00570183"/>
    <w:rsid w:val="0057028C"/>
    <w:rsid w:val="0057052F"/>
    <w:rsid w:val="00570A8E"/>
    <w:rsid w:val="00570CDF"/>
    <w:rsid w:val="00571233"/>
    <w:rsid w:val="00571393"/>
    <w:rsid w:val="00571C4B"/>
    <w:rsid w:val="00571F96"/>
    <w:rsid w:val="005721FD"/>
    <w:rsid w:val="00572249"/>
    <w:rsid w:val="0057304A"/>
    <w:rsid w:val="0057320B"/>
    <w:rsid w:val="00573557"/>
    <w:rsid w:val="0057378F"/>
    <w:rsid w:val="00573865"/>
    <w:rsid w:val="005738D3"/>
    <w:rsid w:val="00573A07"/>
    <w:rsid w:val="00573A99"/>
    <w:rsid w:val="00573C01"/>
    <w:rsid w:val="005745A6"/>
    <w:rsid w:val="00574CFA"/>
    <w:rsid w:val="00574E62"/>
    <w:rsid w:val="00575226"/>
    <w:rsid w:val="00575423"/>
    <w:rsid w:val="0057572C"/>
    <w:rsid w:val="00575917"/>
    <w:rsid w:val="0057591B"/>
    <w:rsid w:val="00575B46"/>
    <w:rsid w:val="00575EFE"/>
    <w:rsid w:val="0057627A"/>
    <w:rsid w:val="0057677F"/>
    <w:rsid w:val="00576AD3"/>
    <w:rsid w:val="005779FD"/>
    <w:rsid w:val="00577D42"/>
    <w:rsid w:val="00577E78"/>
    <w:rsid w:val="0058002C"/>
    <w:rsid w:val="0058020D"/>
    <w:rsid w:val="0058043D"/>
    <w:rsid w:val="005805CE"/>
    <w:rsid w:val="00580629"/>
    <w:rsid w:val="00580C90"/>
    <w:rsid w:val="00580DC9"/>
    <w:rsid w:val="00580FE6"/>
    <w:rsid w:val="00581375"/>
    <w:rsid w:val="005814A2"/>
    <w:rsid w:val="00581543"/>
    <w:rsid w:val="005821A6"/>
    <w:rsid w:val="0058251E"/>
    <w:rsid w:val="00582900"/>
    <w:rsid w:val="00582BE0"/>
    <w:rsid w:val="00582D89"/>
    <w:rsid w:val="00583089"/>
    <w:rsid w:val="005833BD"/>
    <w:rsid w:val="00583711"/>
    <w:rsid w:val="00583743"/>
    <w:rsid w:val="005838F5"/>
    <w:rsid w:val="00583977"/>
    <w:rsid w:val="0058400A"/>
    <w:rsid w:val="005854F6"/>
    <w:rsid w:val="00586581"/>
    <w:rsid w:val="00586722"/>
    <w:rsid w:val="00586A14"/>
    <w:rsid w:val="00586B99"/>
    <w:rsid w:val="00587004"/>
    <w:rsid w:val="0058722B"/>
    <w:rsid w:val="00587405"/>
    <w:rsid w:val="0058743C"/>
    <w:rsid w:val="00587AB5"/>
    <w:rsid w:val="005901CB"/>
    <w:rsid w:val="005901D3"/>
    <w:rsid w:val="005905D0"/>
    <w:rsid w:val="0059098B"/>
    <w:rsid w:val="00590993"/>
    <w:rsid w:val="00590AF6"/>
    <w:rsid w:val="00590CA9"/>
    <w:rsid w:val="00590D7C"/>
    <w:rsid w:val="005910BD"/>
    <w:rsid w:val="005914FD"/>
    <w:rsid w:val="00591860"/>
    <w:rsid w:val="00591D4F"/>
    <w:rsid w:val="00591E10"/>
    <w:rsid w:val="00591EC2"/>
    <w:rsid w:val="005920BE"/>
    <w:rsid w:val="00592382"/>
    <w:rsid w:val="00592B34"/>
    <w:rsid w:val="00592B97"/>
    <w:rsid w:val="00592F7D"/>
    <w:rsid w:val="00592F83"/>
    <w:rsid w:val="00593CFD"/>
    <w:rsid w:val="00594047"/>
    <w:rsid w:val="005944BB"/>
    <w:rsid w:val="00594589"/>
    <w:rsid w:val="0059459F"/>
    <w:rsid w:val="00594C29"/>
    <w:rsid w:val="0059503E"/>
    <w:rsid w:val="00595366"/>
    <w:rsid w:val="00595622"/>
    <w:rsid w:val="00595A5F"/>
    <w:rsid w:val="00595C50"/>
    <w:rsid w:val="00595DAE"/>
    <w:rsid w:val="00595E3D"/>
    <w:rsid w:val="00596024"/>
    <w:rsid w:val="00596622"/>
    <w:rsid w:val="00596785"/>
    <w:rsid w:val="005967AD"/>
    <w:rsid w:val="0059680D"/>
    <w:rsid w:val="00596D9E"/>
    <w:rsid w:val="0059766C"/>
    <w:rsid w:val="00597882"/>
    <w:rsid w:val="00597C40"/>
    <w:rsid w:val="005A065E"/>
    <w:rsid w:val="005A07AF"/>
    <w:rsid w:val="005A0905"/>
    <w:rsid w:val="005A0917"/>
    <w:rsid w:val="005A0DB5"/>
    <w:rsid w:val="005A19B9"/>
    <w:rsid w:val="005A19EC"/>
    <w:rsid w:val="005A1BFA"/>
    <w:rsid w:val="005A2122"/>
    <w:rsid w:val="005A23F5"/>
    <w:rsid w:val="005A246C"/>
    <w:rsid w:val="005A25D7"/>
    <w:rsid w:val="005A285E"/>
    <w:rsid w:val="005A2A63"/>
    <w:rsid w:val="005A32B7"/>
    <w:rsid w:val="005A3599"/>
    <w:rsid w:val="005A373F"/>
    <w:rsid w:val="005A381C"/>
    <w:rsid w:val="005A3CB8"/>
    <w:rsid w:val="005A411D"/>
    <w:rsid w:val="005A422D"/>
    <w:rsid w:val="005A45BC"/>
    <w:rsid w:val="005A4605"/>
    <w:rsid w:val="005A4625"/>
    <w:rsid w:val="005A4D96"/>
    <w:rsid w:val="005A4DD5"/>
    <w:rsid w:val="005A4E18"/>
    <w:rsid w:val="005A59E1"/>
    <w:rsid w:val="005A5ACD"/>
    <w:rsid w:val="005A5AE9"/>
    <w:rsid w:val="005A5C8A"/>
    <w:rsid w:val="005A5DB9"/>
    <w:rsid w:val="005A6008"/>
    <w:rsid w:val="005A6251"/>
    <w:rsid w:val="005A6294"/>
    <w:rsid w:val="005A6ACB"/>
    <w:rsid w:val="005A6C2E"/>
    <w:rsid w:val="005A714C"/>
    <w:rsid w:val="005A735B"/>
    <w:rsid w:val="005A7A16"/>
    <w:rsid w:val="005A7ACF"/>
    <w:rsid w:val="005A7AE4"/>
    <w:rsid w:val="005A7B50"/>
    <w:rsid w:val="005A7C12"/>
    <w:rsid w:val="005A7CFB"/>
    <w:rsid w:val="005B01B2"/>
    <w:rsid w:val="005B084C"/>
    <w:rsid w:val="005B0A2D"/>
    <w:rsid w:val="005B0AA0"/>
    <w:rsid w:val="005B0B38"/>
    <w:rsid w:val="005B102F"/>
    <w:rsid w:val="005B10B7"/>
    <w:rsid w:val="005B129C"/>
    <w:rsid w:val="005B1302"/>
    <w:rsid w:val="005B132F"/>
    <w:rsid w:val="005B1617"/>
    <w:rsid w:val="005B177A"/>
    <w:rsid w:val="005B192D"/>
    <w:rsid w:val="005B1D85"/>
    <w:rsid w:val="005B1E7A"/>
    <w:rsid w:val="005B2073"/>
    <w:rsid w:val="005B21C6"/>
    <w:rsid w:val="005B2223"/>
    <w:rsid w:val="005B222C"/>
    <w:rsid w:val="005B287E"/>
    <w:rsid w:val="005B2939"/>
    <w:rsid w:val="005B2C71"/>
    <w:rsid w:val="005B2C86"/>
    <w:rsid w:val="005B2E7C"/>
    <w:rsid w:val="005B3055"/>
    <w:rsid w:val="005B31BA"/>
    <w:rsid w:val="005B36BD"/>
    <w:rsid w:val="005B3791"/>
    <w:rsid w:val="005B38B0"/>
    <w:rsid w:val="005B391F"/>
    <w:rsid w:val="005B45E4"/>
    <w:rsid w:val="005B5377"/>
    <w:rsid w:val="005B5696"/>
    <w:rsid w:val="005B59DA"/>
    <w:rsid w:val="005B5CE0"/>
    <w:rsid w:val="005B6264"/>
    <w:rsid w:val="005B63AC"/>
    <w:rsid w:val="005B67D0"/>
    <w:rsid w:val="005B6D63"/>
    <w:rsid w:val="005B6D99"/>
    <w:rsid w:val="005B6F76"/>
    <w:rsid w:val="005B6FD8"/>
    <w:rsid w:val="005B7245"/>
    <w:rsid w:val="005B76DB"/>
    <w:rsid w:val="005B7B20"/>
    <w:rsid w:val="005B7D2B"/>
    <w:rsid w:val="005C078E"/>
    <w:rsid w:val="005C0914"/>
    <w:rsid w:val="005C099C"/>
    <w:rsid w:val="005C118F"/>
    <w:rsid w:val="005C12BF"/>
    <w:rsid w:val="005C162D"/>
    <w:rsid w:val="005C1673"/>
    <w:rsid w:val="005C17A3"/>
    <w:rsid w:val="005C17AE"/>
    <w:rsid w:val="005C1866"/>
    <w:rsid w:val="005C1BF9"/>
    <w:rsid w:val="005C1CA4"/>
    <w:rsid w:val="005C1D1B"/>
    <w:rsid w:val="005C1D40"/>
    <w:rsid w:val="005C1D4B"/>
    <w:rsid w:val="005C2216"/>
    <w:rsid w:val="005C2453"/>
    <w:rsid w:val="005C26C4"/>
    <w:rsid w:val="005C2B54"/>
    <w:rsid w:val="005C2B61"/>
    <w:rsid w:val="005C2FF3"/>
    <w:rsid w:val="005C327B"/>
    <w:rsid w:val="005C342D"/>
    <w:rsid w:val="005C3AD2"/>
    <w:rsid w:val="005C3AEA"/>
    <w:rsid w:val="005C3AF6"/>
    <w:rsid w:val="005C3BB2"/>
    <w:rsid w:val="005C3CC3"/>
    <w:rsid w:val="005C44C9"/>
    <w:rsid w:val="005C487F"/>
    <w:rsid w:val="005C4CB5"/>
    <w:rsid w:val="005C4CD9"/>
    <w:rsid w:val="005C4CF8"/>
    <w:rsid w:val="005C503B"/>
    <w:rsid w:val="005C507A"/>
    <w:rsid w:val="005C5632"/>
    <w:rsid w:val="005C5703"/>
    <w:rsid w:val="005C5CDE"/>
    <w:rsid w:val="005C65ED"/>
    <w:rsid w:val="005C6704"/>
    <w:rsid w:val="005C690D"/>
    <w:rsid w:val="005C70E0"/>
    <w:rsid w:val="005C7676"/>
    <w:rsid w:val="005C769B"/>
    <w:rsid w:val="005C7716"/>
    <w:rsid w:val="005C7E06"/>
    <w:rsid w:val="005D0050"/>
    <w:rsid w:val="005D0883"/>
    <w:rsid w:val="005D0951"/>
    <w:rsid w:val="005D0E9E"/>
    <w:rsid w:val="005D103C"/>
    <w:rsid w:val="005D10BD"/>
    <w:rsid w:val="005D1134"/>
    <w:rsid w:val="005D128B"/>
    <w:rsid w:val="005D1312"/>
    <w:rsid w:val="005D1548"/>
    <w:rsid w:val="005D15C9"/>
    <w:rsid w:val="005D194B"/>
    <w:rsid w:val="005D1BD2"/>
    <w:rsid w:val="005D1C0E"/>
    <w:rsid w:val="005D2181"/>
    <w:rsid w:val="005D2DCF"/>
    <w:rsid w:val="005D3193"/>
    <w:rsid w:val="005D3687"/>
    <w:rsid w:val="005D38E3"/>
    <w:rsid w:val="005D3D4D"/>
    <w:rsid w:val="005D3D7A"/>
    <w:rsid w:val="005D40D0"/>
    <w:rsid w:val="005D4787"/>
    <w:rsid w:val="005D4D3D"/>
    <w:rsid w:val="005D500D"/>
    <w:rsid w:val="005D51B9"/>
    <w:rsid w:val="005D54E5"/>
    <w:rsid w:val="005D5796"/>
    <w:rsid w:val="005D597F"/>
    <w:rsid w:val="005D5C44"/>
    <w:rsid w:val="005D5D45"/>
    <w:rsid w:val="005D6034"/>
    <w:rsid w:val="005D62AD"/>
    <w:rsid w:val="005D636E"/>
    <w:rsid w:val="005D63BB"/>
    <w:rsid w:val="005D6487"/>
    <w:rsid w:val="005D6643"/>
    <w:rsid w:val="005D6993"/>
    <w:rsid w:val="005D6AD0"/>
    <w:rsid w:val="005D7117"/>
    <w:rsid w:val="005D7505"/>
    <w:rsid w:val="005D762C"/>
    <w:rsid w:val="005D7C28"/>
    <w:rsid w:val="005E02CB"/>
    <w:rsid w:val="005E04F7"/>
    <w:rsid w:val="005E0BE1"/>
    <w:rsid w:val="005E1174"/>
    <w:rsid w:val="005E11DE"/>
    <w:rsid w:val="005E1729"/>
    <w:rsid w:val="005E1770"/>
    <w:rsid w:val="005E1C18"/>
    <w:rsid w:val="005E260C"/>
    <w:rsid w:val="005E276A"/>
    <w:rsid w:val="005E2827"/>
    <w:rsid w:val="005E2E92"/>
    <w:rsid w:val="005E2F17"/>
    <w:rsid w:val="005E2FA1"/>
    <w:rsid w:val="005E30DE"/>
    <w:rsid w:val="005E31ED"/>
    <w:rsid w:val="005E33F3"/>
    <w:rsid w:val="005E3617"/>
    <w:rsid w:val="005E3A17"/>
    <w:rsid w:val="005E3A51"/>
    <w:rsid w:val="005E3DB1"/>
    <w:rsid w:val="005E3E6E"/>
    <w:rsid w:val="005E4188"/>
    <w:rsid w:val="005E4380"/>
    <w:rsid w:val="005E494D"/>
    <w:rsid w:val="005E4A6E"/>
    <w:rsid w:val="005E514E"/>
    <w:rsid w:val="005E55D1"/>
    <w:rsid w:val="005E56B5"/>
    <w:rsid w:val="005E6B7C"/>
    <w:rsid w:val="005E6C7C"/>
    <w:rsid w:val="005E6C8F"/>
    <w:rsid w:val="005E6CD7"/>
    <w:rsid w:val="005E7036"/>
    <w:rsid w:val="005E7A51"/>
    <w:rsid w:val="005E7AD1"/>
    <w:rsid w:val="005E7B21"/>
    <w:rsid w:val="005F0109"/>
    <w:rsid w:val="005F06FB"/>
    <w:rsid w:val="005F0B4F"/>
    <w:rsid w:val="005F0BE1"/>
    <w:rsid w:val="005F113E"/>
    <w:rsid w:val="005F1274"/>
    <w:rsid w:val="005F174C"/>
    <w:rsid w:val="005F1B75"/>
    <w:rsid w:val="005F215C"/>
    <w:rsid w:val="005F217A"/>
    <w:rsid w:val="005F24BD"/>
    <w:rsid w:val="005F2789"/>
    <w:rsid w:val="005F2AEE"/>
    <w:rsid w:val="005F2D15"/>
    <w:rsid w:val="005F30A8"/>
    <w:rsid w:val="005F3858"/>
    <w:rsid w:val="005F3DE9"/>
    <w:rsid w:val="005F409B"/>
    <w:rsid w:val="005F417D"/>
    <w:rsid w:val="005F42FE"/>
    <w:rsid w:val="005F4678"/>
    <w:rsid w:val="005F48B0"/>
    <w:rsid w:val="005F4A4A"/>
    <w:rsid w:val="005F4A99"/>
    <w:rsid w:val="005F50AE"/>
    <w:rsid w:val="005F54BC"/>
    <w:rsid w:val="005F5787"/>
    <w:rsid w:val="005F5C7C"/>
    <w:rsid w:val="005F5DDE"/>
    <w:rsid w:val="005F5FBA"/>
    <w:rsid w:val="005F6148"/>
    <w:rsid w:val="005F65F0"/>
    <w:rsid w:val="005F68BF"/>
    <w:rsid w:val="005F717B"/>
    <w:rsid w:val="005F720B"/>
    <w:rsid w:val="005F7642"/>
    <w:rsid w:val="005F7A1E"/>
    <w:rsid w:val="005F7D51"/>
    <w:rsid w:val="006004A8"/>
    <w:rsid w:val="006009D7"/>
    <w:rsid w:val="00600BB2"/>
    <w:rsid w:val="00600F2D"/>
    <w:rsid w:val="00601003"/>
    <w:rsid w:val="00601712"/>
    <w:rsid w:val="00601EBF"/>
    <w:rsid w:val="006020C2"/>
    <w:rsid w:val="00602200"/>
    <w:rsid w:val="00602372"/>
    <w:rsid w:val="006026BC"/>
    <w:rsid w:val="00602E94"/>
    <w:rsid w:val="006032A0"/>
    <w:rsid w:val="00603441"/>
    <w:rsid w:val="00603642"/>
    <w:rsid w:val="00603AC7"/>
    <w:rsid w:val="0060427B"/>
    <w:rsid w:val="006045E3"/>
    <w:rsid w:val="00604948"/>
    <w:rsid w:val="006049F9"/>
    <w:rsid w:val="006050B5"/>
    <w:rsid w:val="006050CE"/>
    <w:rsid w:val="0060544F"/>
    <w:rsid w:val="006054A8"/>
    <w:rsid w:val="006054D4"/>
    <w:rsid w:val="0060563F"/>
    <w:rsid w:val="00605B6E"/>
    <w:rsid w:val="00606085"/>
    <w:rsid w:val="006062FE"/>
    <w:rsid w:val="006064B8"/>
    <w:rsid w:val="006067C3"/>
    <w:rsid w:val="00606814"/>
    <w:rsid w:val="00606ABA"/>
    <w:rsid w:val="00606B12"/>
    <w:rsid w:val="00606D2E"/>
    <w:rsid w:val="006072BC"/>
    <w:rsid w:val="00607306"/>
    <w:rsid w:val="0060750A"/>
    <w:rsid w:val="006079D7"/>
    <w:rsid w:val="00607ABA"/>
    <w:rsid w:val="00607C9F"/>
    <w:rsid w:val="00607E3D"/>
    <w:rsid w:val="00607EA5"/>
    <w:rsid w:val="00607EDA"/>
    <w:rsid w:val="00607F07"/>
    <w:rsid w:val="00610086"/>
    <w:rsid w:val="0061032A"/>
    <w:rsid w:val="00610442"/>
    <w:rsid w:val="00610CC3"/>
    <w:rsid w:val="00610EC1"/>
    <w:rsid w:val="00611B15"/>
    <w:rsid w:val="00611DB6"/>
    <w:rsid w:val="00611E56"/>
    <w:rsid w:val="006125E5"/>
    <w:rsid w:val="006126E1"/>
    <w:rsid w:val="00612A6D"/>
    <w:rsid w:val="006132FF"/>
    <w:rsid w:val="006137C2"/>
    <w:rsid w:val="00613B68"/>
    <w:rsid w:val="006143D2"/>
    <w:rsid w:val="006144A5"/>
    <w:rsid w:val="00614D0C"/>
    <w:rsid w:val="00614E7D"/>
    <w:rsid w:val="00614EB6"/>
    <w:rsid w:val="00614F77"/>
    <w:rsid w:val="00615613"/>
    <w:rsid w:val="006158E6"/>
    <w:rsid w:val="00615903"/>
    <w:rsid w:val="00615EF4"/>
    <w:rsid w:val="00616195"/>
    <w:rsid w:val="00616474"/>
    <w:rsid w:val="0061647F"/>
    <w:rsid w:val="0061670C"/>
    <w:rsid w:val="00616804"/>
    <w:rsid w:val="00616A0F"/>
    <w:rsid w:val="00616D68"/>
    <w:rsid w:val="00617336"/>
    <w:rsid w:val="006174A5"/>
    <w:rsid w:val="00617666"/>
    <w:rsid w:val="00617DAF"/>
    <w:rsid w:val="00620C68"/>
    <w:rsid w:val="00620D77"/>
    <w:rsid w:val="00620DDB"/>
    <w:rsid w:val="00620F08"/>
    <w:rsid w:val="00621D96"/>
    <w:rsid w:val="00621E06"/>
    <w:rsid w:val="00622165"/>
    <w:rsid w:val="0062230D"/>
    <w:rsid w:val="00622469"/>
    <w:rsid w:val="00622511"/>
    <w:rsid w:val="00622607"/>
    <w:rsid w:val="006226A4"/>
    <w:rsid w:val="00622B50"/>
    <w:rsid w:val="00622E2D"/>
    <w:rsid w:val="00623023"/>
    <w:rsid w:val="0062310D"/>
    <w:rsid w:val="00623548"/>
    <w:rsid w:val="0062381F"/>
    <w:rsid w:val="00623930"/>
    <w:rsid w:val="00623939"/>
    <w:rsid w:val="00624111"/>
    <w:rsid w:val="006241F3"/>
    <w:rsid w:val="00624946"/>
    <w:rsid w:val="00624CCF"/>
    <w:rsid w:val="00624EBF"/>
    <w:rsid w:val="00624F86"/>
    <w:rsid w:val="00624FDC"/>
    <w:rsid w:val="00625937"/>
    <w:rsid w:val="00625E4E"/>
    <w:rsid w:val="006260EB"/>
    <w:rsid w:val="00626341"/>
    <w:rsid w:val="00626479"/>
    <w:rsid w:val="006269AF"/>
    <w:rsid w:val="00626CD1"/>
    <w:rsid w:val="00626D8D"/>
    <w:rsid w:val="00627632"/>
    <w:rsid w:val="00627A8A"/>
    <w:rsid w:val="00627D4C"/>
    <w:rsid w:val="00627E64"/>
    <w:rsid w:val="00627F1A"/>
    <w:rsid w:val="006301E6"/>
    <w:rsid w:val="0063056A"/>
    <w:rsid w:val="006308F8"/>
    <w:rsid w:val="00630CC9"/>
    <w:rsid w:val="00630EA7"/>
    <w:rsid w:val="00630F38"/>
    <w:rsid w:val="0063104B"/>
    <w:rsid w:val="0063161B"/>
    <w:rsid w:val="006316EE"/>
    <w:rsid w:val="006318CE"/>
    <w:rsid w:val="00631994"/>
    <w:rsid w:val="006321BD"/>
    <w:rsid w:val="00632E5F"/>
    <w:rsid w:val="00633109"/>
    <w:rsid w:val="0063310B"/>
    <w:rsid w:val="0063361E"/>
    <w:rsid w:val="0063378C"/>
    <w:rsid w:val="0063387D"/>
    <w:rsid w:val="006339FE"/>
    <w:rsid w:val="006340A1"/>
    <w:rsid w:val="006343F5"/>
    <w:rsid w:val="006344CE"/>
    <w:rsid w:val="0063468C"/>
    <w:rsid w:val="006349E6"/>
    <w:rsid w:val="00634A25"/>
    <w:rsid w:val="00634A2C"/>
    <w:rsid w:val="00634A42"/>
    <w:rsid w:val="00634B58"/>
    <w:rsid w:val="00634E37"/>
    <w:rsid w:val="00634E60"/>
    <w:rsid w:val="00634FAC"/>
    <w:rsid w:val="00635090"/>
    <w:rsid w:val="00635829"/>
    <w:rsid w:val="006358D9"/>
    <w:rsid w:val="0063630E"/>
    <w:rsid w:val="00636707"/>
    <w:rsid w:val="00636751"/>
    <w:rsid w:val="00636B84"/>
    <w:rsid w:val="00636DFA"/>
    <w:rsid w:val="00637378"/>
    <w:rsid w:val="0063751E"/>
    <w:rsid w:val="00637846"/>
    <w:rsid w:val="00637BA6"/>
    <w:rsid w:val="00637FCE"/>
    <w:rsid w:val="00640369"/>
    <w:rsid w:val="006403C3"/>
    <w:rsid w:val="00640500"/>
    <w:rsid w:val="0064099C"/>
    <w:rsid w:val="00640E87"/>
    <w:rsid w:val="00640F24"/>
    <w:rsid w:val="006410EC"/>
    <w:rsid w:val="006412C3"/>
    <w:rsid w:val="00641ABF"/>
    <w:rsid w:val="00641ACD"/>
    <w:rsid w:val="00641B0F"/>
    <w:rsid w:val="00641E04"/>
    <w:rsid w:val="00642394"/>
    <w:rsid w:val="00643003"/>
    <w:rsid w:val="006431DC"/>
    <w:rsid w:val="00643B0A"/>
    <w:rsid w:val="00643B98"/>
    <w:rsid w:val="00643E58"/>
    <w:rsid w:val="00643F8C"/>
    <w:rsid w:val="006441D6"/>
    <w:rsid w:val="00644208"/>
    <w:rsid w:val="006442C4"/>
    <w:rsid w:val="00644683"/>
    <w:rsid w:val="0064481D"/>
    <w:rsid w:val="00644821"/>
    <w:rsid w:val="0064524F"/>
    <w:rsid w:val="0064557B"/>
    <w:rsid w:val="00645788"/>
    <w:rsid w:val="006458D3"/>
    <w:rsid w:val="00645906"/>
    <w:rsid w:val="00645CAD"/>
    <w:rsid w:val="00645CCB"/>
    <w:rsid w:val="00645D09"/>
    <w:rsid w:val="00645DA2"/>
    <w:rsid w:val="00645DBD"/>
    <w:rsid w:val="00645F51"/>
    <w:rsid w:val="00645FFD"/>
    <w:rsid w:val="00646183"/>
    <w:rsid w:val="006465BF"/>
    <w:rsid w:val="0064692C"/>
    <w:rsid w:val="00646C94"/>
    <w:rsid w:val="00647005"/>
    <w:rsid w:val="0064740E"/>
    <w:rsid w:val="00647C08"/>
    <w:rsid w:val="00647F8A"/>
    <w:rsid w:val="00650160"/>
    <w:rsid w:val="0065029C"/>
    <w:rsid w:val="00650506"/>
    <w:rsid w:val="00650569"/>
    <w:rsid w:val="00650CB3"/>
    <w:rsid w:val="0065110D"/>
    <w:rsid w:val="006511A3"/>
    <w:rsid w:val="00651744"/>
    <w:rsid w:val="0065189B"/>
    <w:rsid w:val="00651C9E"/>
    <w:rsid w:val="006520A9"/>
    <w:rsid w:val="00652147"/>
    <w:rsid w:val="00652658"/>
    <w:rsid w:val="0065338B"/>
    <w:rsid w:val="006535EF"/>
    <w:rsid w:val="0065360F"/>
    <w:rsid w:val="00653751"/>
    <w:rsid w:val="0065413C"/>
    <w:rsid w:val="006541F3"/>
    <w:rsid w:val="00654551"/>
    <w:rsid w:val="00654AF0"/>
    <w:rsid w:val="00654C78"/>
    <w:rsid w:val="00654D9C"/>
    <w:rsid w:val="00654EFC"/>
    <w:rsid w:val="00655379"/>
    <w:rsid w:val="00655C27"/>
    <w:rsid w:val="00655E08"/>
    <w:rsid w:val="00656463"/>
    <w:rsid w:val="00656468"/>
    <w:rsid w:val="00656577"/>
    <w:rsid w:val="00656A23"/>
    <w:rsid w:val="00656C3B"/>
    <w:rsid w:val="00656D7C"/>
    <w:rsid w:val="00656E5D"/>
    <w:rsid w:val="00657261"/>
    <w:rsid w:val="00660172"/>
    <w:rsid w:val="00660CA7"/>
    <w:rsid w:val="00661138"/>
    <w:rsid w:val="006612A8"/>
    <w:rsid w:val="006617EA"/>
    <w:rsid w:val="00661B90"/>
    <w:rsid w:val="00661C92"/>
    <w:rsid w:val="00661CD7"/>
    <w:rsid w:val="00661F60"/>
    <w:rsid w:val="00662B44"/>
    <w:rsid w:val="00662CA7"/>
    <w:rsid w:val="00662F63"/>
    <w:rsid w:val="00663489"/>
    <w:rsid w:val="00663499"/>
    <w:rsid w:val="00664062"/>
    <w:rsid w:val="006640BC"/>
    <w:rsid w:val="0066472E"/>
    <w:rsid w:val="006648C5"/>
    <w:rsid w:val="00664B69"/>
    <w:rsid w:val="00664CFF"/>
    <w:rsid w:val="00665085"/>
    <w:rsid w:val="006650A9"/>
    <w:rsid w:val="006657B6"/>
    <w:rsid w:val="00665C22"/>
    <w:rsid w:val="00665E97"/>
    <w:rsid w:val="00666728"/>
    <w:rsid w:val="00666770"/>
    <w:rsid w:val="006667AB"/>
    <w:rsid w:val="0066688B"/>
    <w:rsid w:val="00666A4D"/>
    <w:rsid w:val="00666BFD"/>
    <w:rsid w:val="00667048"/>
    <w:rsid w:val="006671C3"/>
    <w:rsid w:val="0066733D"/>
    <w:rsid w:val="006674A0"/>
    <w:rsid w:val="006678A6"/>
    <w:rsid w:val="00667965"/>
    <w:rsid w:val="006700A1"/>
    <w:rsid w:val="006700EB"/>
    <w:rsid w:val="0067016D"/>
    <w:rsid w:val="00670740"/>
    <w:rsid w:val="00670765"/>
    <w:rsid w:val="00670789"/>
    <w:rsid w:val="00670AD9"/>
    <w:rsid w:val="00670D75"/>
    <w:rsid w:val="006713E2"/>
    <w:rsid w:val="0067151D"/>
    <w:rsid w:val="006715CE"/>
    <w:rsid w:val="006715DA"/>
    <w:rsid w:val="0067166C"/>
    <w:rsid w:val="00671972"/>
    <w:rsid w:val="006719DF"/>
    <w:rsid w:val="00671FC0"/>
    <w:rsid w:val="00672017"/>
    <w:rsid w:val="00672144"/>
    <w:rsid w:val="0067235E"/>
    <w:rsid w:val="006723DA"/>
    <w:rsid w:val="00672B84"/>
    <w:rsid w:val="00672E5B"/>
    <w:rsid w:val="00672F2D"/>
    <w:rsid w:val="006735B5"/>
    <w:rsid w:val="006738BA"/>
    <w:rsid w:val="00673FBA"/>
    <w:rsid w:val="0067401C"/>
    <w:rsid w:val="00674064"/>
    <w:rsid w:val="00674244"/>
    <w:rsid w:val="006745B3"/>
    <w:rsid w:val="0067476B"/>
    <w:rsid w:val="00674820"/>
    <w:rsid w:val="00675071"/>
    <w:rsid w:val="006751CA"/>
    <w:rsid w:val="00675274"/>
    <w:rsid w:val="00675448"/>
    <w:rsid w:val="006757E9"/>
    <w:rsid w:val="00675A88"/>
    <w:rsid w:val="00675BDA"/>
    <w:rsid w:val="00675E15"/>
    <w:rsid w:val="00675FE0"/>
    <w:rsid w:val="00676283"/>
    <w:rsid w:val="00676302"/>
    <w:rsid w:val="0067631B"/>
    <w:rsid w:val="00676345"/>
    <w:rsid w:val="0067638B"/>
    <w:rsid w:val="00676471"/>
    <w:rsid w:val="0067656A"/>
    <w:rsid w:val="006766D1"/>
    <w:rsid w:val="0067684E"/>
    <w:rsid w:val="0067688E"/>
    <w:rsid w:val="006772DD"/>
    <w:rsid w:val="00677540"/>
    <w:rsid w:val="00677928"/>
    <w:rsid w:val="006779F7"/>
    <w:rsid w:val="00677EB1"/>
    <w:rsid w:val="0068002F"/>
    <w:rsid w:val="0068079F"/>
    <w:rsid w:val="00680CC1"/>
    <w:rsid w:val="00680CFD"/>
    <w:rsid w:val="00680D1A"/>
    <w:rsid w:val="00681105"/>
    <w:rsid w:val="00681620"/>
    <w:rsid w:val="00681639"/>
    <w:rsid w:val="00681714"/>
    <w:rsid w:val="00681BF1"/>
    <w:rsid w:val="00681C35"/>
    <w:rsid w:val="00681EBF"/>
    <w:rsid w:val="00682886"/>
    <w:rsid w:val="00682B81"/>
    <w:rsid w:val="00682B89"/>
    <w:rsid w:val="00682C89"/>
    <w:rsid w:val="00682D28"/>
    <w:rsid w:val="00682DBC"/>
    <w:rsid w:val="006830FF"/>
    <w:rsid w:val="006832A5"/>
    <w:rsid w:val="00683CBF"/>
    <w:rsid w:val="00683D62"/>
    <w:rsid w:val="00683EC2"/>
    <w:rsid w:val="006841D2"/>
    <w:rsid w:val="00684410"/>
    <w:rsid w:val="00684789"/>
    <w:rsid w:val="006847BB"/>
    <w:rsid w:val="00684E94"/>
    <w:rsid w:val="00684FB7"/>
    <w:rsid w:val="0068503D"/>
    <w:rsid w:val="006855C7"/>
    <w:rsid w:val="00685600"/>
    <w:rsid w:val="00685AB9"/>
    <w:rsid w:val="0068637F"/>
    <w:rsid w:val="0068643A"/>
    <w:rsid w:val="006865A8"/>
    <w:rsid w:val="006867C5"/>
    <w:rsid w:val="0068689A"/>
    <w:rsid w:val="006872CF"/>
    <w:rsid w:val="00687419"/>
    <w:rsid w:val="006874AB"/>
    <w:rsid w:val="00687921"/>
    <w:rsid w:val="00687F75"/>
    <w:rsid w:val="00690198"/>
    <w:rsid w:val="006901B5"/>
    <w:rsid w:val="0069020F"/>
    <w:rsid w:val="0069033C"/>
    <w:rsid w:val="00690426"/>
    <w:rsid w:val="006904BF"/>
    <w:rsid w:val="00690DA0"/>
    <w:rsid w:val="00690FEE"/>
    <w:rsid w:val="00691529"/>
    <w:rsid w:val="0069154C"/>
    <w:rsid w:val="006916AE"/>
    <w:rsid w:val="0069184A"/>
    <w:rsid w:val="006918C6"/>
    <w:rsid w:val="00691C5D"/>
    <w:rsid w:val="006924EF"/>
    <w:rsid w:val="006927F1"/>
    <w:rsid w:val="00692925"/>
    <w:rsid w:val="00692AEE"/>
    <w:rsid w:val="0069316E"/>
    <w:rsid w:val="0069381D"/>
    <w:rsid w:val="00693A8F"/>
    <w:rsid w:val="00693F9D"/>
    <w:rsid w:val="00694218"/>
    <w:rsid w:val="00694551"/>
    <w:rsid w:val="006945D1"/>
    <w:rsid w:val="00694A36"/>
    <w:rsid w:val="00694CD4"/>
    <w:rsid w:val="00694CFA"/>
    <w:rsid w:val="00695E40"/>
    <w:rsid w:val="006961B8"/>
    <w:rsid w:val="00696382"/>
    <w:rsid w:val="00696775"/>
    <w:rsid w:val="00696A46"/>
    <w:rsid w:val="00696A58"/>
    <w:rsid w:val="00696BB4"/>
    <w:rsid w:val="00696CCF"/>
    <w:rsid w:val="00696D26"/>
    <w:rsid w:val="00696DBA"/>
    <w:rsid w:val="00696FE6"/>
    <w:rsid w:val="006971AB"/>
    <w:rsid w:val="006972C3"/>
    <w:rsid w:val="00697670"/>
    <w:rsid w:val="006976D2"/>
    <w:rsid w:val="006976F9"/>
    <w:rsid w:val="0069799B"/>
    <w:rsid w:val="006979A3"/>
    <w:rsid w:val="006A011E"/>
    <w:rsid w:val="006A04C8"/>
    <w:rsid w:val="006A06B0"/>
    <w:rsid w:val="006A0B47"/>
    <w:rsid w:val="006A142D"/>
    <w:rsid w:val="006A16C5"/>
    <w:rsid w:val="006A1867"/>
    <w:rsid w:val="006A243E"/>
    <w:rsid w:val="006A2535"/>
    <w:rsid w:val="006A28F8"/>
    <w:rsid w:val="006A307C"/>
    <w:rsid w:val="006A31D1"/>
    <w:rsid w:val="006A3201"/>
    <w:rsid w:val="006A39B7"/>
    <w:rsid w:val="006A3C19"/>
    <w:rsid w:val="006A3C50"/>
    <w:rsid w:val="006A3E9E"/>
    <w:rsid w:val="006A41D4"/>
    <w:rsid w:val="006A42D2"/>
    <w:rsid w:val="006A43F5"/>
    <w:rsid w:val="006A4757"/>
    <w:rsid w:val="006A4784"/>
    <w:rsid w:val="006A581E"/>
    <w:rsid w:val="006A5B01"/>
    <w:rsid w:val="006A5B6D"/>
    <w:rsid w:val="006A5F4E"/>
    <w:rsid w:val="006A6255"/>
    <w:rsid w:val="006A63CC"/>
    <w:rsid w:val="006A69B2"/>
    <w:rsid w:val="006A6AEB"/>
    <w:rsid w:val="006A75C2"/>
    <w:rsid w:val="006A7F7B"/>
    <w:rsid w:val="006A7F7F"/>
    <w:rsid w:val="006B0072"/>
    <w:rsid w:val="006B017F"/>
    <w:rsid w:val="006B094F"/>
    <w:rsid w:val="006B0D0C"/>
    <w:rsid w:val="006B0EF8"/>
    <w:rsid w:val="006B1060"/>
    <w:rsid w:val="006B1235"/>
    <w:rsid w:val="006B13FB"/>
    <w:rsid w:val="006B1A08"/>
    <w:rsid w:val="006B1D0C"/>
    <w:rsid w:val="006B1D93"/>
    <w:rsid w:val="006B221F"/>
    <w:rsid w:val="006B228D"/>
    <w:rsid w:val="006B23E4"/>
    <w:rsid w:val="006B264D"/>
    <w:rsid w:val="006B284F"/>
    <w:rsid w:val="006B28B4"/>
    <w:rsid w:val="006B2993"/>
    <w:rsid w:val="006B2B96"/>
    <w:rsid w:val="006B2C3B"/>
    <w:rsid w:val="006B32E3"/>
    <w:rsid w:val="006B3547"/>
    <w:rsid w:val="006B4072"/>
    <w:rsid w:val="006B46AE"/>
    <w:rsid w:val="006B46F5"/>
    <w:rsid w:val="006B4E61"/>
    <w:rsid w:val="006B4E87"/>
    <w:rsid w:val="006B5172"/>
    <w:rsid w:val="006B5373"/>
    <w:rsid w:val="006B57AD"/>
    <w:rsid w:val="006B5CFC"/>
    <w:rsid w:val="006B5F0B"/>
    <w:rsid w:val="006B6202"/>
    <w:rsid w:val="006B621B"/>
    <w:rsid w:val="006B645A"/>
    <w:rsid w:val="006B669B"/>
    <w:rsid w:val="006B6704"/>
    <w:rsid w:val="006B68A0"/>
    <w:rsid w:val="006B699D"/>
    <w:rsid w:val="006B6BDB"/>
    <w:rsid w:val="006B6D76"/>
    <w:rsid w:val="006B6EFC"/>
    <w:rsid w:val="006B7076"/>
    <w:rsid w:val="006B7409"/>
    <w:rsid w:val="006B7551"/>
    <w:rsid w:val="006B7664"/>
    <w:rsid w:val="006B78A1"/>
    <w:rsid w:val="006B7BB4"/>
    <w:rsid w:val="006B7BB5"/>
    <w:rsid w:val="006B7C3F"/>
    <w:rsid w:val="006C0232"/>
    <w:rsid w:val="006C026F"/>
    <w:rsid w:val="006C0500"/>
    <w:rsid w:val="006C06F6"/>
    <w:rsid w:val="006C080D"/>
    <w:rsid w:val="006C0D33"/>
    <w:rsid w:val="006C0DBC"/>
    <w:rsid w:val="006C0F61"/>
    <w:rsid w:val="006C1065"/>
    <w:rsid w:val="006C1461"/>
    <w:rsid w:val="006C1787"/>
    <w:rsid w:val="006C19DE"/>
    <w:rsid w:val="006C1BF1"/>
    <w:rsid w:val="006C1C08"/>
    <w:rsid w:val="006C2066"/>
    <w:rsid w:val="006C2530"/>
    <w:rsid w:val="006C2B82"/>
    <w:rsid w:val="006C2BAB"/>
    <w:rsid w:val="006C2CB3"/>
    <w:rsid w:val="006C31BC"/>
    <w:rsid w:val="006C37CA"/>
    <w:rsid w:val="006C3BD7"/>
    <w:rsid w:val="006C3CDA"/>
    <w:rsid w:val="006C3CED"/>
    <w:rsid w:val="006C3E9E"/>
    <w:rsid w:val="006C3ED0"/>
    <w:rsid w:val="006C4B9A"/>
    <w:rsid w:val="006C5142"/>
    <w:rsid w:val="006C51E7"/>
    <w:rsid w:val="006C52BE"/>
    <w:rsid w:val="006C54B1"/>
    <w:rsid w:val="006C5582"/>
    <w:rsid w:val="006C5753"/>
    <w:rsid w:val="006C5B8E"/>
    <w:rsid w:val="006C5B96"/>
    <w:rsid w:val="006C61CE"/>
    <w:rsid w:val="006C67E7"/>
    <w:rsid w:val="006C6C79"/>
    <w:rsid w:val="006C6F00"/>
    <w:rsid w:val="006C70D9"/>
    <w:rsid w:val="006C7AFD"/>
    <w:rsid w:val="006C7B64"/>
    <w:rsid w:val="006C7B90"/>
    <w:rsid w:val="006D0006"/>
    <w:rsid w:val="006D00A1"/>
    <w:rsid w:val="006D0164"/>
    <w:rsid w:val="006D068A"/>
    <w:rsid w:val="006D0A96"/>
    <w:rsid w:val="006D0A9D"/>
    <w:rsid w:val="006D0B79"/>
    <w:rsid w:val="006D101A"/>
    <w:rsid w:val="006D1303"/>
    <w:rsid w:val="006D1371"/>
    <w:rsid w:val="006D1571"/>
    <w:rsid w:val="006D1718"/>
    <w:rsid w:val="006D1B84"/>
    <w:rsid w:val="006D1FCC"/>
    <w:rsid w:val="006D2187"/>
    <w:rsid w:val="006D23DF"/>
    <w:rsid w:val="006D290B"/>
    <w:rsid w:val="006D2ABA"/>
    <w:rsid w:val="006D2F1A"/>
    <w:rsid w:val="006D2F2F"/>
    <w:rsid w:val="006D2FCA"/>
    <w:rsid w:val="006D30C1"/>
    <w:rsid w:val="006D382C"/>
    <w:rsid w:val="006D3A5D"/>
    <w:rsid w:val="006D3B8F"/>
    <w:rsid w:val="006D3F61"/>
    <w:rsid w:val="006D3F7D"/>
    <w:rsid w:val="006D3FED"/>
    <w:rsid w:val="006D41DD"/>
    <w:rsid w:val="006D4536"/>
    <w:rsid w:val="006D46C4"/>
    <w:rsid w:val="006D4908"/>
    <w:rsid w:val="006D4916"/>
    <w:rsid w:val="006D4D88"/>
    <w:rsid w:val="006D5188"/>
    <w:rsid w:val="006D5591"/>
    <w:rsid w:val="006D57CE"/>
    <w:rsid w:val="006D57F3"/>
    <w:rsid w:val="006D5CBC"/>
    <w:rsid w:val="006D5F68"/>
    <w:rsid w:val="006D6276"/>
    <w:rsid w:val="006D6599"/>
    <w:rsid w:val="006D66BF"/>
    <w:rsid w:val="006D6891"/>
    <w:rsid w:val="006D7299"/>
    <w:rsid w:val="006D73DA"/>
    <w:rsid w:val="006D73DC"/>
    <w:rsid w:val="006D74D0"/>
    <w:rsid w:val="006D75D2"/>
    <w:rsid w:val="006D7945"/>
    <w:rsid w:val="006E028C"/>
    <w:rsid w:val="006E04BC"/>
    <w:rsid w:val="006E0AA6"/>
    <w:rsid w:val="006E0C96"/>
    <w:rsid w:val="006E0E94"/>
    <w:rsid w:val="006E1878"/>
    <w:rsid w:val="006E1C7F"/>
    <w:rsid w:val="006E1E58"/>
    <w:rsid w:val="006E201B"/>
    <w:rsid w:val="006E22B0"/>
    <w:rsid w:val="006E23E8"/>
    <w:rsid w:val="006E24F4"/>
    <w:rsid w:val="006E2559"/>
    <w:rsid w:val="006E2922"/>
    <w:rsid w:val="006E2DCE"/>
    <w:rsid w:val="006E2EC2"/>
    <w:rsid w:val="006E3141"/>
    <w:rsid w:val="006E31BC"/>
    <w:rsid w:val="006E32E7"/>
    <w:rsid w:val="006E3BF5"/>
    <w:rsid w:val="006E3EAB"/>
    <w:rsid w:val="006E4045"/>
    <w:rsid w:val="006E4479"/>
    <w:rsid w:val="006E464E"/>
    <w:rsid w:val="006E48D5"/>
    <w:rsid w:val="006E495D"/>
    <w:rsid w:val="006E4C56"/>
    <w:rsid w:val="006E4C81"/>
    <w:rsid w:val="006E4D05"/>
    <w:rsid w:val="006E4D28"/>
    <w:rsid w:val="006E4E11"/>
    <w:rsid w:val="006E4E75"/>
    <w:rsid w:val="006E4EA6"/>
    <w:rsid w:val="006E4F56"/>
    <w:rsid w:val="006E4F85"/>
    <w:rsid w:val="006E537C"/>
    <w:rsid w:val="006E5A0B"/>
    <w:rsid w:val="006E5CD2"/>
    <w:rsid w:val="006E5F14"/>
    <w:rsid w:val="006E5FA4"/>
    <w:rsid w:val="006E6060"/>
    <w:rsid w:val="006E618A"/>
    <w:rsid w:val="006E6904"/>
    <w:rsid w:val="006E6A64"/>
    <w:rsid w:val="006E6A6A"/>
    <w:rsid w:val="006E70E3"/>
    <w:rsid w:val="006E732F"/>
    <w:rsid w:val="006E7418"/>
    <w:rsid w:val="006E744A"/>
    <w:rsid w:val="006E7875"/>
    <w:rsid w:val="006E7950"/>
    <w:rsid w:val="006E7A11"/>
    <w:rsid w:val="006E7EDB"/>
    <w:rsid w:val="006F00F7"/>
    <w:rsid w:val="006F01A3"/>
    <w:rsid w:val="006F080C"/>
    <w:rsid w:val="006F0B61"/>
    <w:rsid w:val="006F0CC9"/>
    <w:rsid w:val="006F0E6D"/>
    <w:rsid w:val="006F1559"/>
    <w:rsid w:val="006F166C"/>
    <w:rsid w:val="006F1BE3"/>
    <w:rsid w:val="006F1DCA"/>
    <w:rsid w:val="006F20D0"/>
    <w:rsid w:val="006F2149"/>
    <w:rsid w:val="006F23DB"/>
    <w:rsid w:val="006F247F"/>
    <w:rsid w:val="006F26B9"/>
    <w:rsid w:val="006F295A"/>
    <w:rsid w:val="006F2B54"/>
    <w:rsid w:val="006F2B84"/>
    <w:rsid w:val="006F3252"/>
    <w:rsid w:val="006F3308"/>
    <w:rsid w:val="006F380D"/>
    <w:rsid w:val="006F38B3"/>
    <w:rsid w:val="006F3B06"/>
    <w:rsid w:val="006F3EC5"/>
    <w:rsid w:val="006F3EFF"/>
    <w:rsid w:val="006F48AD"/>
    <w:rsid w:val="006F49D0"/>
    <w:rsid w:val="006F4B5D"/>
    <w:rsid w:val="006F4DFF"/>
    <w:rsid w:val="006F50FB"/>
    <w:rsid w:val="006F5119"/>
    <w:rsid w:val="006F531F"/>
    <w:rsid w:val="006F53C1"/>
    <w:rsid w:val="006F5434"/>
    <w:rsid w:val="006F6225"/>
    <w:rsid w:val="006F630B"/>
    <w:rsid w:val="006F63C4"/>
    <w:rsid w:val="006F63E2"/>
    <w:rsid w:val="006F65A0"/>
    <w:rsid w:val="006F65F1"/>
    <w:rsid w:val="006F6615"/>
    <w:rsid w:val="006F6AD0"/>
    <w:rsid w:val="006F77F4"/>
    <w:rsid w:val="006F7B59"/>
    <w:rsid w:val="006F7B7E"/>
    <w:rsid w:val="00700045"/>
    <w:rsid w:val="00700274"/>
    <w:rsid w:val="00700449"/>
    <w:rsid w:val="0070071C"/>
    <w:rsid w:val="00700F9E"/>
    <w:rsid w:val="00700FD1"/>
    <w:rsid w:val="0070133C"/>
    <w:rsid w:val="00701705"/>
    <w:rsid w:val="00701D85"/>
    <w:rsid w:val="00701E48"/>
    <w:rsid w:val="00701FD4"/>
    <w:rsid w:val="00702047"/>
    <w:rsid w:val="007021F4"/>
    <w:rsid w:val="00702248"/>
    <w:rsid w:val="00702872"/>
    <w:rsid w:val="007028A5"/>
    <w:rsid w:val="00702C48"/>
    <w:rsid w:val="00702C49"/>
    <w:rsid w:val="00702EBC"/>
    <w:rsid w:val="00702FA5"/>
    <w:rsid w:val="0070317D"/>
    <w:rsid w:val="007032C0"/>
    <w:rsid w:val="007034C9"/>
    <w:rsid w:val="007036F9"/>
    <w:rsid w:val="00703891"/>
    <w:rsid w:val="007039B1"/>
    <w:rsid w:val="007042BD"/>
    <w:rsid w:val="0070443F"/>
    <w:rsid w:val="007045CD"/>
    <w:rsid w:val="00704938"/>
    <w:rsid w:val="00704A3D"/>
    <w:rsid w:val="00704AD6"/>
    <w:rsid w:val="007054B1"/>
    <w:rsid w:val="00705576"/>
    <w:rsid w:val="00705676"/>
    <w:rsid w:val="007058B7"/>
    <w:rsid w:val="00705AF8"/>
    <w:rsid w:val="00705ED7"/>
    <w:rsid w:val="007060E4"/>
    <w:rsid w:val="00706159"/>
    <w:rsid w:val="00706977"/>
    <w:rsid w:val="00706984"/>
    <w:rsid w:val="00706B9F"/>
    <w:rsid w:val="00706BA4"/>
    <w:rsid w:val="00706DC6"/>
    <w:rsid w:val="00707171"/>
    <w:rsid w:val="0070733C"/>
    <w:rsid w:val="007073FC"/>
    <w:rsid w:val="007076E9"/>
    <w:rsid w:val="0070779B"/>
    <w:rsid w:val="00707826"/>
    <w:rsid w:val="007079F4"/>
    <w:rsid w:val="0071001A"/>
    <w:rsid w:val="0071026F"/>
    <w:rsid w:val="007102F9"/>
    <w:rsid w:val="0071031C"/>
    <w:rsid w:val="007106E3"/>
    <w:rsid w:val="00710B37"/>
    <w:rsid w:val="00710BBE"/>
    <w:rsid w:val="00710E7F"/>
    <w:rsid w:val="007113D2"/>
    <w:rsid w:val="007114E5"/>
    <w:rsid w:val="00711873"/>
    <w:rsid w:val="00711C3A"/>
    <w:rsid w:val="00711DBE"/>
    <w:rsid w:val="007120E0"/>
    <w:rsid w:val="00712477"/>
    <w:rsid w:val="007129BF"/>
    <w:rsid w:val="00712C17"/>
    <w:rsid w:val="0071304C"/>
    <w:rsid w:val="007132AA"/>
    <w:rsid w:val="007135DF"/>
    <w:rsid w:val="007138FB"/>
    <w:rsid w:val="00713E02"/>
    <w:rsid w:val="007141D1"/>
    <w:rsid w:val="00714406"/>
    <w:rsid w:val="0071505E"/>
    <w:rsid w:val="00715363"/>
    <w:rsid w:val="007153AC"/>
    <w:rsid w:val="00715507"/>
    <w:rsid w:val="007159BC"/>
    <w:rsid w:val="00715A0F"/>
    <w:rsid w:val="00715B02"/>
    <w:rsid w:val="00715C89"/>
    <w:rsid w:val="00717406"/>
    <w:rsid w:val="0071764A"/>
    <w:rsid w:val="00717660"/>
    <w:rsid w:val="007176C8"/>
    <w:rsid w:val="00717B48"/>
    <w:rsid w:val="00717ECA"/>
    <w:rsid w:val="00717F19"/>
    <w:rsid w:val="00720D0C"/>
    <w:rsid w:val="00720D3A"/>
    <w:rsid w:val="00721188"/>
    <w:rsid w:val="0072147F"/>
    <w:rsid w:val="00721502"/>
    <w:rsid w:val="00721852"/>
    <w:rsid w:val="00721907"/>
    <w:rsid w:val="007221E3"/>
    <w:rsid w:val="00722280"/>
    <w:rsid w:val="007223A2"/>
    <w:rsid w:val="0072250E"/>
    <w:rsid w:val="007225B3"/>
    <w:rsid w:val="007228EB"/>
    <w:rsid w:val="00722A71"/>
    <w:rsid w:val="007231E2"/>
    <w:rsid w:val="00723495"/>
    <w:rsid w:val="007237C4"/>
    <w:rsid w:val="007238EE"/>
    <w:rsid w:val="00723D24"/>
    <w:rsid w:val="00723EB0"/>
    <w:rsid w:val="007258EC"/>
    <w:rsid w:val="007259FF"/>
    <w:rsid w:val="00725AC8"/>
    <w:rsid w:val="00726172"/>
    <w:rsid w:val="007263AC"/>
    <w:rsid w:val="00726457"/>
    <w:rsid w:val="0072660A"/>
    <w:rsid w:val="0072669E"/>
    <w:rsid w:val="007266EA"/>
    <w:rsid w:val="00726CED"/>
    <w:rsid w:val="007271BE"/>
    <w:rsid w:val="00727294"/>
    <w:rsid w:val="00727313"/>
    <w:rsid w:val="007273B6"/>
    <w:rsid w:val="00727466"/>
    <w:rsid w:val="007275CD"/>
    <w:rsid w:val="00727664"/>
    <w:rsid w:val="00727A6E"/>
    <w:rsid w:val="00727A80"/>
    <w:rsid w:val="00730182"/>
    <w:rsid w:val="007301A8"/>
    <w:rsid w:val="007303E5"/>
    <w:rsid w:val="0073053C"/>
    <w:rsid w:val="00730878"/>
    <w:rsid w:val="00730977"/>
    <w:rsid w:val="00730C5C"/>
    <w:rsid w:val="00731F7B"/>
    <w:rsid w:val="0073255D"/>
    <w:rsid w:val="007329E8"/>
    <w:rsid w:val="00732E94"/>
    <w:rsid w:val="00733668"/>
    <w:rsid w:val="00733F1C"/>
    <w:rsid w:val="00734380"/>
    <w:rsid w:val="00734635"/>
    <w:rsid w:val="00734872"/>
    <w:rsid w:val="0073493D"/>
    <w:rsid w:val="00734AFF"/>
    <w:rsid w:val="00734D5F"/>
    <w:rsid w:val="00734DEE"/>
    <w:rsid w:val="00734E57"/>
    <w:rsid w:val="0073547E"/>
    <w:rsid w:val="007357D7"/>
    <w:rsid w:val="00736135"/>
    <w:rsid w:val="00736694"/>
    <w:rsid w:val="00736758"/>
    <w:rsid w:val="0073679A"/>
    <w:rsid w:val="00736D90"/>
    <w:rsid w:val="00737020"/>
    <w:rsid w:val="007375AF"/>
    <w:rsid w:val="0073774D"/>
    <w:rsid w:val="0073779A"/>
    <w:rsid w:val="007378C7"/>
    <w:rsid w:val="00737A62"/>
    <w:rsid w:val="00740461"/>
    <w:rsid w:val="00740B03"/>
    <w:rsid w:val="00740C77"/>
    <w:rsid w:val="00740FA4"/>
    <w:rsid w:val="0074130F"/>
    <w:rsid w:val="0074145B"/>
    <w:rsid w:val="007417C7"/>
    <w:rsid w:val="00741960"/>
    <w:rsid w:val="00741CBD"/>
    <w:rsid w:val="00741F9A"/>
    <w:rsid w:val="00742555"/>
    <w:rsid w:val="00742558"/>
    <w:rsid w:val="00742BDB"/>
    <w:rsid w:val="00742BE1"/>
    <w:rsid w:val="00742F08"/>
    <w:rsid w:val="00742F32"/>
    <w:rsid w:val="00743473"/>
    <w:rsid w:val="007435CB"/>
    <w:rsid w:val="007437BC"/>
    <w:rsid w:val="007438FC"/>
    <w:rsid w:val="00743C2E"/>
    <w:rsid w:val="00743F4E"/>
    <w:rsid w:val="007441B6"/>
    <w:rsid w:val="007445E8"/>
    <w:rsid w:val="00744C0F"/>
    <w:rsid w:val="00744CEE"/>
    <w:rsid w:val="00744EAF"/>
    <w:rsid w:val="00744FD3"/>
    <w:rsid w:val="0074500A"/>
    <w:rsid w:val="007451E4"/>
    <w:rsid w:val="00745279"/>
    <w:rsid w:val="0074534C"/>
    <w:rsid w:val="00745475"/>
    <w:rsid w:val="0074573B"/>
    <w:rsid w:val="007457ED"/>
    <w:rsid w:val="00745BD5"/>
    <w:rsid w:val="00746331"/>
    <w:rsid w:val="007463DB"/>
    <w:rsid w:val="007468BD"/>
    <w:rsid w:val="0074708F"/>
    <w:rsid w:val="00747298"/>
    <w:rsid w:val="007475A4"/>
    <w:rsid w:val="007476B3"/>
    <w:rsid w:val="00747B11"/>
    <w:rsid w:val="00747F2E"/>
    <w:rsid w:val="007507A8"/>
    <w:rsid w:val="00750C40"/>
    <w:rsid w:val="0075113B"/>
    <w:rsid w:val="00751792"/>
    <w:rsid w:val="007519A8"/>
    <w:rsid w:val="00751B4D"/>
    <w:rsid w:val="00751FD7"/>
    <w:rsid w:val="00752335"/>
    <w:rsid w:val="0075254B"/>
    <w:rsid w:val="00752844"/>
    <w:rsid w:val="00752AF3"/>
    <w:rsid w:val="00752BC5"/>
    <w:rsid w:val="00752F9E"/>
    <w:rsid w:val="00752FA6"/>
    <w:rsid w:val="00753060"/>
    <w:rsid w:val="00753242"/>
    <w:rsid w:val="00753720"/>
    <w:rsid w:val="00753747"/>
    <w:rsid w:val="007538FE"/>
    <w:rsid w:val="00753BA0"/>
    <w:rsid w:val="00753EBA"/>
    <w:rsid w:val="00754221"/>
    <w:rsid w:val="00754892"/>
    <w:rsid w:val="00754AAB"/>
    <w:rsid w:val="00754D2C"/>
    <w:rsid w:val="00754F0F"/>
    <w:rsid w:val="00755609"/>
    <w:rsid w:val="00755898"/>
    <w:rsid w:val="00755D77"/>
    <w:rsid w:val="0075622C"/>
    <w:rsid w:val="00756622"/>
    <w:rsid w:val="007578FA"/>
    <w:rsid w:val="00757A0E"/>
    <w:rsid w:val="00757B5A"/>
    <w:rsid w:val="00757DC8"/>
    <w:rsid w:val="00757E07"/>
    <w:rsid w:val="0076022D"/>
    <w:rsid w:val="0076028F"/>
    <w:rsid w:val="00760C05"/>
    <w:rsid w:val="00760E58"/>
    <w:rsid w:val="00760ED2"/>
    <w:rsid w:val="007613A3"/>
    <w:rsid w:val="007618A4"/>
    <w:rsid w:val="00761A37"/>
    <w:rsid w:val="00761B6A"/>
    <w:rsid w:val="00761CFB"/>
    <w:rsid w:val="00761F68"/>
    <w:rsid w:val="0076207A"/>
    <w:rsid w:val="00762236"/>
    <w:rsid w:val="00762541"/>
    <w:rsid w:val="007626A6"/>
    <w:rsid w:val="00762755"/>
    <w:rsid w:val="00762821"/>
    <w:rsid w:val="00764013"/>
    <w:rsid w:val="00764684"/>
    <w:rsid w:val="007646FA"/>
    <w:rsid w:val="00764911"/>
    <w:rsid w:val="00764BAB"/>
    <w:rsid w:val="00764C40"/>
    <w:rsid w:val="00764CE0"/>
    <w:rsid w:val="0076527E"/>
    <w:rsid w:val="007652C7"/>
    <w:rsid w:val="00765FF8"/>
    <w:rsid w:val="00766040"/>
    <w:rsid w:val="00766414"/>
    <w:rsid w:val="00766DAC"/>
    <w:rsid w:val="00766FE6"/>
    <w:rsid w:val="00767282"/>
    <w:rsid w:val="007674AE"/>
    <w:rsid w:val="00767A2A"/>
    <w:rsid w:val="00767DDB"/>
    <w:rsid w:val="00770106"/>
    <w:rsid w:val="00770178"/>
    <w:rsid w:val="0077045B"/>
    <w:rsid w:val="00770669"/>
    <w:rsid w:val="00770AAC"/>
    <w:rsid w:val="00770CE1"/>
    <w:rsid w:val="00770DA8"/>
    <w:rsid w:val="00770EB0"/>
    <w:rsid w:val="00771455"/>
    <w:rsid w:val="00771792"/>
    <w:rsid w:val="00772070"/>
    <w:rsid w:val="0077289D"/>
    <w:rsid w:val="00772A80"/>
    <w:rsid w:val="00772C33"/>
    <w:rsid w:val="00772E28"/>
    <w:rsid w:val="00773122"/>
    <w:rsid w:val="007732F2"/>
    <w:rsid w:val="007733C7"/>
    <w:rsid w:val="0077347B"/>
    <w:rsid w:val="00773769"/>
    <w:rsid w:val="00773794"/>
    <w:rsid w:val="007737DA"/>
    <w:rsid w:val="0077399E"/>
    <w:rsid w:val="00773CD0"/>
    <w:rsid w:val="00774033"/>
    <w:rsid w:val="007740BE"/>
    <w:rsid w:val="007741B7"/>
    <w:rsid w:val="00774427"/>
    <w:rsid w:val="0077442A"/>
    <w:rsid w:val="0077449D"/>
    <w:rsid w:val="00774688"/>
    <w:rsid w:val="00774A00"/>
    <w:rsid w:val="007755B1"/>
    <w:rsid w:val="0077591C"/>
    <w:rsid w:val="00775B36"/>
    <w:rsid w:val="00775CC6"/>
    <w:rsid w:val="00775E3A"/>
    <w:rsid w:val="00775F10"/>
    <w:rsid w:val="00775F7F"/>
    <w:rsid w:val="00775FE2"/>
    <w:rsid w:val="007765E0"/>
    <w:rsid w:val="00776678"/>
    <w:rsid w:val="00776BC3"/>
    <w:rsid w:val="00776BF4"/>
    <w:rsid w:val="00776EA5"/>
    <w:rsid w:val="00777019"/>
    <w:rsid w:val="00777078"/>
    <w:rsid w:val="007774D1"/>
    <w:rsid w:val="007777C8"/>
    <w:rsid w:val="00777A7D"/>
    <w:rsid w:val="00777D19"/>
    <w:rsid w:val="00777D65"/>
    <w:rsid w:val="00777EF5"/>
    <w:rsid w:val="0078000D"/>
    <w:rsid w:val="0078005C"/>
    <w:rsid w:val="007801B2"/>
    <w:rsid w:val="0078048B"/>
    <w:rsid w:val="007805AE"/>
    <w:rsid w:val="00780DDB"/>
    <w:rsid w:val="00780EE0"/>
    <w:rsid w:val="00780F67"/>
    <w:rsid w:val="00781788"/>
    <w:rsid w:val="00781801"/>
    <w:rsid w:val="00781A00"/>
    <w:rsid w:val="00781D79"/>
    <w:rsid w:val="00782111"/>
    <w:rsid w:val="00782429"/>
    <w:rsid w:val="007829E9"/>
    <w:rsid w:val="00782BB3"/>
    <w:rsid w:val="00783195"/>
    <w:rsid w:val="0078350B"/>
    <w:rsid w:val="007835F9"/>
    <w:rsid w:val="007836D9"/>
    <w:rsid w:val="00783769"/>
    <w:rsid w:val="00783FAE"/>
    <w:rsid w:val="007840B5"/>
    <w:rsid w:val="007847EE"/>
    <w:rsid w:val="00784868"/>
    <w:rsid w:val="00784944"/>
    <w:rsid w:val="00784B4D"/>
    <w:rsid w:val="00784C96"/>
    <w:rsid w:val="00785147"/>
    <w:rsid w:val="007851FB"/>
    <w:rsid w:val="007852D2"/>
    <w:rsid w:val="007855C8"/>
    <w:rsid w:val="00785C74"/>
    <w:rsid w:val="00785E5C"/>
    <w:rsid w:val="00786526"/>
    <w:rsid w:val="00786E54"/>
    <w:rsid w:val="00786EA4"/>
    <w:rsid w:val="00786EEA"/>
    <w:rsid w:val="00787295"/>
    <w:rsid w:val="007877C8"/>
    <w:rsid w:val="0078788D"/>
    <w:rsid w:val="00787AB3"/>
    <w:rsid w:val="00787EC1"/>
    <w:rsid w:val="007900FF"/>
    <w:rsid w:val="007907AC"/>
    <w:rsid w:val="00790C97"/>
    <w:rsid w:val="00790F91"/>
    <w:rsid w:val="00791417"/>
    <w:rsid w:val="00791B6E"/>
    <w:rsid w:val="0079268D"/>
    <w:rsid w:val="0079279E"/>
    <w:rsid w:val="007927BE"/>
    <w:rsid w:val="0079293D"/>
    <w:rsid w:val="00792A8D"/>
    <w:rsid w:val="00792B9B"/>
    <w:rsid w:val="00792EA4"/>
    <w:rsid w:val="00793341"/>
    <w:rsid w:val="00793A05"/>
    <w:rsid w:val="00793A98"/>
    <w:rsid w:val="0079404D"/>
    <w:rsid w:val="00794084"/>
    <w:rsid w:val="007940DE"/>
    <w:rsid w:val="007946A5"/>
    <w:rsid w:val="00794E2C"/>
    <w:rsid w:val="007957EC"/>
    <w:rsid w:val="007958ED"/>
    <w:rsid w:val="00795925"/>
    <w:rsid w:val="00795DDF"/>
    <w:rsid w:val="00795E32"/>
    <w:rsid w:val="00795F02"/>
    <w:rsid w:val="00795F3D"/>
    <w:rsid w:val="0079693D"/>
    <w:rsid w:val="00797354"/>
    <w:rsid w:val="00797728"/>
    <w:rsid w:val="007979BA"/>
    <w:rsid w:val="00797C0E"/>
    <w:rsid w:val="007A0192"/>
    <w:rsid w:val="007A0425"/>
    <w:rsid w:val="007A0A56"/>
    <w:rsid w:val="007A0A5D"/>
    <w:rsid w:val="007A0A81"/>
    <w:rsid w:val="007A0B21"/>
    <w:rsid w:val="007A0CBD"/>
    <w:rsid w:val="007A0FDA"/>
    <w:rsid w:val="007A11E7"/>
    <w:rsid w:val="007A16E7"/>
    <w:rsid w:val="007A185D"/>
    <w:rsid w:val="007A1B8E"/>
    <w:rsid w:val="007A1BBD"/>
    <w:rsid w:val="007A23C1"/>
    <w:rsid w:val="007A31E1"/>
    <w:rsid w:val="007A361E"/>
    <w:rsid w:val="007A3B40"/>
    <w:rsid w:val="007A3D64"/>
    <w:rsid w:val="007A3E54"/>
    <w:rsid w:val="007A3F8C"/>
    <w:rsid w:val="007A400B"/>
    <w:rsid w:val="007A4092"/>
    <w:rsid w:val="007A4A6A"/>
    <w:rsid w:val="007A4B55"/>
    <w:rsid w:val="007A4D4B"/>
    <w:rsid w:val="007A4D5F"/>
    <w:rsid w:val="007A5252"/>
    <w:rsid w:val="007A57C6"/>
    <w:rsid w:val="007A6439"/>
    <w:rsid w:val="007A649C"/>
    <w:rsid w:val="007A68A1"/>
    <w:rsid w:val="007A69D9"/>
    <w:rsid w:val="007A6B62"/>
    <w:rsid w:val="007A6DEB"/>
    <w:rsid w:val="007A70A9"/>
    <w:rsid w:val="007A71BB"/>
    <w:rsid w:val="007A751F"/>
    <w:rsid w:val="007A7885"/>
    <w:rsid w:val="007A7FCE"/>
    <w:rsid w:val="007B0225"/>
    <w:rsid w:val="007B039C"/>
    <w:rsid w:val="007B04E6"/>
    <w:rsid w:val="007B0AA9"/>
    <w:rsid w:val="007B0CA2"/>
    <w:rsid w:val="007B0E38"/>
    <w:rsid w:val="007B0E42"/>
    <w:rsid w:val="007B13EB"/>
    <w:rsid w:val="007B173A"/>
    <w:rsid w:val="007B1A15"/>
    <w:rsid w:val="007B20FA"/>
    <w:rsid w:val="007B21D7"/>
    <w:rsid w:val="007B23AB"/>
    <w:rsid w:val="007B23BF"/>
    <w:rsid w:val="007B2405"/>
    <w:rsid w:val="007B25F8"/>
    <w:rsid w:val="007B26C7"/>
    <w:rsid w:val="007B26EF"/>
    <w:rsid w:val="007B270E"/>
    <w:rsid w:val="007B272A"/>
    <w:rsid w:val="007B2A20"/>
    <w:rsid w:val="007B2C39"/>
    <w:rsid w:val="007B2F7E"/>
    <w:rsid w:val="007B30B3"/>
    <w:rsid w:val="007B3304"/>
    <w:rsid w:val="007B3A32"/>
    <w:rsid w:val="007B3CD9"/>
    <w:rsid w:val="007B424B"/>
    <w:rsid w:val="007B46B8"/>
    <w:rsid w:val="007B48B3"/>
    <w:rsid w:val="007B4F9A"/>
    <w:rsid w:val="007B5283"/>
    <w:rsid w:val="007B573B"/>
    <w:rsid w:val="007B5812"/>
    <w:rsid w:val="007B5F0F"/>
    <w:rsid w:val="007B5FCF"/>
    <w:rsid w:val="007B6173"/>
    <w:rsid w:val="007B6405"/>
    <w:rsid w:val="007B6409"/>
    <w:rsid w:val="007B6524"/>
    <w:rsid w:val="007B65DB"/>
    <w:rsid w:val="007B695D"/>
    <w:rsid w:val="007B6FAE"/>
    <w:rsid w:val="007B72D7"/>
    <w:rsid w:val="007B737E"/>
    <w:rsid w:val="007B78C7"/>
    <w:rsid w:val="007C00D2"/>
    <w:rsid w:val="007C0161"/>
    <w:rsid w:val="007C035D"/>
    <w:rsid w:val="007C05FD"/>
    <w:rsid w:val="007C06A4"/>
    <w:rsid w:val="007C09DF"/>
    <w:rsid w:val="007C0CBE"/>
    <w:rsid w:val="007C0F39"/>
    <w:rsid w:val="007C1A47"/>
    <w:rsid w:val="007C1B18"/>
    <w:rsid w:val="007C25F1"/>
    <w:rsid w:val="007C2639"/>
    <w:rsid w:val="007C2675"/>
    <w:rsid w:val="007C2A38"/>
    <w:rsid w:val="007C2D67"/>
    <w:rsid w:val="007C3198"/>
    <w:rsid w:val="007C3328"/>
    <w:rsid w:val="007C3377"/>
    <w:rsid w:val="007C3653"/>
    <w:rsid w:val="007C372B"/>
    <w:rsid w:val="007C3772"/>
    <w:rsid w:val="007C38FF"/>
    <w:rsid w:val="007C3C93"/>
    <w:rsid w:val="007C3E38"/>
    <w:rsid w:val="007C42CA"/>
    <w:rsid w:val="007C4774"/>
    <w:rsid w:val="007C49D9"/>
    <w:rsid w:val="007C51B2"/>
    <w:rsid w:val="007C54E3"/>
    <w:rsid w:val="007C577B"/>
    <w:rsid w:val="007C5A18"/>
    <w:rsid w:val="007C5A4C"/>
    <w:rsid w:val="007C6439"/>
    <w:rsid w:val="007C6DE6"/>
    <w:rsid w:val="007C6F03"/>
    <w:rsid w:val="007C74A7"/>
    <w:rsid w:val="007C7968"/>
    <w:rsid w:val="007C79CC"/>
    <w:rsid w:val="007C7CA4"/>
    <w:rsid w:val="007C7F43"/>
    <w:rsid w:val="007D069C"/>
    <w:rsid w:val="007D08E6"/>
    <w:rsid w:val="007D14CC"/>
    <w:rsid w:val="007D1522"/>
    <w:rsid w:val="007D1D81"/>
    <w:rsid w:val="007D1E4E"/>
    <w:rsid w:val="007D21CB"/>
    <w:rsid w:val="007D22B5"/>
    <w:rsid w:val="007D2344"/>
    <w:rsid w:val="007D2B41"/>
    <w:rsid w:val="007D2EE4"/>
    <w:rsid w:val="007D31CC"/>
    <w:rsid w:val="007D3584"/>
    <w:rsid w:val="007D3B88"/>
    <w:rsid w:val="007D3D56"/>
    <w:rsid w:val="007D3EB6"/>
    <w:rsid w:val="007D415F"/>
    <w:rsid w:val="007D49FF"/>
    <w:rsid w:val="007D4B41"/>
    <w:rsid w:val="007D4CE5"/>
    <w:rsid w:val="007D4FD6"/>
    <w:rsid w:val="007D634B"/>
    <w:rsid w:val="007D636D"/>
    <w:rsid w:val="007D660E"/>
    <w:rsid w:val="007D6AEE"/>
    <w:rsid w:val="007D6AF4"/>
    <w:rsid w:val="007D6CDB"/>
    <w:rsid w:val="007D71D0"/>
    <w:rsid w:val="007D739E"/>
    <w:rsid w:val="007D74B8"/>
    <w:rsid w:val="007D75AE"/>
    <w:rsid w:val="007E07A3"/>
    <w:rsid w:val="007E0B72"/>
    <w:rsid w:val="007E0B78"/>
    <w:rsid w:val="007E0CAA"/>
    <w:rsid w:val="007E1558"/>
    <w:rsid w:val="007E155D"/>
    <w:rsid w:val="007E1820"/>
    <w:rsid w:val="007E1850"/>
    <w:rsid w:val="007E186E"/>
    <w:rsid w:val="007E18D5"/>
    <w:rsid w:val="007E1DFA"/>
    <w:rsid w:val="007E201D"/>
    <w:rsid w:val="007E237A"/>
    <w:rsid w:val="007E25F5"/>
    <w:rsid w:val="007E2B18"/>
    <w:rsid w:val="007E2C48"/>
    <w:rsid w:val="007E315A"/>
    <w:rsid w:val="007E369A"/>
    <w:rsid w:val="007E36C3"/>
    <w:rsid w:val="007E37F7"/>
    <w:rsid w:val="007E39BF"/>
    <w:rsid w:val="007E3D29"/>
    <w:rsid w:val="007E3DC3"/>
    <w:rsid w:val="007E4053"/>
    <w:rsid w:val="007E46BC"/>
    <w:rsid w:val="007E4836"/>
    <w:rsid w:val="007E51CE"/>
    <w:rsid w:val="007E52BB"/>
    <w:rsid w:val="007E52BE"/>
    <w:rsid w:val="007E534F"/>
    <w:rsid w:val="007E5510"/>
    <w:rsid w:val="007E5844"/>
    <w:rsid w:val="007E5D22"/>
    <w:rsid w:val="007E5DC4"/>
    <w:rsid w:val="007E6078"/>
    <w:rsid w:val="007E6094"/>
    <w:rsid w:val="007E609D"/>
    <w:rsid w:val="007E64AA"/>
    <w:rsid w:val="007E66D5"/>
    <w:rsid w:val="007E67B3"/>
    <w:rsid w:val="007E67F9"/>
    <w:rsid w:val="007E68C7"/>
    <w:rsid w:val="007E6A66"/>
    <w:rsid w:val="007E6C0C"/>
    <w:rsid w:val="007E6D09"/>
    <w:rsid w:val="007E6F67"/>
    <w:rsid w:val="007E6FCF"/>
    <w:rsid w:val="007E6FDA"/>
    <w:rsid w:val="007E7105"/>
    <w:rsid w:val="007E7551"/>
    <w:rsid w:val="007E7786"/>
    <w:rsid w:val="007E78B3"/>
    <w:rsid w:val="007E7EEB"/>
    <w:rsid w:val="007F08FB"/>
    <w:rsid w:val="007F09AF"/>
    <w:rsid w:val="007F0E78"/>
    <w:rsid w:val="007F1301"/>
    <w:rsid w:val="007F140D"/>
    <w:rsid w:val="007F1587"/>
    <w:rsid w:val="007F1699"/>
    <w:rsid w:val="007F20B5"/>
    <w:rsid w:val="007F22ED"/>
    <w:rsid w:val="007F26AF"/>
    <w:rsid w:val="007F2C63"/>
    <w:rsid w:val="007F2C69"/>
    <w:rsid w:val="007F2CE1"/>
    <w:rsid w:val="007F3177"/>
    <w:rsid w:val="007F335C"/>
    <w:rsid w:val="007F3960"/>
    <w:rsid w:val="007F39FA"/>
    <w:rsid w:val="007F3B11"/>
    <w:rsid w:val="007F44DA"/>
    <w:rsid w:val="007F4C92"/>
    <w:rsid w:val="007F5001"/>
    <w:rsid w:val="007F5102"/>
    <w:rsid w:val="007F51D5"/>
    <w:rsid w:val="007F5825"/>
    <w:rsid w:val="007F5AD5"/>
    <w:rsid w:val="007F5F9B"/>
    <w:rsid w:val="007F6071"/>
    <w:rsid w:val="007F662D"/>
    <w:rsid w:val="007F72A3"/>
    <w:rsid w:val="007F74C7"/>
    <w:rsid w:val="007F7504"/>
    <w:rsid w:val="007F7760"/>
    <w:rsid w:val="007F787C"/>
    <w:rsid w:val="007F79EF"/>
    <w:rsid w:val="007F7E8B"/>
    <w:rsid w:val="00800079"/>
    <w:rsid w:val="00800759"/>
    <w:rsid w:val="008007DC"/>
    <w:rsid w:val="008009E5"/>
    <w:rsid w:val="00800A6E"/>
    <w:rsid w:val="00800BD6"/>
    <w:rsid w:val="00800C45"/>
    <w:rsid w:val="00800C70"/>
    <w:rsid w:val="00800E2A"/>
    <w:rsid w:val="00800FFC"/>
    <w:rsid w:val="00801129"/>
    <w:rsid w:val="0080122B"/>
    <w:rsid w:val="0080134B"/>
    <w:rsid w:val="0080142D"/>
    <w:rsid w:val="00801A93"/>
    <w:rsid w:val="00801E71"/>
    <w:rsid w:val="00802191"/>
    <w:rsid w:val="008024AE"/>
    <w:rsid w:val="008025CB"/>
    <w:rsid w:val="00802E8A"/>
    <w:rsid w:val="00803660"/>
    <w:rsid w:val="008037F0"/>
    <w:rsid w:val="00803AEA"/>
    <w:rsid w:val="00803B1A"/>
    <w:rsid w:val="00803B5B"/>
    <w:rsid w:val="00803FED"/>
    <w:rsid w:val="0080467C"/>
    <w:rsid w:val="008048D3"/>
    <w:rsid w:val="00804963"/>
    <w:rsid w:val="00804C9C"/>
    <w:rsid w:val="00804D36"/>
    <w:rsid w:val="008057B9"/>
    <w:rsid w:val="00805954"/>
    <w:rsid w:val="00805BF8"/>
    <w:rsid w:val="00805F1E"/>
    <w:rsid w:val="0080625A"/>
    <w:rsid w:val="0080646A"/>
    <w:rsid w:val="00806800"/>
    <w:rsid w:val="0080719D"/>
    <w:rsid w:val="00807434"/>
    <w:rsid w:val="00807960"/>
    <w:rsid w:val="00807A2A"/>
    <w:rsid w:val="00807D95"/>
    <w:rsid w:val="00807E35"/>
    <w:rsid w:val="0081021E"/>
    <w:rsid w:val="00810449"/>
    <w:rsid w:val="00810544"/>
    <w:rsid w:val="008112C4"/>
    <w:rsid w:val="00811596"/>
    <w:rsid w:val="00811873"/>
    <w:rsid w:val="00811922"/>
    <w:rsid w:val="00811D28"/>
    <w:rsid w:val="0081216A"/>
    <w:rsid w:val="008122CF"/>
    <w:rsid w:val="00812874"/>
    <w:rsid w:val="00812A39"/>
    <w:rsid w:val="00812F11"/>
    <w:rsid w:val="0081391B"/>
    <w:rsid w:val="00813DAC"/>
    <w:rsid w:val="00813E14"/>
    <w:rsid w:val="00814293"/>
    <w:rsid w:val="008148F5"/>
    <w:rsid w:val="00814E78"/>
    <w:rsid w:val="0081515E"/>
    <w:rsid w:val="0081536C"/>
    <w:rsid w:val="008158B1"/>
    <w:rsid w:val="00815B46"/>
    <w:rsid w:val="00815D2F"/>
    <w:rsid w:val="00815F2D"/>
    <w:rsid w:val="00816259"/>
    <w:rsid w:val="00816612"/>
    <w:rsid w:val="00816749"/>
    <w:rsid w:val="00816809"/>
    <w:rsid w:val="00816F76"/>
    <w:rsid w:val="008170C7"/>
    <w:rsid w:val="0081716D"/>
    <w:rsid w:val="00817D8A"/>
    <w:rsid w:val="008207E1"/>
    <w:rsid w:val="00820987"/>
    <w:rsid w:val="008211C2"/>
    <w:rsid w:val="0082130D"/>
    <w:rsid w:val="008214B5"/>
    <w:rsid w:val="00821591"/>
    <w:rsid w:val="008215E3"/>
    <w:rsid w:val="00821732"/>
    <w:rsid w:val="00821EFB"/>
    <w:rsid w:val="00822000"/>
    <w:rsid w:val="008221A0"/>
    <w:rsid w:val="008229DA"/>
    <w:rsid w:val="0082301B"/>
    <w:rsid w:val="008232AF"/>
    <w:rsid w:val="00823406"/>
    <w:rsid w:val="008238BB"/>
    <w:rsid w:val="00823BF2"/>
    <w:rsid w:val="00824E11"/>
    <w:rsid w:val="00824E3E"/>
    <w:rsid w:val="008254F6"/>
    <w:rsid w:val="008255E5"/>
    <w:rsid w:val="0082587A"/>
    <w:rsid w:val="008260B5"/>
    <w:rsid w:val="008266A4"/>
    <w:rsid w:val="00826D6B"/>
    <w:rsid w:val="008272A6"/>
    <w:rsid w:val="008272B8"/>
    <w:rsid w:val="008272CA"/>
    <w:rsid w:val="00827363"/>
    <w:rsid w:val="008300A1"/>
    <w:rsid w:val="0083010D"/>
    <w:rsid w:val="00830555"/>
    <w:rsid w:val="00830573"/>
    <w:rsid w:val="0083067D"/>
    <w:rsid w:val="00830AA1"/>
    <w:rsid w:val="00830F8A"/>
    <w:rsid w:val="00831163"/>
    <w:rsid w:val="008312CB"/>
    <w:rsid w:val="00831316"/>
    <w:rsid w:val="00831449"/>
    <w:rsid w:val="008315C3"/>
    <w:rsid w:val="00831E01"/>
    <w:rsid w:val="0083278E"/>
    <w:rsid w:val="008327CF"/>
    <w:rsid w:val="0083307F"/>
    <w:rsid w:val="008331BB"/>
    <w:rsid w:val="008331CD"/>
    <w:rsid w:val="00833467"/>
    <w:rsid w:val="00833C3B"/>
    <w:rsid w:val="0083405D"/>
    <w:rsid w:val="008343BF"/>
    <w:rsid w:val="00834438"/>
    <w:rsid w:val="00834693"/>
    <w:rsid w:val="008347EC"/>
    <w:rsid w:val="008348A2"/>
    <w:rsid w:val="00834F77"/>
    <w:rsid w:val="0083506C"/>
    <w:rsid w:val="008358D3"/>
    <w:rsid w:val="008359F0"/>
    <w:rsid w:val="00835B12"/>
    <w:rsid w:val="00836515"/>
    <w:rsid w:val="008401B0"/>
    <w:rsid w:val="00840601"/>
    <w:rsid w:val="00840972"/>
    <w:rsid w:val="00840B93"/>
    <w:rsid w:val="00840C40"/>
    <w:rsid w:val="00840C8D"/>
    <w:rsid w:val="00840F18"/>
    <w:rsid w:val="008414BD"/>
    <w:rsid w:val="00841735"/>
    <w:rsid w:val="008418FE"/>
    <w:rsid w:val="00841B89"/>
    <w:rsid w:val="00841C32"/>
    <w:rsid w:val="00842042"/>
    <w:rsid w:val="0084237E"/>
    <w:rsid w:val="00842A33"/>
    <w:rsid w:val="00842D8C"/>
    <w:rsid w:val="0084337E"/>
    <w:rsid w:val="0084366A"/>
    <w:rsid w:val="00843670"/>
    <w:rsid w:val="0084399B"/>
    <w:rsid w:val="00843AAF"/>
    <w:rsid w:val="00843C36"/>
    <w:rsid w:val="00843F02"/>
    <w:rsid w:val="00844498"/>
    <w:rsid w:val="0084466C"/>
    <w:rsid w:val="00844D42"/>
    <w:rsid w:val="00844DD8"/>
    <w:rsid w:val="0084541D"/>
    <w:rsid w:val="00845540"/>
    <w:rsid w:val="00845995"/>
    <w:rsid w:val="00845999"/>
    <w:rsid w:val="00846414"/>
    <w:rsid w:val="00846697"/>
    <w:rsid w:val="008467B2"/>
    <w:rsid w:val="0084689B"/>
    <w:rsid w:val="00846D80"/>
    <w:rsid w:val="00846E28"/>
    <w:rsid w:val="00846EBB"/>
    <w:rsid w:val="008472DB"/>
    <w:rsid w:val="008476A0"/>
    <w:rsid w:val="008476B3"/>
    <w:rsid w:val="00847B9A"/>
    <w:rsid w:val="00847C7E"/>
    <w:rsid w:val="008500A3"/>
    <w:rsid w:val="008501AC"/>
    <w:rsid w:val="008507C9"/>
    <w:rsid w:val="008518D8"/>
    <w:rsid w:val="0085190D"/>
    <w:rsid w:val="00851952"/>
    <w:rsid w:val="00852288"/>
    <w:rsid w:val="008523CC"/>
    <w:rsid w:val="0085291F"/>
    <w:rsid w:val="00852FF8"/>
    <w:rsid w:val="0085321E"/>
    <w:rsid w:val="008532E4"/>
    <w:rsid w:val="00853B52"/>
    <w:rsid w:val="00853CD3"/>
    <w:rsid w:val="00853D8D"/>
    <w:rsid w:val="00853DEA"/>
    <w:rsid w:val="00853E16"/>
    <w:rsid w:val="00854453"/>
    <w:rsid w:val="008544CC"/>
    <w:rsid w:val="008544CE"/>
    <w:rsid w:val="008546C3"/>
    <w:rsid w:val="00854E28"/>
    <w:rsid w:val="0085554F"/>
    <w:rsid w:val="00855571"/>
    <w:rsid w:val="00855611"/>
    <w:rsid w:val="00855632"/>
    <w:rsid w:val="008558E4"/>
    <w:rsid w:val="00855A02"/>
    <w:rsid w:val="00855C05"/>
    <w:rsid w:val="00855F5C"/>
    <w:rsid w:val="00855FF9"/>
    <w:rsid w:val="0085603D"/>
    <w:rsid w:val="0085634A"/>
    <w:rsid w:val="00856517"/>
    <w:rsid w:val="00856948"/>
    <w:rsid w:val="00856C52"/>
    <w:rsid w:val="008571D9"/>
    <w:rsid w:val="00857577"/>
    <w:rsid w:val="00857B3D"/>
    <w:rsid w:val="00857D97"/>
    <w:rsid w:val="00857DE8"/>
    <w:rsid w:val="00857E29"/>
    <w:rsid w:val="00860091"/>
    <w:rsid w:val="008600C0"/>
    <w:rsid w:val="00860274"/>
    <w:rsid w:val="00860370"/>
    <w:rsid w:val="008604AC"/>
    <w:rsid w:val="00860DB9"/>
    <w:rsid w:val="00860FED"/>
    <w:rsid w:val="008612E3"/>
    <w:rsid w:val="00861C6B"/>
    <w:rsid w:val="00861CA5"/>
    <w:rsid w:val="0086220F"/>
    <w:rsid w:val="008622C5"/>
    <w:rsid w:val="008626DF"/>
    <w:rsid w:val="00862F76"/>
    <w:rsid w:val="00863D54"/>
    <w:rsid w:val="00863F91"/>
    <w:rsid w:val="008647BA"/>
    <w:rsid w:val="008647FB"/>
    <w:rsid w:val="00865153"/>
    <w:rsid w:val="00865197"/>
    <w:rsid w:val="00865A11"/>
    <w:rsid w:val="00865A42"/>
    <w:rsid w:val="00865E95"/>
    <w:rsid w:val="008666A1"/>
    <w:rsid w:val="00866F3E"/>
    <w:rsid w:val="008671CB"/>
    <w:rsid w:val="00867262"/>
    <w:rsid w:val="0086739B"/>
    <w:rsid w:val="00867500"/>
    <w:rsid w:val="00867674"/>
    <w:rsid w:val="00867FAA"/>
    <w:rsid w:val="008702FF"/>
    <w:rsid w:val="008709A1"/>
    <w:rsid w:val="00870CEC"/>
    <w:rsid w:val="00870E5E"/>
    <w:rsid w:val="00870E6D"/>
    <w:rsid w:val="00870FB7"/>
    <w:rsid w:val="0087231D"/>
    <w:rsid w:val="008728BD"/>
    <w:rsid w:val="008729B9"/>
    <w:rsid w:val="008729F3"/>
    <w:rsid w:val="00872B2C"/>
    <w:rsid w:val="00872B32"/>
    <w:rsid w:val="00872B64"/>
    <w:rsid w:val="00872C06"/>
    <w:rsid w:val="00872D89"/>
    <w:rsid w:val="00873522"/>
    <w:rsid w:val="0087378E"/>
    <w:rsid w:val="0087385E"/>
    <w:rsid w:val="00873C58"/>
    <w:rsid w:val="008742DB"/>
    <w:rsid w:val="0087432F"/>
    <w:rsid w:val="0087446A"/>
    <w:rsid w:val="00874645"/>
    <w:rsid w:val="00874731"/>
    <w:rsid w:val="00874A58"/>
    <w:rsid w:val="00874E23"/>
    <w:rsid w:val="00874E41"/>
    <w:rsid w:val="00874E63"/>
    <w:rsid w:val="0087500A"/>
    <w:rsid w:val="00875348"/>
    <w:rsid w:val="008758A4"/>
    <w:rsid w:val="008759BD"/>
    <w:rsid w:val="0087607F"/>
    <w:rsid w:val="00876479"/>
    <w:rsid w:val="00876530"/>
    <w:rsid w:val="0087680A"/>
    <w:rsid w:val="008769BA"/>
    <w:rsid w:val="008770B0"/>
    <w:rsid w:val="00877368"/>
    <w:rsid w:val="008775B0"/>
    <w:rsid w:val="00877611"/>
    <w:rsid w:val="0087777E"/>
    <w:rsid w:val="0087785C"/>
    <w:rsid w:val="00877B1C"/>
    <w:rsid w:val="00877EE1"/>
    <w:rsid w:val="0088022D"/>
    <w:rsid w:val="00880357"/>
    <w:rsid w:val="0088051B"/>
    <w:rsid w:val="00880623"/>
    <w:rsid w:val="0088069B"/>
    <w:rsid w:val="008806A6"/>
    <w:rsid w:val="0088090A"/>
    <w:rsid w:val="00880AD8"/>
    <w:rsid w:val="00881044"/>
    <w:rsid w:val="008812B8"/>
    <w:rsid w:val="0088142D"/>
    <w:rsid w:val="00881435"/>
    <w:rsid w:val="00881440"/>
    <w:rsid w:val="00881B73"/>
    <w:rsid w:val="00881CD4"/>
    <w:rsid w:val="00883307"/>
    <w:rsid w:val="008834A1"/>
    <w:rsid w:val="0088381A"/>
    <w:rsid w:val="0088388C"/>
    <w:rsid w:val="008839D4"/>
    <w:rsid w:val="00883DB1"/>
    <w:rsid w:val="008841E6"/>
    <w:rsid w:val="00884497"/>
    <w:rsid w:val="00884662"/>
    <w:rsid w:val="008848C5"/>
    <w:rsid w:val="00884B1B"/>
    <w:rsid w:val="008850BB"/>
    <w:rsid w:val="0088543F"/>
    <w:rsid w:val="00885498"/>
    <w:rsid w:val="00885EF2"/>
    <w:rsid w:val="008860AD"/>
    <w:rsid w:val="008863A5"/>
    <w:rsid w:val="00886A9A"/>
    <w:rsid w:val="00886B5A"/>
    <w:rsid w:val="00886FFD"/>
    <w:rsid w:val="008871EA"/>
    <w:rsid w:val="008876FA"/>
    <w:rsid w:val="00887707"/>
    <w:rsid w:val="00887779"/>
    <w:rsid w:val="00887985"/>
    <w:rsid w:val="00887C57"/>
    <w:rsid w:val="00887D5B"/>
    <w:rsid w:val="00887DA8"/>
    <w:rsid w:val="0089024F"/>
    <w:rsid w:val="0089034B"/>
    <w:rsid w:val="00890637"/>
    <w:rsid w:val="008909B0"/>
    <w:rsid w:val="00890A25"/>
    <w:rsid w:val="00890D5C"/>
    <w:rsid w:val="0089107E"/>
    <w:rsid w:val="00891B42"/>
    <w:rsid w:val="00891E89"/>
    <w:rsid w:val="008920C4"/>
    <w:rsid w:val="008923AF"/>
    <w:rsid w:val="008924EC"/>
    <w:rsid w:val="0089262D"/>
    <w:rsid w:val="00892EA8"/>
    <w:rsid w:val="008933A8"/>
    <w:rsid w:val="0089390A"/>
    <w:rsid w:val="00893974"/>
    <w:rsid w:val="008939B3"/>
    <w:rsid w:val="00893CF8"/>
    <w:rsid w:val="00893E5B"/>
    <w:rsid w:val="00893E9C"/>
    <w:rsid w:val="00893EA0"/>
    <w:rsid w:val="00894720"/>
    <w:rsid w:val="00894764"/>
    <w:rsid w:val="00894882"/>
    <w:rsid w:val="00894B4C"/>
    <w:rsid w:val="00894C7B"/>
    <w:rsid w:val="00894E29"/>
    <w:rsid w:val="008953C1"/>
    <w:rsid w:val="0089663F"/>
    <w:rsid w:val="00896767"/>
    <w:rsid w:val="00896D82"/>
    <w:rsid w:val="00896DDB"/>
    <w:rsid w:val="00896FA0"/>
    <w:rsid w:val="0089715C"/>
    <w:rsid w:val="008974C9"/>
    <w:rsid w:val="00897521"/>
    <w:rsid w:val="0089783C"/>
    <w:rsid w:val="00897905"/>
    <w:rsid w:val="00897A08"/>
    <w:rsid w:val="00897B95"/>
    <w:rsid w:val="00897E10"/>
    <w:rsid w:val="008A007E"/>
    <w:rsid w:val="008A1747"/>
    <w:rsid w:val="008A1B72"/>
    <w:rsid w:val="008A1E79"/>
    <w:rsid w:val="008A28C9"/>
    <w:rsid w:val="008A2B98"/>
    <w:rsid w:val="008A2C0D"/>
    <w:rsid w:val="008A2E55"/>
    <w:rsid w:val="008A2F63"/>
    <w:rsid w:val="008A35EE"/>
    <w:rsid w:val="008A39BF"/>
    <w:rsid w:val="008A3A29"/>
    <w:rsid w:val="008A3DD2"/>
    <w:rsid w:val="008A3F93"/>
    <w:rsid w:val="008A40AC"/>
    <w:rsid w:val="008A47A5"/>
    <w:rsid w:val="008A50EF"/>
    <w:rsid w:val="008A547C"/>
    <w:rsid w:val="008A5716"/>
    <w:rsid w:val="008A57E4"/>
    <w:rsid w:val="008A67CE"/>
    <w:rsid w:val="008A6C09"/>
    <w:rsid w:val="008A6FC6"/>
    <w:rsid w:val="008A7054"/>
    <w:rsid w:val="008A72DB"/>
    <w:rsid w:val="008A73DC"/>
    <w:rsid w:val="008A779F"/>
    <w:rsid w:val="008A798B"/>
    <w:rsid w:val="008A7A1A"/>
    <w:rsid w:val="008B0203"/>
    <w:rsid w:val="008B0AE6"/>
    <w:rsid w:val="008B172C"/>
    <w:rsid w:val="008B1950"/>
    <w:rsid w:val="008B19BC"/>
    <w:rsid w:val="008B1B1B"/>
    <w:rsid w:val="008B1C9E"/>
    <w:rsid w:val="008B1E03"/>
    <w:rsid w:val="008B1F9A"/>
    <w:rsid w:val="008B2408"/>
    <w:rsid w:val="008B28F0"/>
    <w:rsid w:val="008B2BD2"/>
    <w:rsid w:val="008B2E76"/>
    <w:rsid w:val="008B3042"/>
    <w:rsid w:val="008B3179"/>
    <w:rsid w:val="008B345F"/>
    <w:rsid w:val="008B3516"/>
    <w:rsid w:val="008B353D"/>
    <w:rsid w:val="008B356E"/>
    <w:rsid w:val="008B3789"/>
    <w:rsid w:val="008B39D8"/>
    <w:rsid w:val="008B3BAE"/>
    <w:rsid w:val="008B3D1D"/>
    <w:rsid w:val="008B3DC2"/>
    <w:rsid w:val="008B4272"/>
    <w:rsid w:val="008B4301"/>
    <w:rsid w:val="008B43B5"/>
    <w:rsid w:val="008B455F"/>
    <w:rsid w:val="008B458A"/>
    <w:rsid w:val="008B49D2"/>
    <w:rsid w:val="008B49D5"/>
    <w:rsid w:val="008B4B1D"/>
    <w:rsid w:val="008B4B21"/>
    <w:rsid w:val="008B4C4A"/>
    <w:rsid w:val="008B50C9"/>
    <w:rsid w:val="008B5365"/>
    <w:rsid w:val="008B5927"/>
    <w:rsid w:val="008B59C0"/>
    <w:rsid w:val="008B5B91"/>
    <w:rsid w:val="008B5F21"/>
    <w:rsid w:val="008B61C6"/>
    <w:rsid w:val="008B62F7"/>
    <w:rsid w:val="008B65FB"/>
    <w:rsid w:val="008B685A"/>
    <w:rsid w:val="008B69C0"/>
    <w:rsid w:val="008B6A60"/>
    <w:rsid w:val="008B6BDB"/>
    <w:rsid w:val="008B6EC4"/>
    <w:rsid w:val="008B700B"/>
    <w:rsid w:val="008B7347"/>
    <w:rsid w:val="008B7418"/>
    <w:rsid w:val="008B777A"/>
    <w:rsid w:val="008B79B9"/>
    <w:rsid w:val="008B7E47"/>
    <w:rsid w:val="008B7FBC"/>
    <w:rsid w:val="008C0563"/>
    <w:rsid w:val="008C0665"/>
    <w:rsid w:val="008C0ABE"/>
    <w:rsid w:val="008C1365"/>
    <w:rsid w:val="008C140F"/>
    <w:rsid w:val="008C1420"/>
    <w:rsid w:val="008C150D"/>
    <w:rsid w:val="008C1670"/>
    <w:rsid w:val="008C1696"/>
    <w:rsid w:val="008C18F1"/>
    <w:rsid w:val="008C28C4"/>
    <w:rsid w:val="008C29CB"/>
    <w:rsid w:val="008C31E5"/>
    <w:rsid w:val="008C3383"/>
    <w:rsid w:val="008C360C"/>
    <w:rsid w:val="008C39D9"/>
    <w:rsid w:val="008C3A14"/>
    <w:rsid w:val="008C3FC8"/>
    <w:rsid w:val="008C4724"/>
    <w:rsid w:val="008C4C9A"/>
    <w:rsid w:val="008C4CA5"/>
    <w:rsid w:val="008C4F08"/>
    <w:rsid w:val="008C53F1"/>
    <w:rsid w:val="008C59C9"/>
    <w:rsid w:val="008C5A33"/>
    <w:rsid w:val="008C5C82"/>
    <w:rsid w:val="008C640D"/>
    <w:rsid w:val="008C6691"/>
    <w:rsid w:val="008C6782"/>
    <w:rsid w:val="008C68D5"/>
    <w:rsid w:val="008C6C72"/>
    <w:rsid w:val="008C6C8D"/>
    <w:rsid w:val="008C7392"/>
    <w:rsid w:val="008C7524"/>
    <w:rsid w:val="008C77E1"/>
    <w:rsid w:val="008C7C6B"/>
    <w:rsid w:val="008D0076"/>
    <w:rsid w:val="008D0627"/>
    <w:rsid w:val="008D06E1"/>
    <w:rsid w:val="008D0763"/>
    <w:rsid w:val="008D0B87"/>
    <w:rsid w:val="008D0D9B"/>
    <w:rsid w:val="008D12FB"/>
    <w:rsid w:val="008D1366"/>
    <w:rsid w:val="008D15D1"/>
    <w:rsid w:val="008D1701"/>
    <w:rsid w:val="008D175E"/>
    <w:rsid w:val="008D1B66"/>
    <w:rsid w:val="008D1D17"/>
    <w:rsid w:val="008D201C"/>
    <w:rsid w:val="008D2EEB"/>
    <w:rsid w:val="008D2F28"/>
    <w:rsid w:val="008D313C"/>
    <w:rsid w:val="008D3506"/>
    <w:rsid w:val="008D35C7"/>
    <w:rsid w:val="008D3978"/>
    <w:rsid w:val="008D397F"/>
    <w:rsid w:val="008D407C"/>
    <w:rsid w:val="008D430E"/>
    <w:rsid w:val="008D50B5"/>
    <w:rsid w:val="008D51A8"/>
    <w:rsid w:val="008D534A"/>
    <w:rsid w:val="008D5375"/>
    <w:rsid w:val="008D5B54"/>
    <w:rsid w:val="008D61A3"/>
    <w:rsid w:val="008D635F"/>
    <w:rsid w:val="008D63AE"/>
    <w:rsid w:val="008D6754"/>
    <w:rsid w:val="008D692A"/>
    <w:rsid w:val="008D6952"/>
    <w:rsid w:val="008D6AEE"/>
    <w:rsid w:val="008D6D01"/>
    <w:rsid w:val="008D6E88"/>
    <w:rsid w:val="008D7788"/>
    <w:rsid w:val="008E0147"/>
    <w:rsid w:val="008E03ED"/>
    <w:rsid w:val="008E057F"/>
    <w:rsid w:val="008E0B76"/>
    <w:rsid w:val="008E0E3E"/>
    <w:rsid w:val="008E12E2"/>
    <w:rsid w:val="008E14C8"/>
    <w:rsid w:val="008E16F4"/>
    <w:rsid w:val="008E1733"/>
    <w:rsid w:val="008E17AB"/>
    <w:rsid w:val="008E1A47"/>
    <w:rsid w:val="008E1FB2"/>
    <w:rsid w:val="008E20C2"/>
    <w:rsid w:val="008E2454"/>
    <w:rsid w:val="008E26EB"/>
    <w:rsid w:val="008E2A39"/>
    <w:rsid w:val="008E2C87"/>
    <w:rsid w:val="008E2DE5"/>
    <w:rsid w:val="008E2F2A"/>
    <w:rsid w:val="008E3080"/>
    <w:rsid w:val="008E3098"/>
    <w:rsid w:val="008E3AC1"/>
    <w:rsid w:val="008E3FB6"/>
    <w:rsid w:val="008E4082"/>
    <w:rsid w:val="008E426A"/>
    <w:rsid w:val="008E427C"/>
    <w:rsid w:val="008E4622"/>
    <w:rsid w:val="008E463A"/>
    <w:rsid w:val="008E4728"/>
    <w:rsid w:val="008E4AA1"/>
    <w:rsid w:val="008E4FDA"/>
    <w:rsid w:val="008E4FE6"/>
    <w:rsid w:val="008E5007"/>
    <w:rsid w:val="008E56C1"/>
    <w:rsid w:val="008E5843"/>
    <w:rsid w:val="008E585F"/>
    <w:rsid w:val="008E58BF"/>
    <w:rsid w:val="008E60D0"/>
    <w:rsid w:val="008E6442"/>
    <w:rsid w:val="008E650F"/>
    <w:rsid w:val="008E66BE"/>
    <w:rsid w:val="008E6A44"/>
    <w:rsid w:val="008E6B7F"/>
    <w:rsid w:val="008E6FBC"/>
    <w:rsid w:val="008E7510"/>
    <w:rsid w:val="008E75D1"/>
    <w:rsid w:val="008E7651"/>
    <w:rsid w:val="008E76D2"/>
    <w:rsid w:val="008E7708"/>
    <w:rsid w:val="008E7889"/>
    <w:rsid w:val="008E7B8B"/>
    <w:rsid w:val="008E7E5C"/>
    <w:rsid w:val="008F0134"/>
    <w:rsid w:val="008F04D6"/>
    <w:rsid w:val="008F0B83"/>
    <w:rsid w:val="008F0E18"/>
    <w:rsid w:val="008F0E30"/>
    <w:rsid w:val="008F10BC"/>
    <w:rsid w:val="008F1261"/>
    <w:rsid w:val="008F174F"/>
    <w:rsid w:val="008F1769"/>
    <w:rsid w:val="008F19E8"/>
    <w:rsid w:val="008F1AA7"/>
    <w:rsid w:val="008F1BC3"/>
    <w:rsid w:val="008F1DFC"/>
    <w:rsid w:val="008F1E54"/>
    <w:rsid w:val="008F1FBC"/>
    <w:rsid w:val="008F24E1"/>
    <w:rsid w:val="008F2520"/>
    <w:rsid w:val="008F2E5B"/>
    <w:rsid w:val="008F3435"/>
    <w:rsid w:val="008F36F4"/>
    <w:rsid w:val="008F3B84"/>
    <w:rsid w:val="008F3F09"/>
    <w:rsid w:val="008F4219"/>
    <w:rsid w:val="008F4259"/>
    <w:rsid w:val="008F477E"/>
    <w:rsid w:val="008F4B1F"/>
    <w:rsid w:val="008F529B"/>
    <w:rsid w:val="008F5E47"/>
    <w:rsid w:val="008F61D3"/>
    <w:rsid w:val="008F65C2"/>
    <w:rsid w:val="008F6C2E"/>
    <w:rsid w:val="008F70A1"/>
    <w:rsid w:val="008F730C"/>
    <w:rsid w:val="008F75EF"/>
    <w:rsid w:val="008F76C0"/>
    <w:rsid w:val="008F76CD"/>
    <w:rsid w:val="008F7713"/>
    <w:rsid w:val="008F77F2"/>
    <w:rsid w:val="0090122F"/>
    <w:rsid w:val="0090126B"/>
    <w:rsid w:val="00901333"/>
    <w:rsid w:val="00901960"/>
    <w:rsid w:val="00901BDA"/>
    <w:rsid w:val="00901DD2"/>
    <w:rsid w:val="00901E2E"/>
    <w:rsid w:val="00902031"/>
    <w:rsid w:val="0090211A"/>
    <w:rsid w:val="00902135"/>
    <w:rsid w:val="0090234B"/>
    <w:rsid w:val="0090239A"/>
    <w:rsid w:val="00902572"/>
    <w:rsid w:val="00902607"/>
    <w:rsid w:val="0090269E"/>
    <w:rsid w:val="009027CD"/>
    <w:rsid w:val="00902DF2"/>
    <w:rsid w:val="009030C1"/>
    <w:rsid w:val="00903C83"/>
    <w:rsid w:val="00904075"/>
    <w:rsid w:val="0090418E"/>
    <w:rsid w:val="00904191"/>
    <w:rsid w:val="00904503"/>
    <w:rsid w:val="0090457F"/>
    <w:rsid w:val="0090471A"/>
    <w:rsid w:val="009047A4"/>
    <w:rsid w:val="00905878"/>
    <w:rsid w:val="00905ACF"/>
    <w:rsid w:val="00905F11"/>
    <w:rsid w:val="0090618E"/>
    <w:rsid w:val="00906733"/>
    <w:rsid w:val="00906D3C"/>
    <w:rsid w:val="00907615"/>
    <w:rsid w:val="00910689"/>
    <w:rsid w:val="0091093B"/>
    <w:rsid w:val="009109DB"/>
    <w:rsid w:val="00910B0D"/>
    <w:rsid w:val="00910F28"/>
    <w:rsid w:val="0091112D"/>
    <w:rsid w:val="0091139D"/>
    <w:rsid w:val="0091173C"/>
    <w:rsid w:val="00911CFE"/>
    <w:rsid w:val="00911DA3"/>
    <w:rsid w:val="00911E41"/>
    <w:rsid w:val="00912188"/>
    <w:rsid w:val="00912332"/>
    <w:rsid w:val="00912537"/>
    <w:rsid w:val="00912548"/>
    <w:rsid w:val="00912677"/>
    <w:rsid w:val="0091298B"/>
    <w:rsid w:val="00912BC1"/>
    <w:rsid w:val="00912DB4"/>
    <w:rsid w:val="009133DA"/>
    <w:rsid w:val="009134D9"/>
    <w:rsid w:val="009135BB"/>
    <w:rsid w:val="00913F41"/>
    <w:rsid w:val="0091402E"/>
    <w:rsid w:val="0091410A"/>
    <w:rsid w:val="0091425A"/>
    <w:rsid w:val="009142A7"/>
    <w:rsid w:val="009144A7"/>
    <w:rsid w:val="00914674"/>
    <w:rsid w:val="0091485A"/>
    <w:rsid w:val="0091495F"/>
    <w:rsid w:val="00914CD7"/>
    <w:rsid w:val="009152EC"/>
    <w:rsid w:val="009153D4"/>
    <w:rsid w:val="0091559A"/>
    <w:rsid w:val="0091567E"/>
    <w:rsid w:val="00915699"/>
    <w:rsid w:val="00915C7E"/>
    <w:rsid w:val="009163B1"/>
    <w:rsid w:val="009166EB"/>
    <w:rsid w:val="009168BB"/>
    <w:rsid w:val="00916DD4"/>
    <w:rsid w:val="00916FE6"/>
    <w:rsid w:val="00917812"/>
    <w:rsid w:val="009178EA"/>
    <w:rsid w:val="00917DA1"/>
    <w:rsid w:val="00920420"/>
    <w:rsid w:val="00920732"/>
    <w:rsid w:val="00920934"/>
    <w:rsid w:val="0092093A"/>
    <w:rsid w:val="0092099B"/>
    <w:rsid w:val="00920A99"/>
    <w:rsid w:val="00920DAF"/>
    <w:rsid w:val="00921066"/>
    <w:rsid w:val="009210F8"/>
    <w:rsid w:val="009214C9"/>
    <w:rsid w:val="009215D1"/>
    <w:rsid w:val="00921663"/>
    <w:rsid w:val="009219A9"/>
    <w:rsid w:val="00921DF6"/>
    <w:rsid w:val="0092243F"/>
    <w:rsid w:val="00922665"/>
    <w:rsid w:val="00922784"/>
    <w:rsid w:val="00922AB2"/>
    <w:rsid w:val="0092313A"/>
    <w:rsid w:val="00923146"/>
    <w:rsid w:val="0092344C"/>
    <w:rsid w:val="0092370C"/>
    <w:rsid w:val="00923808"/>
    <w:rsid w:val="009238B9"/>
    <w:rsid w:val="009238D2"/>
    <w:rsid w:val="0092393B"/>
    <w:rsid w:val="00923A56"/>
    <w:rsid w:val="00923C74"/>
    <w:rsid w:val="00923DEB"/>
    <w:rsid w:val="00923E96"/>
    <w:rsid w:val="0092419B"/>
    <w:rsid w:val="0092449D"/>
    <w:rsid w:val="00924BEF"/>
    <w:rsid w:val="00924D41"/>
    <w:rsid w:val="00924D7C"/>
    <w:rsid w:val="00924F63"/>
    <w:rsid w:val="00925137"/>
    <w:rsid w:val="00925467"/>
    <w:rsid w:val="00925699"/>
    <w:rsid w:val="00925960"/>
    <w:rsid w:val="009259E4"/>
    <w:rsid w:val="00925C76"/>
    <w:rsid w:val="00925D41"/>
    <w:rsid w:val="00925D80"/>
    <w:rsid w:val="00926618"/>
    <w:rsid w:val="00926624"/>
    <w:rsid w:val="009269C0"/>
    <w:rsid w:val="00926E84"/>
    <w:rsid w:val="00926E96"/>
    <w:rsid w:val="00926EDF"/>
    <w:rsid w:val="00926F3C"/>
    <w:rsid w:val="009271B4"/>
    <w:rsid w:val="00927958"/>
    <w:rsid w:val="009279BD"/>
    <w:rsid w:val="00930223"/>
    <w:rsid w:val="00930271"/>
    <w:rsid w:val="00930C25"/>
    <w:rsid w:val="00930EFF"/>
    <w:rsid w:val="00930FF7"/>
    <w:rsid w:val="00931067"/>
    <w:rsid w:val="009311B4"/>
    <w:rsid w:val="0093149E"/>
    <w:rsid w:val="009316C3"/>
    <w:rsid w:val="00931A93"/>
    <w:rsid w:val="00931CF9"/>
    <w:rsid w:val="009321D5"/>
    <w:rsid w:val="00932781"/>
    <w:rsid w:val="0093289D"/>
    <w:rsid w:val="0093308A"/>
    <w:rsid w:val="0093308B"/>
    <w:rsid w:val="009333F3"/>
    <w:rsid w:val="00933577"/>
    <w:rsid w:val="00933921"/>
    <w:rsid w:val="00933BE3"/>
    <w:rsid w:val="00933C9F"/>
    <w:rsid w:val="00933EF9"/>
    <w:rsid w:val="00933F7B"/>
    <w:rsid w:val="00934933"/>
    <w:rsid w:val="00934BA5"/>
    <w:rsid w:val="009351AC"/>
    <w:rsid w:val="009356B8"/>
    <w:rsid w:val="00935B8D"/>
    <w:rsid w:val="0093611C"/>
    <w:rsid w:val="009361A8"/>
    <w:rsid w:val="009363D0"/>
    <w:rsid w:val="00936925"/>
    <w:rsid w:val="009371BD"/>
    <w:rsid w:val="009372D4"/>
    <w:rsid w:val="00937352"/>
    <w:rsid w:val="009376CF"/>
    <w:rsid w:val="00937711"/>
    <w:rsid w:val="009379A4"/>
    <w:rsid w:val="00937D56"/>
    <w:rsid w:val="00937E18"/>
    <w:rsid w:val="00937E2E"/>
    <w:rsid w:val="00937F93"/>
    <w:rsid w:val="00940619"/>
    <w:rsid w:val="00940749"/>
    <w:rsid w:val="00940E51"/>
    <w:rsid w:val="00940E83"/>
    <w:rsid w:val="00940EB2"/>
    <w:rsid w:val="00940FDA"/>
    <w:rsid w:val="00941099"/>
    <w:rsid w:val="00941214"/>
    <w:rsid w:val="009413FB"/>
    <w:rsid w:val="00941408"/>
    <w:rsid w:val="00941D1B"/>
    <w:rsid w:val="009420CD"/>
    <w:rsid w:val="00942270"/>
    <w:rsid w:val="009422D0"/>
    <w:rsid w:val="009427A2"/>
    <w:rsid w:val="00942B2A"/>
    <w:rsid w:val="00943153"/>
    <w:rsid w:val="009431F5"/>
    <w:rsid w:val="009431FF"/>
    <w:rsid w:val="0094321D"/>
    <w:rsid w:val="00943416"/>
    <w:rsid w:val="00943483"/>
    <w:rsid w:val="009438A5"/>
    <w:rsid w:val="00943943"/>
    <w:rsid w:val="00943CEE"/>
    <w:rsid w:val="00943D3D"/>
    <w:rsid w:val="00943D6E"/>
    <w:rsid w:val="00943EBE"/>
    <w:rsid w:val="009442B0"/>
    <w:rsid w:val="009446AA"/>
    <w:rsid w:val="00945076"/>
    <w:rsid w:val="00945169"/>
    <w:rsid w:val="00945436"/>
    <w:rsid w:val="0094557E"/>
    <w:rsid w:val="00945658"/>
    <w:rsid w:val="00945A89"/>
    <w:rsid w:val="00945BF7"/>
    <w:rsid w:val="00946063"/>
    <w:rsid w:val="009462F0"/>
    <w:rsid w:val="00946607"/>
    <w:rsid w:val="00946E6A"/>
    <w:rsid w:val="0094753F"/>
    <w:rsid w:val="0094756A"/>
    <w:rsid w:val="009476C1"/>
    <w:rsid w:val="009477D3"/>
    <w:rsid w:val="00947918"/>
    <w:rsid w:val="00947BCD"/>
    <w:rsid w:val="00947EC2"/>
    <w:rsid w:val="00947EC4"/>
    <w:rsid w:val="009500EF"/>
    <w:rsid w:val="0095016E"/>
    <w:rsid w:val="00950230"/>
    <w:rsid w:val="00950559"/>
    <w:rsid w:val="009506F2"/>
    <w:rsid w:val="0095077F"/>
    <w:rsid w:val="009507DD"/>
    <w:rsid w:val="00950886"/>
    <w:rsid w:val="0095093B"/>
    <w:rsid w:val="009519D3"/>
    <w:rsid w:val="00951A51"/>
    <w:rsid w:val="009522D3"/>
    <w:rsid w:val="00952609"/>
    <w:rsid w:val="00952AAE"/>
    <w:rsid w:val="00952AB6"/>
    <w:rsid w:val="00952FAC"/>
    <w:rsid w:val="00953258"/>
    <w:rsid w:val="009535A9"/>
    <w:rsid w:val="00953DCD"/>
    <w:rsid w:val="009543B8"/>
    <w:rsid w:val="00954776"/>
    <w:rsid w:val="00954E78"/>
    <w:rsid w:val="00954FE0"/>
    <w:rsid w:val="0095514F"/>
    <w:rsid w:val="0095530E"/>
    <w:rsid w:val="00955C52"/>
    <w:rsid w:val="00955C6A"/>
    <w:rsid w:val="00956323"/>
    <w:rsid w:val="00956AC7"/>
    <w:rsid w:val="00956D22"/>
    <w:rsid w:val="00956E01"/>
    <w:rsid w:val="009570EE"/>
    <w:rsid w:val="0095744A"/>
    <w:rsid w:val="00957497"/>
    <w:rsid w:val="009574E9"/>
    <w:rsid w:val="00957631"/>
    <w:rsid w:val="0095765A"/>
    <w:rsid w:val="00957722"/>
    <w:rsid w:val="009577C5"/>
    <w:rsid w:val="0095783C"/>
    <w:rsid w:val="00957EAC"/>
    <w:rsid w:val="009600A3"/>
    <w:rsid w:val="0096027B"/>
    <w:rsid w:val="00960413"/>
    <w:rsid w:val="00960886"/>
    <w:rsid w:val="00960CDC"/>
    <w:rsid w:val="00960E7F"/>
    <w:rsid w:val="00960EF3"/>
    <w:rsid w:val="00960F26"/>
    <w:rsid w:val="00961175"/>
    <w:rsid w:val="009613A9"/>
    <w:rsid w:val="0096151B"/>
    <w:rsid w:val="009617AF"/>
    <w:rsid w:val="009617EE"/>
    <w:rsid w:val="0096190F"/>
    <w:rsid w:val="00961A8F"/>
    <w:rsid w:val="00961D70"/>
    <w:rsid w:val="00961E6C"/>
    <w:rsid w:val="00961F0A"/>
    <w:rsid w:val="0096204C"/>
    <w:rsid w:val="00962095"/>
    <w:rsid w:val="00962134"/>
    <w:rsid w:val="009626E7"/>
    <w:rsid w:val="00962FA1"/>
    <w:rsid w:val="00963102"/>
    <w:rsid w:val="00963597"/>
    <w:rsid w:val="00963851"/>
    <w:rsid w:val="009639F7"/>
    <w:rsid w:val="00963D59"/>
    <w:rsid w:val="00963D76"/>
    <w:rsid w:val="00964008"/>
    <w:rsid w:val="009645D0"/>
    <w:rsid w:val="00964B4D"/>
    <w:rsid w:val="009651E6"/>
    <w:rsid w:val="009654E3"/>
    <w:rsid w:val="009656ED"/>
    <w:rsid w:val="00965A2B"/>
    <w:rsid w:val="00965B04"/>
    <w:rsid w:val="00965BAB"/>
    <w:rsid w:val="00965D6E"/>
    <w:rsid w:val="00965DE9"/>
    <w:rsid w:val="00965ECA"/>
    <w:rsid w:val="0096626E"/>
    <w:rsid w:val="00966389"/>
    <w:rsid w:val="0096645D"/>
    <w:rsid w:val="0096680A"/>
    <w:rsid w:val="009668A0"/>
    <w:rsid w:val="00966A6E"/>
    <w:rsid w:val="009674B7"/>
    <w:rsid w:val="00967AFA"/>
    <w:rsid w:val="00967E5E"/>
    <w:rsid w:val="00967F42"/>
    <w:rsid w:val="00970257"/>
    <w:rsid w:val="009702C1"/>
    <w:rsid w:val="009702F3"/>
    <w:rsid w:val="009703E3"/>
    <w:rsid w:val="00970C7F"/>
    <w:rsid w:val="00970F7D"/>
    <w:rsid w:val="00971C14"/>
    <w:rsid w:val="00971CD8"/>
    <w:rsid w:val="0097203C"/>
    <w:rsid w:val="00972377"/>
    <w:rsid w:val="009725F4"/>
    <w:rsid w:val="009726E1"/>
    <w:rsid w:val="00973848"/>
    <w:rsid w:val="00973CCE"/>
    <w:rsid w:val="00973DCA"/>
    <w:rsid w:val="00973F13"/>
    <w:rsid w:val="0097434D"/>
    <w:rsid w:val="00974527"/>
    <w:rsid w:val="00974605"/>
    <w:rsid w:val="0097475E"/>
    <w:rsid w:val="0097480B"/>
    <w:rsid w:val="00974866"/>
    <w:rsid w:val="00975166"/>
    <w:rsid w:val="00975345"/>
    <w:rsid w:val="00975E60"/>
    <w:rsid w:val="009773BE"/>
    <w:rsid w:val="009774DE"/>
    <w:rsid w:val="009775AA"/>
    <w:rsid w:val="009776F3"/>
    <w:rsid w:val="009777AB"/>
    <w:rsid w:val="009777F6"/>
    <w:rsid w:val="00977952"/>
    <w:rsid w:val="00977FFA"/>
    <w:rsid w:val="009806EA"/>
    <w:rsid w:val="0098086C"/>
    <w:rsid w:val="00980AAA"/>
    <w:rsid w:val="00980BB5"/>
    <w:rsid w:val="00980FC9"/>
    <w:rsid w:val="00981232"/>
    <w:rsid w:val="00981A04"/>
    <w:rsid w:val="00981DA4"/>
    <w:rsid w:val="00982072"/>
    <w:rsid w:val="009826D9"/>
    <w:rsid w:val="00983DFC"/>
    <w:rsid w:val="00983E2A"/>
    <w:rsid w:val="00983F09"/>
    <w:rsid w:val="009841E5"/>
    <w:rsid w:val="009842DD"/>
    <w:rsid w:val="0098464F"/>
    <w:rsid w:val="00984A78"/>
    <w:rsid w:val="00984AA3"/>
    <w:rsid w:val="00984D7A"/>
    <w:rsid w:val="009851FD"/>
    <w:rsid w:val="00985325"/>
    <w:rsid w:val="00985368"/>
    <w:rsid w:val="00985380"/>
    <w:rsid w:val="0098575F"/>
    <w:rsid w:val="00985A55"/>
    <w:rsid w:val="009861C3"/>
    <w:rsid w:val="009867C9"/>
    <w:rsid w:val="00986A77"/>
    <w:rsid w:val="00986AAA"/>
    <w:rsid w:val="00986DD9"/>
    <w:rsid w:val="009872C4"/>
    <w:rsid w:val="00987EB1"/>
    <w:rsid w:val="009905F1"/>
    <w:rsid w:val="0099078F"/>
    <w:rsid w:val="00990C49"/>
    <w:rsid w:val="00991EE3"/>
    <w:rsid w:val="00992442"/>
    <w:rsid w:val="00992B2B"/>
    <w:rsid w:val="00992E8C"/>
    <w:rsid w:val="00993041"/>
    <w:rsid w:val="00993463"/>
    <w:rsid w:val="009935FA"/>
    <w:rsid w:val="0099365E"/>
    <w:rsid w:val="0099379A"/>
    <w:rsid w:val="00993B02"/>
    <w:rsid w:val="00993F4B"/>
    <w:rsid w:val="0099412F"/>
    <w:rsid w:val="00994294"/>
    <w:rsid w:val="00994649"/>
    <w:rsid w:val="00994A5F"/>
    <w:rsid w:val="00994D41"/>
    <w:rsid w:val="00994F74"/>
    <w:rsid w:val="009950AD"/>
    <w:rsid w:val="0099510E"/>
    <w:rsid w:val="00995497"/>
    <w:rsid w:val="0099556C"/>
    <w:rsid w:val="00995A6B"/>
    <w:rsid w:val="00996324"/>
    <w:rsid w:val="0099660B"/>
    <w:rsid w:val="0099668E"/>
    <w:rsid w:val="00996BED"/>
    <w:rsid w:val="00997188"/>
    <w:rsid w:val="009973A4"/>
    <w:rsid w:val="0099766E"/>
    <w:rsid w:val="0099775B"/>
    <w:rsid w:val="00997C26"/>
    <w:rsid w:val="00997D1B"/>
    <w:rsid w:val="00997D78"/>
    <w:rsid w:val="00997F9F"/>
    <w:rsid w:val="009A0106"/>
    <w:rsid w:val="009A05E4"/>
    <w:rsid w:val="009A0624"/>
    <w:rsid w:val="009A073A"/>
    <w:rsid w:val="009A0AB1"/>
    <w:rsid w:val="009A0CAE"/>
    <w:rsid w:val="009A0DB9"/>
    <w:rsid w:val="009A0E67"/>
    <w:rsid w:val="009A104C"/>
    <w:rsid w:val="009A185B"/>
    <w:rsid w:val="009A1C58"/>
    <w:rsid w:val="009A2096"/>
    <w:rsid w:val="009A23B6"/>
    <w:rsid w:val="009A23E6"/>
    <w:rsid w:val="009A2841"/>
    <w:rsid w:val="009A2858"/>
    <w:rsid w:val="009A31FD"/>
    <w:rsid w:val="009A37A6"/>
    <w:rsid w:val="009A3AE4"/>
    <w:rsid w:val="009A3D37"/>
    <w:rsid w:val="009A3FB2"/>
    <w:rsid w:val="009A40C5"/>
    <w:rsid w:val="009A425D"/>
    <w:rsid w:val="009A4D82"/>
    <w:rsid w:val="009A4EEF"/>
    <w:rsid w:val="009A5038"/>
    <w:rsid w:val="009A56B9"/>
    <w:rsid w:val="009A5B47"/>
    <w:rsid w:val="009A5BE5"/>
    <w:rsid w:val="009A5F66"/>
    <w:rsid w:val="009A6089"/>
    <w:rsid w:val="009A636B"/>
    <w:rsid w:val="009A6A50"/>
    <w:rsid w:val="009A6BCF"/>
    <w:rsid w:val="009A6DD4"/>
    <w:rsid w:val="009A6F7F"/>
    <w:rsid w:val="009A6FD5"/>
    <w:rsid w:val="009A77B9"/>
    <w:rsid w:val="009B035A"/>
    <w:rsid w:val="009B0810"/>
    <w:rsid w:val="009B0B47"/>
    <w:rsid w:val="009B1289"/>
    <w:rsid w:val="009B12D7"/>
    <w:rsid w:val="009B12EC"/>
    <w:rsid w:val="009B1391"/>
    <w:rsid w:val="009B169A"/>
    <w:rsid w:val="009B17DE"/>
    <w:rsid w:val="009B2BD7"/>
    <w:rsid w:val="009B347C"/>
    <w:rsid w:val="009B360B"/>
    <w:rsid w:val="009B3DF8"/>
    <w:rsid w:val="009B451E"/>
    <w:rsid w:val="009B4B94"/>
    <w:rsid w:val="009B4D31"/>
    <w:rsid w:val="009B4F15"/>
    <w:rsid w:val="009B5788"/>
    <w:rsid w:val="009B5794"/>
    <w:rsid w:val="009B5CDC"/>
    <w:rsid w:val="009B5EE2"/>
    <w:rsid w:val="009B6579"/>
    <w:rsid w:val="009B6E36"/>
    <w:rsid w:val="009B704F"/>
    <w:rsid w:val="009B7349"/>
    <w:rsid w:val="009B7372"/>
    <w:rsid w:val="009B73D0"/>
    <w:rsid w:val="009B7B23"/>
    <w:rsid w:val="009B7B6F"/>
    <w:rsid w:val="009B7D4E"/>
    <w:rsid w:val="009C012F"/>
    <w:rsid w:val="009C018A"/>
    <w:rsid w:val="009C0F29"/>
    <w:rsid w:val="009C16A2"/>
    <w:rsid w:val="009C197B"/>
    <w:rsid w:val="009C1B03"/>
    <w:rsid w:val="009C1EC3"/>
    <w:rsid w:val="009C1FEF"/>
    <w:rsid w:val="009C20AF"/>
    <w:rsid w:val="009C210E"/>
    <w:rsid w:val="009C2189"/>
    <w:rsid w:val="009C21FE"/>
    <w:rsid w:val="009C23A5"/>
    <w:rsid w:val="009C289E"/>
    <w:rsid w:val="009C2A26"/>
    <w:rsid w:val="009C2E69"/>
    <w:rsid w:val="009C2E74"/>
    <w:rsid w:val="009C368B"/>
    <w:rsid w:val="009C3B8B"/>
    <w:rsid w:val="009C40E9"/>
    <w:rsid w:val="009C411E"/>
    <w:rsid w:val="009C4257"/>
    <w:rsid w:val="009C45B6"/>
    <w:rsid w:val="009C48FB"/>
    <w:rsid w:val="009C4B57"/>
    <w:rsid w:val="009C4EDF"/>
    <w:rsid w:val="009C4F59"/>
    <w:rsid w:val="009C5081"/>
    <w:rsid w:val="009C536E"/>
    <w:rsid w:val="009C54EB"/>
    <w:rsid w:val="009C55DC"/>
    <w:rsid w:val="009C5859"/>
    <w:rsid w:val="009C5B42"/>
    <w:rsid w:val="009C5E07"/>
    <w:rsid w:val="009C5E74"/>
    <w:rsid w:val="009C5EC5"/>
    <w:rsid w:val="009C6C5C"/>
    <w:rsid w:val="009C6F3C"/>
    <w:rsid w:val="009C6FBE"/>
    <w:rsid w:val="009C70BB"/>
    <w:rsid w:val="009C723C"/>
    <w:rsid w:val="009C77C1"/>
    <w:rsid w:val="009C7990"/>
    <w:rsid w:val="009D01F6"/>
    <w:rsid w:val="009D06DC"/>
    <w:rsid w:val="009D073C"/>
    <w:rsid w:val="009D0885"/>
    <w:rsid w:val="009D0B41"/>
    <w:rsid w:val="009D0EAE"/>
    <w:rsid w:val="009D0F5C"/>
    <w:rsid w:val="009D0F75"/>
    <w:rsid w:val="009D198E"/>
    <w:rsid w:val="009D1AEA"/>
    <w:rsid w:val="009D1EE1"/>
    <w:rsid w:val="009D1FB6"/>
    <w:rsid w:val="009D229C"/>
    <w:rsid w:val="009D2641"/>
    <w:rsid w:val="009D28C6"/>
    <w:rsid w:val="009D2D97"/>
    <w:rsid w:val="009D2F80"/>
    <w:rsid w:val="009D3833"/>
    <w:rsid w:val="009D3CEC"/>
    <w:rsid w:val="009D3FE3"/>
    <w:rsid w:val="009D4414"/>
    <w:rsid w:val="009D4811"/>
    <w:rsid w:val="009D4930"/>
    <w:rsid w:val="009D49AC"/>
    <w:rsid w:val="009D4A5A"/>
    <w:rsid w:val="009D4FD7"/>
    <w:rsid w:val="009D50AA"/>
    <w:rsid w:val="009D50F0"/>
    <w:rsid w:val="009D5100"/>
    <w:rsid w:val="009D51C8"/>
    <w:rsid w:val="009D5952"/>
    <w:rsid w:val="009D5B41"/>
    <w:rsid w:val="009D5B61"/>
    <w:rsid w:val="009D621D"/>
    <w:rsid w:val="009D66DB"/>
    <w:rsid w:val="009D69F2"/>
    <w:rsid w:val="009D6DD7"/>
    <w:rsid w:val="009D6E08"/>
    <w:rsid w:val="009D6E46"/>
    <w:rsid w:val="009D77BD"/>
    <w:rsid w:val="009D782E"/>
    <w:rsid w:val="009D7986"/>
    <w:rsid w:val="009D7AF0"/>
    <w:rsid w:val="009E0740"/>
    <w:rsid w:val="009E078B"/>
    <w:rsid w:val="009E0923"/>
    <w:rsid w:val="009E0947"/>
    <w:rsid w:val="009E0C26"/>
    <w:rsid w:val="009E0F5A"/>
    <w:rsid w:val="009E124A"/>
    <w:rsid w:val="009E1A18"/>
    <w:rsid w:val="009E1A7A"/>
    <w:rsid w:val="009E21C0"/>
    <w:rsid w:val="009E238F"/>
    <w:rsid w:val="009E28FC"/>
    <w:rsid w:val="009E300D"/>
    <w:rsid w:val="009E33C4"/>
    <w:rsid w:val="009E37A6"/>
    <w:rsid w:val="009E4DD9"/>
    <w:rsid w:val="009E51CE"/>
    <w:rsid w:val="009E524E"/>
    <w:rsid w:val="009E53E6"/>
    <w:rsid w:val="009E56F8"/>
    <w:rsid w:val="009E5DCB"/>
    <w:rsid w:val="009E5E3D"/>
    <w:rsid w:val="009E64A0"/>
    <w:rsid w:val="009E671B"/>
    <w:rsid w:val="009E6737"/>
    <w:rsid w:val="009E67F4"/>
    <w:rsid w:val="009E6A6E"/>
    <w:rsid w:val="009E6F0D"/>
    <w:rsid w:val="009E6F2B"/>
    <w:rsid w:val="009E702D"/>
    <w:rsid w:val="009E71D2"/>
    <w:rsid w:val="009E7454"/>
    <w:rsid w:val="009E7E25"/>
    <w:rsid w:val="009F0060"/>
    <w:rsid w:val="009F02F2"/>
    <w:rsid w:val="009F042B"/>
    <w:rsid w:val="009F0651"/>
    <w:rsid w:val="009F0C4E"/>
    <w:rsid w:val="009F0FA9"/>
    <w:rsid w:val="009F1035"/>
    <w:rsid w:val="009F104F"/>
    <w:rsid w:val="009F1328"/>
    <w:rsid w:val="009F13DB"/>
    <w:rsid w:val="009F1899"/>
    <w:rsid w:val="009F1F3D"/>
    <w:rsid w:val="009F2381"/>
    <w:rsid w:val="009F254E"/>
    <w:rsid w:val="009F26C1"/>
    <w:rsid w:val="009F271B"/>
    <w:rsid w:val="009F278A"/>
    <w:rsid w:val="009F2BED"/>
    <w:rsid w:val="009F2FB9"/>
    <w:rsid w:val="009F3211"/>
    <w:rsid w:val="009F37C3"/>
    <w:rsid w:val="009F3A6B"/>
    <w:rsid w:val="009F3BA9"/>
    <w:rsid w:val="009F3DF9"/>
    <w:rsid w:val="009F3E2D"/>
    <w:rsid w:val="009F4223"/>
    <w:rsid w:val="009F431F"/>
    <w:rsid w:val="009F4409"/>
    <w:rsid w:val="009F4804"/>
    <w:rsid w:val="009F490C"/>
    <w:rsid w:val="009F4D2F"/>
    <w:rsid w:val="009F4DAC"/>
    <w:rsid w:val="009F4DFF"/>
    <w:rsid w:val="009F4F74"/>
    <w:rsid w:val="009F589C"/>
    <w:rsid w:val="009F59DE"/>
    <w:rsid w:val="009F5B0F"/>
    <w:rsid w:val="009F5DEB"/>
    <w:rsid w:val="009F5E37"/>
    <w:rsid w:val="009F65F8"/>
    <w:rsid w:val="009F6EFB"/>
    <w:rsid w:val="009F7037"/>
    <w:rsid w:val="009F7412"/>
    <w:rsid w:val="009F77B9"/>
    <w:rsid w:val="009F77CF"/>
    <w:rsid w:val="009F7881"/>
    <w:rsid w:val="009F7B62"/>
    <w:rsid w:val="00A00CC0"/>
    <w:rsid w:val="00A00F74"/>
    <w:rsid w:val="00A0143D"/>
    <w:rsid w:val="00A01B1A"/>
    <w:rsid w:val="00A01CDB"/>
    <w:rsid w:val="00A020E6"/>
    <w:rsid w:val="00A025E1"/>
    <w:rsid w:val="00A02986"/>
    <w:rsid w:val="00A02D80"/>
    <w:rsid w:val="00A02F6E"/>
    <w:rsid w:val="00A031CC"/>
    <w:rsid w:val="00A0326B"/>
    <w:rsid w:val="00A0335C"/>
    <w:rsid w:val="00A036BD"/>
    <w:rsid w:val="00A03ADE"/>
    <w:rsid w:val="00A0426B"/>
    <w:rsid w:val="00A04C53"/>
    <w:rsid w:val="00A04D84"/>
    <w:rsid w:val="00A0519E"/>
    <w:rsid w:val="00A051B7"/>
    <w:rsid w:val="00A051FD"/>
    <w:rsid w:val="00A05286"/>
    <w:rsid w:val="00A0545B"/>
    <w:rsid w:val="00A0563B"/>
    <w:rsid w:val="00A05857"/>
    <w:rsid w:val="00A05913"/>
    <w:rsid w:val="00A05979"/>
    <w:rsid w:val="00A05A2F"/>
    <w:rsid w:val="00A05A85"/>
    <w:rsid w:val="00A05C52"/>
    <w:rsid w:val="00A05F6F"/>
    <w:rsid w:val="00A0614A"/>
    <w:rsid w:val="00A0683D"/>
    <w:rsid w:val="00A06A12"/>
    <w:rsid w:val="00A075CF"/>
    <w:rsid w:val="00A07730"/>
    <w:rsid w:val="00A1007A"/>
    <w:rsid w:val="00A10260"/>
    <w:rsid w:val="00A10278"/>
    <w:rsid w:val="00A10349"/>
    <w:rsid w:val="00A10404"/>
    <w:rsid w:val="00A10B95"/>
    <w:rsid w:val="00A10DA0"/>
    <w:rsid w:val="00A1107F"/>
    <w:rsid w:val="00A114EC"/>
    <w:rsid w:val="00A115CB"/>
    <w:rsid w:val="00A116D8"/>
    <w:rsid w:val="00A117FC"/>
    <w:rsid w:val="00A117FD"/>
    <w:rsid w:val="00A11C68"/>
    <w:rsid w:val="00A12535"/>
    <w:rsid w:val="00A12746"/>
    <w:rsid w:val="00A12893"/>
    <w:rsid w:val="00A12B7F"/>
    <w:rsid w:val="00A13758"/>
    <w:rsid w:val="00A13A4E"/>
    <w:rsid w:val="00A13C06"/>
    <w:rsid w:val="00A13C3B"/>
    <w:rsid w:val="00A13DB7"/>
    <w:rsid w:val="00A13EA4"/>
    <w:rsid w:val="00A13F16"/>
    <w:rsid w:val="00A1420E"/>
    <w:rsid w:val="00A146C3"/>
    <w:rsid w:val="00A14714"/>
    <w:rsid w:val="00A1478F"/>
    <w:rsid w:val="00A14B4B"/>
    <w:rsid w:val="00A14EAE"/>
    <w:rsid w:val="00A153CE"/>
    <w:rsid w:val="00A15CBE"/>
    <w:rsid w:val="00A15F88"/>
    <w:rsid w:val="00A16022"/>
    <w:rsid w:val="00A16446"/>
    <w:rsid w:val="00A1687D"/>
    <w:rsid w:val="00A16AEE"/>
    <w:rsid w:val="00A16B15"/>
    <w:rsid w:val="00A16C1E"/>
    <w:rsid w:val="00A16DD8"/>
    <w:rsid w:val="00A16EE0"/>
    <w:rsid w:val="00A16F53"/>
    <w:rsid w:val="00A170DC"/>
    <w:rsid w:val="00A17364"/>
    <w:rsid w:val="00A177FD"/>
    <w:rsid w:val="00A17830"/>
    <w:rsid w:val="00A17A0B"/>
    <w:rsid w:val="00A17E97"/>
    <w:rsid w:val="00A17F09"/>
    <w:rsid w:val="00A2037C"/>
    <w:rsid w:val="00A20C06"/>
    <w:rsid w:val="00A21D1D"/>
    <w:rsid w:val="00A21DE6"/>
    <w:rsid w:val="00A224B4"/>
    <w:rsid w:val="00A2250A"/>
    <w:rsid w:val="00A227DA"/>
    <w:rsid w:val="00A22902"/>
    <w:rsid w:val="00A2306E"/>
    <w:rsid w:val="00A236E2"/>
    <w:rsid w:val="00A23727"/>
    <w:rsid w:val="00A23CCA"/>
    <w:rsid w:val="00A23E9D"/>
    <w:rsid w:val="00A24BD0"/>
    <w:rsid w:val="00A24D21"/>
    <w:rsid w:val="00A254F7"/>
    <w:rsid w:val="00A25BA0"/>
    <w:rsid w:val="00A25EAE"/>
    <w:rsid w:val="00A25F3A"/>
    <w:rsid w:val="00A26175"/>
    <w:rsid w:val="00A2638C"/>
    <w:rsid w:val="00A2673C"/>
    <w:rsid w:val="00A26B9C"/>
    <w:rsid w:val="00A27117"/>
    <w:rsid w:val="00A27320"/>
    <w:rsid w:val="00A277B5"/>
    <w:rsid w:val="00A2795C"/>
    <w:rsid w:val="00A27A75"/>
    <w:rsid w:val="00A27BD4"/>
    <w:rsid w:val="00A27DF5"/>
    <w:rsid w:val="00A301FA"/>
    <w:rsid w:val="00A303DD"/>
    <w:rsid w:val="00A30F0E"/>
    <w:rsid w:val="00A31026"/>
    <w:rsid w:val="00A311AE"/>
    <w:rsid w:val="00A31598"/>
    <w:rsid w:val="00A3162B"/>
    <w:rsid w:val="00A316E3"/>
    <w:rsid w:val="00A31EE2"/>
    <w:rsid w:val="00A321F4"/>
    <w:rsid w:val="00A32300"/>
    <w:rsid w:val="00A323C3"/>
    <w:rsid w:val="00A32B9B"/>
    <w:rsid w:val="00A32CBD"/>
    <w:rsid w:val="00A32E56"/>
    <w:rsid w:val="00A33173"/>
    <w:rsid w:val="00A3339D"/>
    <w:rsid w:val="00A33576"/>
    <w:rsid w:val="00A341E0"/>
    <w:rsid w:val="00A343AD"/>
    <w:rsid w:val="00A343D6"/>
    <w:rsid w:val="00A3441D"/>
    <w:rsid w:val="00A34441"/>
    <w:rsid w:val="00A34851"/>
    <w:rsid w:val="00A3486F"/>
    <w:rsid w:val="00A348AF"/>
    <w:rsid w:val="00A3495C"/>
    <w:rsid w:val="00A34D78"/>
    <w:rsid w:val="00A34F49"/>
    <w:rsid w:val="00A351B9"/>
    <w:rsid w:val="00A351F4"/>
    <w:rsid w:val="00A353DC"/>
    <w:rsid w:val="00A355DD"/>
    <w:rsid w:val="00A35656"/>
    <w:rsid w:val="00A35CAF"/>
    <w:rsid w:val="00A35F8F"/>
    <w:rsid w:val="00A36129"/>
    <w:rsid w:val="00A362BD"/>
    <w:rsid w:val="00A363E6"/>
    <w:rsid w:val="00A36484"/>
    <w:rsid w:val="00A36518"/>
    <w:rsid w:val="00A365DB"/>
    <w:rsid w:val="00A3689D"/>
    <w:rsid w:val="00A36FEC"/>
    <w:rsid w:val="00A37230"/>
    <w:rsid w:val="00A372BC"/>
    <w:rsid w:val="00A373CF"/>
    <w:rsid w:val="00A374A4"/>
    <w:rsid w:val="00A376DF"/>
    <w:rsid w:val="00A3777B"/>
    <w:rsid w:val="00A37862"/>
    <w:rsid w:val="00A37C97"/>
    <w:rsid w:val="00A401A0"/>
    <w:rsid w:val="00A40496"/>
    <w:rsid w:val="00A40701"/>
    <w:rsid w:val="00A4092A"/>
    <w:rsid w:val="00A41137"/>
    <w:rsid w:val="00A41438"/>
    <w:rsid w:val="00A415D7"/>
    <w:rsid w:val="00A4162E"/>
    <w:rsid w:val="00A416AF"/>
    <w:rsid w:val="00A41C54"/>
    <w:rsid w:val="00A41E73"/>
    <w:rsid w:val="00A4218A"/>
    <w:rsid w:val="00A42308"/>
    <w:rsid w:val="00A43176"/>
    <w:rsid w:val="00A434D5"/>
    <w:rsid w:val="00A43516"/>
    <w:rsid w:val="00A43869"/>
    <w:rsid w:val="00A43F67"/>
    <w:rsid w:val="00A44495"/>
    <w:rsid w:val="00A445B2"/>
    <w:rsid w:val="00A44BEC"/>
    <w:rsid w:val="00A44F62"/>
    <w:rsid w:val="00A45370"/>
    <w:rsid w:val="00A453C1"/>
    <w:rsid w:val="00A45696"/>
    <w:rsid w:val="00A45D2D"/>
    <w:rsid w:val="00A45E1E"/>
    <w:rsid w:val="00A46023"/>
    <w:rsid w:val="00A460EC"/>
    <w:rsid w:val="00A462A2"/>
    <w:rsid w:val="00A46405"/>
    <w:rsid w:val="00A4648D"/>
    <w:rsid w:val="00A46499"/>
    <w:rsid w:val="00A46550"/>
    <w:rsid w:val="00A465AD"/>
    <w:rsid w:val="00A46826"/>
    <w:rsid w:val="00A46D20"/>
    <w:rsid w:val="00A471B3"/>
    <w:rsid w:val="00A4782C"/>
    <w:rsid w:val="00A47EFC"/>
    <w:rsid w:val="00A50075"/>
    <w:rsid w:val="00A50541"/>
    <w:rsid w:val="00A50B15"/>
    <w:rsid w:val="00A50D04"/>
    <w:rsid w:val="00A50E6F"/>
    <w:rsid w:val="00A50ECC"/>
    <w:rsid w:val="00A50FB2"/>
    <w:rsid w:val="00A5123C"/>
    <w:rsid w:val="00A51502"/>
    <w:rsid w:val="00A51C78"/>
    <w:rsid w:val="00A51D47"/>
    <w:rsid w:val="00A5210F"/>
    <w:rsid w:val="00A523DE"/>
    <w:rsid w:val="00A52C1B"/>
    <w:rsid w:val="00A52CD8"/>
    <w:rsid w:val="00A52D40"/>
    <w:rsid w:val="00A532A7"/>
    <w:rsid w:val="00A532D3"/>
    <w:rsid w:val="00A53BD7"/>
    <w:rsid w:val="00A53D95"/>
    <w:rsid w:val="00A53E93"/>
    <w:rsid w:val="00A53F46"/>
    <w:rsid w:val="00A54366"/>
    <w:rsid w:val="00A544DA"/>
    <w:rsid w:val="00A54667"/>
    <w:rsid w:val="00A546E0"/>
    <w:rsid w:val="00A54872"/>
    <w:rsid w:val="00A5492E"/>
    <w:rsid w:val="00A54BBA"/>
    <w:rsid w:val="00A5509B"/>
    <w:rsid w:val="00A55348"/>
    <w:rsid w:val="00A55B83"/>
    <w:rsid w:val="00A55DE5"/>
    <w:rsid w:val="00A55EA2"/>
    <w:rsid w:val="00A55F73"/>
    <w:rsid w:val="00A565EC"/>
    <w:rsid w:val="00A567A5"/>
    <w:rsid w:val="00A56A44"/>
    <w:rsid w:val="00A56F53"/>
    <w:rsid w:val="00A575E1"/>
    <w:rsid w:val="00A5771E"/>
    <w:rsid w:val="00A57735"/>
    <w:rsid w:val="00A57AA7"/>
    <w:rsid w:val="00A57DF2"/>
    <w:rsid w:val="00A6013F"/>
    <w:rsid w:val="00A604E1"/>
    <w:rsid w:val="00A604E7"/>
    <w:rsid w:val="00A60776"/>
    <w:rsid w:val="00A607A0"/>
    <w:rsid w:val="00A609B2"/>
    <w:rsid w:val="00A609F0"/>
    <w:rsid w:val="00A609F7"/>
    <w:rsid w:val="00A60BE8"/>
    <w:rsid w:val="00A60E10"/>
    <w:rsid w:val="00A610FE"/>
    <w:rsid w:val="00A61493"/>
    <w:rsid w:val="00A61583"/>
    <w:rsid w:val="00A617C4"/>
    <w:rsid w:val="00A61BD5"/>
    <w:rsid w:val="00A61DF7"/>
    <w:rsid w:val="00A61EAD"/>
    <w:rsid w:val="00A61FDD"/>
    <w:rsid w:val="00A622F9"/>
    <w:rsid w:val="00A624E9"/>
    <w:rsid w:val="00A624EB"/>
    <w:rsid w:val="00A626C9"/>
    <w:rsid w:val="00A62A6A"/>
    <w:rsid w:val="00A62F7C"/>
    <w:rsid w:val="00A63207"/>
    <w:rsid w:val="00A63742"/>
    <w:rsid w:val="00A6391B"/>
    <w:rsid w:val="00A63BFA"/>
    <w:rsid w:val="00A63D60"/>
    <w:rsid w:val="00A64365"/>
    <w:rsid w:val="00A645FA"/>
    <w:rsid w:val="00A6470D"/>
    <w:rsid w:val="00A64731"/>
    <w:rsid w:val="00A647C4"/>
    <w:rsid w:val="00A659F7"/>
    <w:rsid w:val="00A65AEE"/>
    <w:rsid w:val="00A662A5"/>
    <w:rsid w:val="00A663AA"/>
    <w:rsid w:val="00A664C3"/>
    <w:rsid w:val="00A66610"/>
    <w:rsid w:val="00A66780"/>
    <w:rsid w:val="00A6697A"/>
    <w:rsid w:val="00A66A37"/>
    <w:rsid w:val="00A66D08"/>
    <w:rsid w:val="00A67036"/>
    <w:rsid w:val="00A6767A"/>
    <w:rsid w:val="00A67C37"/>
    <w:rsid w:val="00A67DD6"/>
    <w:rsid w:val="00A7014A"/>
    <w:rsid w:val="00A7038B"/>
    <w:rsid w:val="00A709E4"/>
    <w:rsid w:val="00A70B53"/>
    <w:rsid w:val="00A70D64"/>
    <w:rsid w:val="00A71090"/>
    <w:rsid w:val="00A711EC"/>
    <w:rsid w:val="00A712C6"/>
    <w:rsid w:val="00A713F2"/>
    <w:rsid w:val="00A7152C"/>
    <w:rsid w:val="00A7182B"/>
    <w:rsid w:val="00A71D8A"/>
    <w:rsid w:val="00A71FEC"/>
    <w:rsid w:val="00A722CE"/>
    <w:rsid w:val="00A723F4"/>
    <w:rsid w:val="00A724E5"/>
    <w:rsid w:val="00A728C8"/>
    <w:rsid w:val="00A729A7"/>
    <w:rsid w:val="00A72AF1"/>
    <w:rsid w:val="00A72C75"/>
    <w:rsid w:val="00A72D78"/>
    <w:rsid w:val="00A72DBF"/>
    <w:rsid w:val="00A7306F"/>
    <w:rsid w:val="00A735F1"/>
    <w:rsid w:val="00A7367E"/>
    <w:rsid w:val="00A73708"/>
    <w:rsid w:val="00A73D58"/>
    <w:rsid w:val="00A73E1A"/>
    <w:rsid w:val="00A741D0"/>
    <w:rsid w:val="00A747AC"/>
    <w:rsid w:val="00A747C9"/>
    <w:rsid w:val="00A74AA6"/>
    <w:rsid w:val="00A74C68"/>
    <w:rsid w:val="00A74CF2"/>
    <w:rsid w:val="00A74D21"/>
    <w:rsid w:val="00A74E2B"/>
    <w:rsid w:val="00A74E99"/>
    <w:rsid w:val="00A74F9B"/>
    <w:rsid w:val="00A7577D"/>
    <w:rsid w:val="00A75BBE"/>
    <w:rsid w:val="00A75CF7"/>
    <w:rsid w:val="00A75F19"/>
    <w:rsid w:val="00A76072"/>
    <w:rsid w:val="00A76379"/>
    <w:rsid w:val="00A763C1"/>
    <w:rsid w:val="00A76547"/>
    <w:rsid w:val="00A76DFF"/>
    <w:rsid w:val="00A76E44"/>
    <w:rsid w:val="00A7732F"/>
    <w:rsid w:val="00A774C1"/>
    <w:rsid w:val="00A77563"/>
    <w:rsid w:val="00A779F3"/>
    <w:rsid w:val="00A77DF3"/>
    <w:rsid w:val="00A8005B"/>
    <w:rsid w:val="00A80569"/>
    <w:rsid w:val="00A80A18"/>
    <w:rsid w:val="00A80ABD"/>
    <w:rsid w:val="00A80B23"/>
    <w:rsid w:val="00A814E8"/>
    <w:rsid w:val="00A81710"/>
    <w:rsid w:val="00A81A35"/>
    <w:rsid w:val="00A81BEA"/>
    <w:rsid w:val="00A81C9E"/>
    <w:rsid w:val="00A81F39"/>
    <w:rsid w:val="00A82342"/>
    <w:rsid w:val="00A82668"/>
    <w:rsid w:val="00A8271D"/>
    <w:rsid w:val="00A82B73"/>
    <w:rsid w:val="00A82DB1"/>
    <w:rsid w:val="00A82DC9"/>
    <w:rsid w:val="00A82DD3"/>
    <w:rsid w:val="00A82FB3"/>
    <w:rsid w:val="00A83A7D"/>
    <w:rsid w:val="00A84014"/>
    <w:rsid w:val="00A846A2"/>
    <w:rsid w:val="00A847DB"/>
    <w:rsid w:val="00A84A32"/>
    <w:rsid w:val="00A853D0"/>
    <w:rsid w:val="00A85C14"/>
    <w:rsid w:val="00A85E90"/>
    <w:rsid w:val="00A860B5"/>
    <w:rsid w:val="00A86D14"/>
    <w:rsid w:val="00A86D86"/>
    <w:rsid w:val="00A871A3"/>
    <w:rsid w:val="00A87A44"/>
    <w:rsid w:val="00A900B3"/>
    <w:rsid w:val="00A9010F"/>
    <w:rsid w:val="00A9031A"/>
    <w:rsid w:val="00A906BF"/>
    <w:rsid w:val="00A90A9A"/>
    <w:rsid w:val="00A910AA"/>
    <w:rsid w:val="00A910E3"/>
    <w:rsid w:val="00A911F0"/>
    <w:rsid w:val="00A9136B"/>
    <w:rsid w:val="00A914BC"/>
    <w:rsid w:val="00A917BF"/>
    <w:rsid w:val="00A91D35"/>
    <w:rsid w:val="00A91E72"/>
    <w:rsid w:val="00A92361"/>
    <w:rsid w:val="00A92539"/>
    <w:rsid w:val="00A92682"/>
    <w:rsid w:val="00A92AC7"/>
    <w:rsid w:val="00A92B93"/>
    <w:rsid w:val="00A92F1C"/>
    <w:rsid w:val="00A9319A"/>
    <w:rsid w:val="00A936D9"/>
    <w:rsid w:val="00A93786"/>
    <w:rsid w:val="00A937B1"/>
    <w:rsid w:val="00A938E3"/>
    <w:rsid w:val="00A9407C"/>
    <w:rsid w:val="00A941B5"/>
    <w:rsid w:val="00A947E5"/>
    <w:rsid w:val="00A94821"/>
    <w:rsid w:val="00A94A9B"/>
    <w:rsid w:val="00A94AEB"/>
    <w:rsid w:val="00A9504A"/>
    <w:rsid w:val="00A952E3"/>
    <w:rsid w:val="00A954B7"/>
    <w:rsid w:val="00A956E0"/>
    <w:rsid w:val="00A95D11"/>
    <w:rsid w:val="00A95FD7"/>
    <w:rsid w:val="00A966A6"/>
    <w:rsid w:val="00A96804"/>
    <w:rsid w:val="00A96A63"/>
    <w:rsid w:val="00A96C04"/>
    <w:rsid w:val="00A96C8E"/>
    <w:rsid w:val="00A97216"/>
    <w:rsid w:val="00A9739B"/>
    <w:rsid w:val="00A976CA"/>
    <w:rsid w:val="00A977A4"/>
    <w:rsid w:val="00A979E4"/>
    <w:rsid w:val="00A97CE8"/>
    <w:rsid w:val="00A97D45"/>
    <w:rsid w:val="00AA0509"/>
    <w:rsid w:val="00AA0665"/>
    <w:rsid w:val="00AA10EF"/>
    <w:rsid w:val="00AA1215"/>
    <w:rsid w:val="00AA1412"/>
    <w:rsid w:val="00AA1866"/>
    <w:rsid w:val="00AA192E"/>
    <w:rsid w:val="00AA1D75"/>
    <w:rsid w:val="00AA211E"/>
    <w:rsid w:val="00AA2ECC"/>
    <w:rsid w:val="00AA3869"/>
    <w:rsid w:val="00AA38AC"/>
    <w:rsid w:val="00AA3AC3"/>
    <w:rsid w:val="00AA3B84"/>
    <w:rsid w:val="00AA3EFD"/>
    <w:rsid w:val="00AA4621"/>
    <w:rsid w:val="00AA4680"/>
    <w:rsid w:val="00AA50CA"/>
    <w:rsid w:val="00AA538D"/>
    <w:rsid w:val="00AA56BD"/>
    <w:rsid w:val="00AA5989"/>
    <w:rsid w:val="00AA59F0"/>
    <w:rsid w:val="00AA5C69"/>
    <w:rsid w:val="00AA63C4"/>
    <w:rsid w:val="00AA6757"/>
    <w:rsid w:val="00AA6B1D"/>
    <w:rsid w:val="00AA76E0"/>
    <w:rsid w:val="00AA787E"/>
    <w:rsid w:val="00AB00E5"/>
    <w:rsid w:val="00AB0155"/>
    <w:rsid w:val="00AB0394"/>
    <w:rsid w:val="00AB06BD"/>
    <w:rsid w:val="00AB06D9"/>
    <w:rsid w:val="00AB0921"/>
    <w:rsid w:val="00AB0AFA"/>
    <w:rsid w:val="00AB0B96"/>
    <w:rsid w:val="00AB0C23"/>
    <w:rsid w:val="00AB0D99"/>
    <w:rsid w:val="00AB0E78"/>
    <w:rsid w:val="00AB1127"/>
    <w:rsid w:val="00AB12AF"/>
    <w:rsid w:val="00AB12D8"/>
    <w:rsid w:val="00AB1633"/>
    <w:rsid w:val="00AB1B2E"/>
    <w:rsid w:val="00AB1B9A"/>
    <w:rsid w:val="00AB1BEB"/>
    <w:rsid w:val="00AB1D9E"/>
    <w:rsid w:val="00AB1DF7"/>
    <w:rsid w:val="00AB2081"/>
    <w:rsid w:val="00AB20A8"/>
    <w:rsid w:val="00AB2217"/>
    <w:rsid w:val="00AB23D3"/>
    <w:rsid w:val="00AB25A4"/>
    <w:rsid w:val="00AB2986"/>
    <w:rsid w:val="00AB2C61"/>
    <w:rsid w:val="00AB2C66"/>
    <w:rsid w:val="00AB2DF0"/>
    <w:rsid w:val="00AB37A9"/>
    <w:rsid w:val="00AB3B71"/>
    <w:rsid w:val="00AB3CE3"/>
    <w:rsid w:val="00AB42BE"/>
    <w:rsid w:val="00AB43CD"/>
    <w:rsid w:val="00AB45F1"/>
    <w:rsid w:val="00AB4B71"/>
    <w:rsid w:val="00AB4BFC"/>
    <w:rsid w:val="00AB4E1F"/>
    <w:rsid w:val="00AB4E3B"/>
    <w:rsid w:val="00AB4E4E"/>
    <w:rsid w:val="00AB4F85"/>
    <w:rsid w:val="00AB5581"/>
    <w:rsid w:val="00AB55D3"/>
    <w:rsid w:val="00AB57E7"/>
    <w:rsid w:val="00AB5852"/>
    <w:rsid w:val="00AB586E"/>
    <w:rsid w:val="00AB5B3A"/>
    <w:rsid w:val="00AB5C1D"/>
    <w:rsid w:val="00AB5E8A"/>
    <w:rsid w:val="00AB5FA6"/>
    <w:rsid w:val="00AB60D6"/>
    <w:rsid w:val="00AB65BD"/>
    <w:rsid w:val="00AB6733"/>
    <w:rsid w:val="00AB67D5"/>
    <w:rsid w:val="00AB699D"/>
    <w:rsid w:val="00AB6CB9"/>
    <w:rsid w:val="00AB6F6D"/>
    <w:rsid w:val="00AB7033"/>
    <w:rsid w:val="00AB798D"/>
    <w:rsid w:val="00AB7CD0"/>
    <w:rsid w:val="00AB7FCB"/>
    <w:rsid w:val="00AC063E"/>
    <w:rsid w:val="00AC09DF"/>
    <w:rsid w:val="00AC0EC0"/>
    <w:rsid w:val="00AC10C4"/>
    <w:rsid w:val="00AC1208"/>
    <w:rsid w:val="00AC172C"/>
    <w:rsid w:val="00AC17DD"/>
    <w:rsid w:val="00AC182D"/>
    <w:rsid w:val="00AC1A40"/>
    <w:rsid w:val="00AC290B"/>
    <w:rsid w:val="00AC2A13"/>
    <w:rsid w:val="00AC2AFE"/>
    <w:rsid w:val="00AC39E3"/>
    <w:rsid w:val="00AC3B30"/>
    <w:rsid w:val="00AC4508"/>
    <w:rsid w:val="00AC4595"/>
    <w:rsid w:val="00AC47B0"/>
    <w:rsid w:val="00AC47D6"/>
    <w:rsid w:val="00AC4E34"/>
    <w:rsid w:val="00AC4F8C"/>
    <w:rsid w:val="00AC50DB"/>
    <w:rsid w:val="00AC5267"/>
    <w:rsid w:val="00AC5AA3"/>
    <w:rsid w:val="00AC61C4"/>
    <w:rsid w:val="00AC73AD"/>
    <w:rsid w:val="00AC73C6"/>
    <w:rsid w:val="00AC7A03"/>
    <w:rsid w:val="00AC7AD5"/>
    <w:rsid w:val="00AC7B9E"/>
    <w:rsid w:val="00AC7CCF"/>
    <w:rsid w:val="00AD02A5"/>
    <w:rsid w:val="00AD053C"/>
    <w:rsid w:val="00AD05CE"/>
    <w:rsid w:val="00AD068A"/>
    <w:rsid w:val="00AD0925"/>
    <w:rsid w:val="00AD0D6C"/>
    <w:rsid w:val="00AD0E4C"/>
    <w:rsid w:val="00AD0FB5"/>
    <w:rsid w:val="00AD115E"/>
    <w:rsid w:val="00AD1285"/>
    <w:rsid w:val="00AD1308"/>
    <w:rsid w:val="00AD15AC"/>
    <w:rsid w:val="00AD185B"/>
    <w:rsid w:val="00AD185F"/>
    <w:rsid w:val="00AD18DA"/>
    <w:rsid w:val="00AD1A10"/>
    <w:rsid w:val="00AD21B7"/>
    <w:rsid w:val="00AD21D0"/>
    <w:rsid w:val="00AD2CB2"/>
    <w:rsid w:val="00AD2F8E"/>
    <w:rsid w:val="00AD3226"/>
    <w:rsid w:val="00AD3228"/>
    <w:rsid w:val="00AD322B"/>
    <w:rsid w:val="00AD32D2"/>
    <w:rsid w:val="00AD3AC0"/>
    <w:rsid w:val="00AD4124"/>
    <w:rsid w:val="00AD412C"/>
    <w:rsid w:val="00AD4215"/>
    <w:rsid w:val="00AD4824"/>
    <w:rsid w:val="00AD4FC1"/>
    <w:rsid w:val="00AD5BED"/>
    <w:rsid w:val="00AD5F57"/>
    <w:rsid w:val="00AD6676"/>
    <w:rsid w:val="00AD6698"/>
    <w:rsid w:val="00AD682D"/>
    <w:rsid w:val="00AD6ED8"/>
    <w:rsid w:val="00AD708D"/>
    <w:rsid w:val="00AD7378"/>
    <w:rsid w:val="00AD7914"/>
    <w:rsid w:val="00AD7967"/>
    <w:rsid w:val="00AD79DA"/>
    <w:rsid w:val="00AD7CEE"/>
    <w:rsid w:val="00AE023E"/>
    <w:rsid w:val="00AE024D"/>
    <w:rsid w:val="00AE029A"/>
    <w:rsid w:val="00AE0368"/>
    <w:rsid w:val="00AE053F"/>
    <w:rsid w:val="00AE07E3"/>
    <w:rsid w:val="00AE084C"/>
    <w:rsid w:val="00AE08EA"/>
    <w:rsid w:val="00AE0B19"/>
    <w:rsid w:val="00AE0B79"/>
    <w:rsid w:val="00AE0B82"/>
    <w:rsid w:val="00AE0BDB"/>
    <w:rsid w:val="00AE0F81"/>
    <w:rsid w:val="00AE14D4"/>
    <w:rsid w:val="00AE2164"/>
    <w:rsid w:val="00AE231F"/>
    <w:rsid w:val="00AE2AA5"/>
    <w:rsid w:val="00AE2DCE"/>
    <w:rsid w:val="00AE2EA6"/>
    <w:rsid w:val="00AE35E5"/>
    <w:rsid w:val="00AE3E9C"/>
    <w:rsid w:val="00AE3FBA"/>
    <w:rsid w:val="00AE4054"/>
    <w:rsid w:val="00AE4117"/>
    <w:rsid w:val="00AE4326"/>
    <w:rsid w:val="00AE435C"/>
    <w:rsid w:val="00AE4CC4"/>
    <w:rsid w:val="00AE5BD4"/>
    <w:rsid w:val="00AE65D3"/>
    <w:rsid w:val="00AE6702"/>
    <w:rsid w:val="00AE6764"/>
    <w:rsid w:val="00AE6D02"/>
    <w:rsid w:val="00AE6F2F"/>
    <w:rsid w:val="00AE6F8F"/>
    <w:rsid w:val="00AE7408"/>
    <w:rsid w:val="00AE7733"/>
    <w:rsid w:val="00AE77B8"/>
    <w:rsid w:val="00AE77DC"/>
    <w:rsid w:val="00AE79E4"/>
    <w:rsid w:val="00AE7F13"/>
    <w:rsid w:val="00AF01C1"/>
    <w:rsid w:val="00AF046F"/>
    <w:rsid w:val="00AF0720"/>
    <w:rsid w:val="00AF075F"/>
    <w:rsid w:val="00AF0AB0"/>
    <w:rsid w:val="00AF0DAE"/>
    <w:rsid w:val="00AF0E02"/>
    <w:rsid w:val="00AF0EE7"/>
    <w:rsid w:val="00AF1363"/>
    <w:rsid w:val="00AF14B9"/>
    <w:rsid w:val="00AF14E4"/>
    <w:rsid w:val="00AF1925"/>
    <w:rsid w:val="00AF196D"/>
    <w:rsid w:val="00AF19F2"/>
    <w:rsid w:val="00AF19F4"/>
    <w:rsid w:val="00AF1BFF"/>
    <w:rsid w:val="00AF1D9D"/>
    <w:rsid w:val="00AF2902"/>
    <w:rsid w:val="00AF2AA8"/>
    <w:rsid w:val="00AF2D5B"/>
    <w:rsid w:val="00AF2E79"/>
    <w:rsid w:val="00AF2E91"/>
    <w:rsid w:val="00AF2FDD"/>
    <w:rsid w:val="00AF349A"/>
    <w:rsid w:val="00AF3507"/>
    <w:rsid w:val="00AF3C7E"/>
    <w:rsid w:val="00AF48F1"/>
    <w:rsid w:val="00AF49DB"/>
    <w:rsid w:val="00AF4D01"/>
    <w:rsid w:val="00AF4E73"/>
    <w:rsid w:val="00AF5367"/>
    <w:rsid w:val="00AF552F"/>
    <w:rsid w:val="00AF555E"/>
    <w:rsid w:val="00AF5843"/>
    <w:rsid w:val="00AF5A0E"/>
    <w:rsid w:val="00AF5AE8"/>
    <w:rsid w:val="00AF5B29"/>
    <w:rsid w:val="00AF5B3B"/>
    <w:rsid w:val="00AF5CA3"/>
    <w:rsid w:val="00AF5CFF"/>
    <w:rsid w:val="00AF60B7"/>
    <w:rsid w:val="00AF60BF"/>
    <w:rsid w:val="00AF63A1"/>
    <w:rsid w:val="00AF65A2"/>
    <w:rsid w:val="00AF6AC8"/>
    <w:rsid w:val="00AF6B6D"/>
    <w:rsid w:val="00AF6CB0"/>
    <w:rsid w:val="00AF7771"/>
    <w:rsid w:val="00AF78D2"/>
    <w:rsid w:val="00AF7EE6"/>
    <w:rsid w:val="00B002A1"/>
    <w:rsid w:val="00B00543"/>
    <w:rsid w:val="00B00659"/>
    <w:rsid w:val="00B00B26"/>
    <w:rsid w:val="00B00C43"/>
    <w:rsid w:val="00B010C2"/>
    <w:rsid w:val="00B01756"/>
    <w:rsid w:val="00B01765"/>
    <w:rsid w:val="00B017FA"/>
    <w:rsid w:val="00B0191A"/>
    <w:rsid w:val="00B019FC"/>
    <w:rsid w:val="00B01C02"/>
    <w:rsid w:val="00B01CC8"/>
    <w:rsid w:val="00B03206"/>
    <w:rsid w:val="00B03313"/>
    <w:rsid w:val="00B03471"/>
    <w:rsid w:val="00B03B03"/>
    <w:rsid w:val="00B0405E"/>
    <w:rsid w:val="00B04339"/>
    <w:rsid w:val="00B04364"/>
    <w:rsid w:val="00B044B6"/>
    <w:rsid w:val="00B047C7"/>
    <w:rsid w:val="00B049C5"/>
    <w:rsid w:val="00B0501E"/>
    <w:rsid w:val="00B05096"/>
    <w:rsid w:val="00B050FB"/>
    <w:rsid w:val="00B051EF"/>
    <w:rsid w:val="00B056AB"/>
    <w:rsid w:val="00B05A14"/>
    <w:rsid w:val="00B05ABA"/>
    <w:rsid w:val="00B06189"/>
    <w:rsid w:val="00B0624D"/>
    <w:rsid w:val="00B06403"/>
    <w:rsid w:val="00B06430"/>
    <w:rsid w:val="00B066A7"/>
    <w:rsid w:val="00B06C6C"/>
    <w:rsid w:val="00B06D90"/>
    <w:rsid w:val="00B06E0F"/>
    <w:rsid w:val="00B06FB3"/>
    <w:rsid w:val="00B0709E"/>
    <w:rsid w:val="00B07211"/>
    <w:rsid w:val="00B07283"/>
    <w:rsid w:val="00B07900"/>
    <w:rsid w:val="00B07941"/>
    <w:rsid w:val="00B1023C"/>
    <w:rsid w:val="00B10440"/>
    <w:rsid w:val="00B1066E"/>
    <w:rsid w:val="00B10826"/>
    <w:rsid w:val="00B11025"/>
    <w:rsid w:val="00B1186F"/>
    <w:rsid w:val="00B11BC5"/>
    <w:rsid w:val="00B1202A"/>
    <w:rsid w:val="00B1253E"/>
    <w:rsid w:val="00B12591"/>
    <w:rsid w:val="00B12AD9"/>
    <w:rsid w:val="00B12F45"/>
    <w:rsid w:val="00B13937"/>
    <w:rsid w:val="00B13BCD"/>
    <w:rsid w:val="00B13BF9"/>
    <w:rsid w:val="00B13E8F"/>
    <w:rsid w:val="00B14500"/>
    <w:rsid w:val="00B145C0"/>
    <w:rsid w:val="00B146F7"/>
    <w:rsid w:val="00B1482E"/>
    <w:rsid w:val="00B1499E"/>
    <w:rsid w:val="00B14A15"/>
    <w:rsid w:val="00B15117"/>
    <w:rsid w:val="00B1549D"/>
    <w:rsid w:val="00B15725"/>
    <w:rsid w:val="00B15B35"/>
    <w:rsid w:val="00B16142"/>
    <w:rsid w:val="00B168F7"/>
    <w:rsid w:val="00B16B32"/>
    <w:rsid w:val="00B16DB1"/>
    <w:rsid w:val="00B16F17"/>
    <w:rsid w:val="00B1732C"/>
    <w:rsid w:val="00B17A0A"/>
    <w:rsid w:val="00B17B45"/>
    <w:rsid w:val="00B17BD1"/>
    <w:rsid w:val="00B17BF1"/>
    <w:rsid w:val="00B17FA1"/>
    <w:rsid w:val="00B202D3"/>
    <w:rsid w:val="00B202EE"/>
    <w:rsid w:val="00B2054B"/>
    <w:rsid w:val="00B2058E"/>
    <w:rsid w:val="00B207F5"/>
    <w:rsid w:val="00B209DB"/>
    <w:rsid w:val="00B20C3A"/>
    <w:rsid w:val="00B2156D"/>
    <w:rsid w:val="00B21685"/>
    <w:rsid w:val="00B21B13"/>
    <w:rsid w:val="00B21B29"/>
    <w:rsid w:val="00B21DF8"/>
    <w:rsid w:val="00B21E66"/>
    <w:rsid w:val="00B21F2B"/>
    <w:rsid w:val="00B21FE2"/>
    <w:rsid w:val="00B22383"/>
    <w:rsid w:val="00B22A13"/>
    <w:rsid w:val="00B22A27"/>
    <w:rsid w:val="00B22AAD"/>
    <w:rsid w:val="00B2310B"/>
    <w:rsid w:val="00B23148"/>
    <w:rsid w:val="00B23488"/>
    <w:rsid w:val="00B23644"/>
    <w:rsid w:val="00B236A7"/>
    <w:rsid w:val="00B23816"/>
    <w:rsid w:val="00B2390D"/>
    <w:rsid w:val="00B23BF9"/>
    <w:rsid w:val="00B24013"/>
    <w:rsid w:val="00B24207"/>
    <w:rsid w:val="00B24482"/>
    <w:rsid w:val="00B24817"/>
    <w:rsid w:val="00B2484D"/>
    <w:rsid w:val="00B24949"/>
    <w:rsid w:val="00B24A2A"/>
    <w:rsid w:val="00B24C5A"/>
    <w:rsid w:val="00B24DD7"/>
    <w:rsid w:val="00B25286"/>
    <w:rsid w:val="00B252FE"/>
    <w:rsid w:val="00B254FB"/>
    <w:rsid w:val="00B25816"/>
    <w:rsid w:val="00B25B82"/>
    <w:rsid w:val="00B26079"/>
    <w:rsid w:val="00B263BC"/>
    <w:rsid w:val="00B2667B"/>
    <w:rsid w:val="00B272B1"/>
    <w:rsid w:val="00B274D5"/>
    <w:rsid w:val="00B2754D"/>
    <w:rsid w:val="00B27A9A"/>
    <w:rsid w:val="00B30364"/>
    <w:rsid w:val="00B30606"/>
    <w:rsid w:val="00B309EC"/>
    <w:rsid w:val="00B30C8A"/>
    <w:rsid w:val="00B30C97"/>
    <w:rsid w:val="00B30D26"/>
    <w:rsid w:val="00B30D46"/>
    <w:rsid w:val="00B30DB6"/>
    <w:rsid w:val="00B30ED8"/>
    <w:rsid w:val="00B314CD"/>
    <w:rsid w:val="00B319DB"/>
    <w:rsid w:val="00B31A3B"/>
    <w:rsid w:val="00B31C8B"/>
    <w:rsid w:val="00B32198"/>
    <w:rsid w:val="00B32282"/>
    <w:rsid w:val="00B323E3"/>
    <w:rsid w:val="00B32534"/>
    <w:rsid w:val="00B328F5"/>
    <w:rsid w:val="00B32BC2"/>
    <w:rsid w:val="00B32DC4"/>
    <w:rsid w:val="00B32DC8"/>
    <w:rsid w:val="00B32EB7"/>
    <w:rsid w:val="00B33801"/>
    <w:rsid w:val="00B33F48"/>
    <w:rsid w:val="00B34385"/>
    <w:rsid w:val="00B3439B"/>
    <w:rsid w:val="00B345DD"/>
    <w:rsid w:val="00B34E7D"/>
    <w:rsid w:val="00B34FD3"/>
    <w:rsid w:val="00B3505D"/>
    <w:rsid w:val="00B359F4"/>
    <w:rsid w:val="00B35A38"/>
    <w:rsid w:val="00B36277"/>
    <w:rsid w:val="00B3700E"/>
    <w:rsid w:val="00B37073"/>
    <w:rsid w:val="00B37448"/>
    <w:rsid w:val="00B3769D"/>
    <w:rsid w:val="00B37E37"/>
    <w:rsid w:val="00B401D7"/>
    <w:rsid w:val="00B4029F"/>
    <w:rsid w:val="00B4069E"/>
    <w:rsid w:val="00B40BCB"/>
    <w:rsid w:val="00B40DDC"/>
    <w:rsid w:val="00B40DEE"/>
    <w:rsid w:val="00B40E85"/>
    <w:rsid w:val="00B416E8"/>
    <w:rsid w:val="00B41726"/>
    <w:rsid w:val="00B418DA"/>
    <w:rsid w:val="00B41C99"/>
    <w:rsid w:val="00B41EAE"/>
    <w:rsid w:val="00B41F5E"/>
    <w:rsid w:val="00B41F89"/>
    <w:rsid w:val="00B41FAF"/>
    <w:rsid w:val="00B41FF4"/>
    <w:rsid w:val="00B42C20"/>
    <w:rsid w:val="00B438FC"/>
    <w:rsid w:val="00B43B4B"/>
    <w:rsid w:val="00B44380"/>
    <w:rsid w:val="00B4447F"/>
    <w:rsid w:val="00B445DD"/>
    <w:rsid w:val="00B447C9"/>
    <w:rsid w:val="00B453DA"/>
    <w:rsid w:val="00B454EE"/>
    <w:rsid w:val="00B4580C"/>
    <w:rsid w:val="00B45C69"/>
    <w:rsid w:val="00B4613F"/>
    <w:rsid w:val="00B46750"/>
    <w:rsid w:val="00B4685B"/>
    <w:rsid w:val="00B46A92"/>
    <w:rsid w:val="00B46AB3"/>
    <w:rsid w:val="00B477FA"/>
    <w:rsid w:val="00B47A33"/>
    <w:rsid w:val="00B47BB3"/>
    <w:rsid w:val="00B47E89"/>
    <w:rsid w:val="00B47FEF"/>
    <w:rsid w:val="00B50299"/>
    <w:rsid w:val="00B50597"/>
    <w:rsid w:val="00B50D35"/>
    <w:rsid w:val="00B50E4F"/>
    <w:rsid w:val="00B50F99"/>
    <w:rsid w:val="00B511C9"/>
    <w:rsid w:val="00B51201"/>
    <w:rsid w:val="00B51511"/>
    <w:rsid w:val="00B516B9"/>
    <w:rsid w:val="00B517E2"/>
    <w:rsid w:val="00B51C26"/>
    <w:rsid w:val="00B51FD1"/>
    <w:rsid w:val="00B5236A"/>
    <w:rsid w:val="00B52519"/>
    <w:rsid w:val="00B52533"/>
    <w:rsid w:val="00B525CD"/>
    <w:rsid w:val="00B528E5"/>
    <w:rsid w:val="00B528F0"/>
    <w:rsid w:val="00B52C36"/>
    <w:rsid w:val="00B52FC5"/>
    <w:rsid w:val="00B53176"/>
    <w:rsid w:val="00B5326B"/>
    <w:rsid w:val="00B533AF"/>
    <w:rsid w:val="00B53660"/>
    <w:rsid w:val="00B53CCB"/>
    <w:rsid w:val="00B54204"/>
    <w:rsid w:val="00B543D9"/>
    <w:rsid w:val="00B546B2"/>
    <w:rsid w:val="00B5481A"/>
    <w:rsid w:val="00B54996"/>
    <w:rsid w:val="00B54A5A"/>
    <w:rsid w:val="00B54F98"/>
    <w:rsid w:val="00B55233"/>
    <w:rsid w:val="00B55410"/>
    <w:rsid w:val="00B55B11"/>
    <w:rsid w:val="00B55C0E"/>
    <w:rsid w:val="00B55D8E"/>
    <w:rsid w:val="00B5640F"/>
    <w:rsid w:val="00B5647E"/>
    <w:rsid w:val="00B56764"/>
    <w:rsid w:val="00B56C05"/>
    <w:rsid w:val="00B56EE5"/>
    <w:rsid w:val="00B572F4"/>
    <w:rsid w:val="00B57934"/>
    <w:rsid w:val="00B57CBB"/>
    <w:rsid w:val="00B57ECE"/>
    <w:rsid w:val="00B60005"/>
    <w:rsid w:val="00B60014"/>
    <w:rsid w:val="00B6001B"/>
    <w:rsid w:val="00B600E5"/>
    <w:rsid w:val="00B60217"/>
    <w:rsid w:val="00B6037A"/>
    <w:rsid w:val="00B606F5"/>
    <w:rsid w:val="00B60A20"/>
    <w:rsid w:val="00B60A5C"/>
    <w:rsid w:val="00B60C82"/>
    <w:rsid w:val="00B60C9A"/>
    <w:rsid w:val="00B60DD3"/>
    <w:rsid w:val="00B60F79"/>
    <w:rsid w:val="00B61BF1"/>
    <w:rsid w:val="00B61C86"/>
    <w:rsid w:val="00B61EAC"/>
    <w:rsid w:val="00B62246"/>
    <w:rsid w:val="00B624E8"/>
    <w:rsid w:val="00B62837"/>
    <w:rsid w:val="00B62E37"/>
    <w:rsid w:val="00B63042"/>
    <w:rsid w:val="00B63892"/>
    <w:rsid w:val="00B63AC9"/>
    <w:rsid w:val="00B63B38"/>
    <w:rsid w:val="00B63D71"/>
    <w:rsid w:val="00B64145"/>
    <w:rsid w:val="00B6438F"/>
    <w:rsid w:val="00B647BB"/>
    <w:rsid w:val="00B64E2C"/>
    <w:rsid w:val="00B64EF0"/>
    <w:rsid w:val="00B64F22"/>
    <w:rsid w:val="00B64F91"/>
    <w:rsid w:val="00B650F4"/>
    <w:rsid w:val="00B65413"/>
    <w:rsid w:val="00B654A9"/>
    <w:rsid w:val="00B65708"/>
    <w:rsid w:val="00B657B5"/>
    <w:rsid w:val="00B65D56"/>
    <w:rsid w:val="00B661C7"/>
    <w:rsid w:val="00B6623D"/>
    <w:rsid w:val="00B66318"/>
    <w:rsid w:val="00B663AA"/>
    <w:rsid w:val="00B66645"/>
    <w:rsid w:val="00B66665"/>
    <w:rsid w:val="00B66847"/>
    <w:rsid w:val="00B66A62"/>
    <w:rsid w:val="00B66B7C"/>
    <w:rsid w:val="00B66DEA"/>
    <w:rsid w:val="00B66E32"/>
    <w:rsid w:val="00B66F6A"/>
    <w:rsid w:val="00B66FB9"/>
    <w:rsid w:val="00B67183"/>
    <w:rsid w:val="00B6719E"/>
    <w:rsid w:val="00B6731B"/>
    <w:rsid w:val="00B67485"/>
    <w:rsid w:val="00B67841"/>
    <w:rsid w:val="00B678AD"/>
    <w:rsid w:val="00B67BE4"/>
    <w:rsid w:val="00B67C21"/>
    <w:rsid w:val="00B67C8E"/>
    <w:rsid w:val="00B701BC"/>
    <w:rsid w:val="00B704FF"/>
    <w:rsid w:val="00B70848"/>
    <w:rsid w:val="00B708AF"/>
    <w:rsid w:val="00B70A1D"/>
    <w:rsid w:val="00B70A70"/>
    <w:rsid w:val="00B71046"/>
    <w:rsid w:val="00B71320"/>
    <w:rsid w:val="00B714D5"/>
    <w:rsid w:val="00B714F9"/>
    <w:rsid w:val="00B71684"/>
    <w:rsid w:val="00B718D3"/>
    <w:rsid w:val="00B71A2F"/>
    <w:rsid w:val="00B71D5F"/>
    <w:rsid w:val="00B71D9D"/>
    <w:rsid w:val="00B71F65"/>
    <w:rsid w:val="00B71FF7"/>
    <w:rsid w:val="00B72253"/>
    <w:rsid w:val="00B7230B"/>
    <w:rsid w:val="00B723CE"/>
    <w:rsid w:val="00B72439"/>
    <w:rsid w:val="00B72543"/>
    <w:rsid w:val="00B7274F"/>
    <w:rsid w:val="00B72FA8"/>
    <w:rsid w:val="00B72FCC"/>
    <w:rsid w:val="00B734AB"/>
    <w:rsid w:val="00B734FA"/>
    <w:rsid w:val="00B736CB"/>
    <w:rsid w:val="00B739D4"/>
    <w:rsid w:val="00B73EEA"/>
    <w:rsid w:val="00B7481A"/>
    <w:rsid w:val="00B748CE"/>
    <w:rsid w:val="00B749FA"/>
    <w:rsid w:val="00B74EC0"/>
    <w:rsid w:val="00B7532E"/>
    <w:rsid w:val="00B7569D"/>
    <w:rsid w:val="00B758D7"/>
    <w:rsid w:val="00B767B2"/>
    <w:rsid w:val="00B7683A"/>
    <w:rsid w:val="00B768B3"/>
    <w:rsid w:val="00B76A13"/>
    <w:rsid w:val="00B76E23"/>
    <w:rsid w:val="00B76E31"/>
    <w:rsid w:val="00B77206"/>
    <w:rsid w:val="00B7733E"/>
    <w:rsid w:val="00B77428"/>
    <w:rsid w:val="00B7752C"/>
    <w:rsid w:val="00B776AD"/>
    <w:rsid w:val="00B77B6A"/>
    <w:rsid w:val="00B77BCB"/>
    <w:rsid w:val="00B80186"/>
    <w:rsid w:val="00B80271"/>
    <w:rsid w:val="00B80283"/>
    <w:rsid w:val="00B8066B"/>
    <w:rsid w:val="00B806C5"/>
    <w:rsid w:val="00B80D8C"/>
    <w:rsid w:val="00B811F2"/>
    <w:rsid w:val="00B816F1"/>
    <w:rsid w:val="00B8179B"/>
    <w:rsid w:val="00B81AE1"/>
    <w:rsid w:val="00B8236F"/>
    <w:rsid w:val="00B82446"/>
    <w:rsid w:val="00B8253E"/>
    <w:rsid w:val="00B82673"/>
    <w:rsid w:val="00B82AF0"/>
    <w:rsid w:val="00B83121"/>
    <w:rsid w:val="00B83592"/>
    <w:rsid w:val="00B83ABA"/>
    <w:rsid w:val="00B83C3F"/>
    <w:rsid w:val="00B83C9B"/>
    <w:rsid w:val="00B83E2F"/>
    <w:rsid w:val="00B84477"/>
    <w:rsid w:val="00B84598"/>
    <w:rsid w:val="00B845F0"/>
    <w:rsid w:val="00B84786"/>
    <w:rsid w:val="00B847BB"/>
    <w:rsid w:val="00B847D2"/>
    <w:rsid w:val="00B848FB"/>
    <w:rsid w:val="00B84A7B"/>
    <w:rsid w:val="00B850CF"/>
    <w:rsid w:val="00B850E0"/>
    <w:rsid w:val="00B8533A"/>
    <w:rsid w:val="00B8533C"/>
    <w:rsid w:val="00B854FE"/>
    <w:rsid w:val="00B859F9"/>
    <w:rsid w:val="00B85F39"/>
    <w:rsid w:val="00B860B0"/>
    <w:rsid w:val="00B86213"/>
    <w:rsid w:val="00B86517"/>
    <w:rsid w:val="00B865C4"/>
    <w:rsid w:val="00B87035"/>
    <w:rsid w:val="00B87291"/>
    <w:rsid w:val="00B876ED"/>
    <w:rsid w:val="00B87E27"/>
    <w:rsid w:val="00B9063D"/>
    <w:rsid w:val="00B90707"/>
    <w:rsid w:val="00B9074C"/>
    <w:rsid w:val="00B90AE7"/>
    <w:rsid w:val="00B90C59"/>
    <w:rsid w:val="00B91071"/>
    <w:rsid w:val="00B91189"/>
    <w:rsid w:val="00B9131E"/>
    <w:rsid w:val="00B9149D"/>
    <w:rsid w:val="00B918B9"/>
    <w:rsid w:val="00B9191D"/>
    <w:rsid w:val="00B91955"/>
    <w:rsid w:val="00B919DE"/>
    <w:rsid w:val="00B91BF2"/>
    <w:rsid w:val="00B92093"/>
    <w:rsid w:val="00B928A4"/>
    <w:rsid w:val="00B92D7E"/>
    <w:rsid w:val="00B93050"/>
    <w:rsid w:val="00B933E0"/>
    <w:rsid w:val="00B93477"/>
    <w:rsid w:val="00B938B9"/>
    <w:rsid w:val="00B93B28"/>
    <w:rsid w:val="00B93DFE"/>
    <w:rsid w:val="00B94067"/>
    <w:rsid w:val="00B940E8"/>
    <w:rsid w:val="00B94433"/>
    <w:rsid w:val="00B94500"/>
    <w:rsid w:val="00B948C5"/>
    <w:rsid w:val="00B949E3"/>
    <w:rsid w:val="00B94A1E"/>
    <w:rsid w:val="00B95052"/>
    <w:rsid w:val="00B953C2"/>
    <w:rsid w:val="00B953DB"/>
    <w:rsid w:val="00B955BA"/>
    <w:rsid w:val="00B957A3"/>
    <w:rsid w:val="00B95800"/>
    <w:rsid w:val="00B9588F"/>
    <w:rsid w:val="00B958FF"/>
    <w:rsid w:val="00B959A1"/>
    <w:rsid w:val="00B95A76"/>
    <w:rsid w:val="00B960E8"/>
    <w:rsid w:val="00B96214"/>
    <w:rsid w:val="00B96382"/>
    <w:rsid w:val="00B96594"/>
    <w:rsid w:val="00B9694E"/>
    <w:rsid w:val="00B96C73"/>
    <w:rsid w:val="00B96C91"/>
    <w:rsid w:val="00B96F56"/>
    <w:rsid w:val="00B9771B"/>
    <w:rsid w:val="00BA01F2"/>
    <w:rsid w:val="00BA050E"/>
    <w:rsid w:val="00BA086B"/>
    <w:rsid w:val="00BA0B0A"/>
    <w:rsid w:val="00BA0B2B"/>
    <w:rsid w:val="00BA0B46"/>
    <w:rsid w:val="00BA0CEA"/>
    <w:rsid w:val="00BA0D10"/>
    <w:rsid w:val="00BA0D99"/>
    <w:rsid w:val="00BA0E37"/>
    <w:rsid w:val="00BA0FC8"/>
    <w:rsid w:val="00BA1010"/>
    <w:rsid w:val="00BA109A"/>
    <w:rsid w:val="00BA10B7"/>
    <w:rsid w:val="00BA10F6"/>
    <w:rsid w:val="00BA1549"/>
    <w:rsid w:val="00BA17E0"/>
    <w:rsid w:val="00BA1B70"/>
    <w:rsid w:val="00BA2240"/>
    <w:rsid w:val="00BA2633"/>
    <w:rsid w:val="00BA27C2"/>
    <w:rsid w:val="00BA2A69"/>
    <w:rsid w:val="00BA2DBC"/>
    <w:rsid w:val="00BA3030"/>
    <w:rsid w:val="00BA3430"/>
    <w:rsid w:val="00BA358F"/>
    <w:rsid w:val="00BA35E1"/>
    <w:rsid w:val="00BA42D1"/>
    <w:rsid w:val="00BA4AF7"/>
    <w:rsid w:val="00BA4BBF"/>
    <w:rsid w:val="00BA4E47"/>
    <w:rsid w:val="00BA4E95"/>
    <w:rsid w:val="00BA5002"/>
    <w:rsid w:val="00BA50A7"/>
    <w:rsid w:val="00BA51EE"/>
    <w:rsid w:val="00BA5F1E"/>
    <w:rsid w:val="00BA601F"/>
    <w:rsid w:val="00BA64BB"/>
    <w:rsid w:val="00BA6701"/>
    <w:rsid w:val="00BA67EF"/>
    <w:rsid w:val="00BA6E8A"/>
    <w:rsid w:val="00BA6F97"/>
    <w:rsid w:val="00BA7466"/>
    <w:rsid w:val="00BA783A"/>
    <w:rsid w:val="00BB0370"/>
    <w:rsid w:val="00BB0D6E"/>
    <w:rsid w:val="00BB0E0E"/>
    <w:rsid w:val="00BB133D"/>
    <w:rsid w:val="00BB176B"/>
    <w:rsid w:val="00BB184B"/>
    <w:rsid w:val="00BB1B8E"/>
    <w:rsid w:val="00BB1C5B"/>
    <w:rsid w:val="00BB1DF6"/>
    <w:rsid w:val="00BB2433"/>
    <w:rsid w:val="00BB276A"/>
    <w:rsid w:val="00BB28A5"/>
    <w:rsid w:val="00BB2E9E"/>
    <w:rsid w:val="00BB3210"/>
    <w:rsid w:val="00BB32EE"/>
    <w:rsid w:val="00BB3829"/>
    <w:rsid w:val="00BB392F"/>
    <w:rsid w:val="00BB3BBF"/>
    <w:rsid w:val="00BB4204"/>
    <w:rsid w:val="00BB454B"/>
    <w:rsid w:val="00BB4685"/>
    <w:rsid w:val="00BB4B72"/>
    <w:rsid w:val="00BB520B"/>
    <w:rsid w:val="00BB5467"/>
    <w:rsid w:val="00BB5977"/>
    <w:rsid w:val="00BB5A4D"/>
    <w:rsid w:val="00BB5B30"/>
    <w:rsid w:val="00BB5BF7"/>
    <w:rsid w:val="00BB638B"/>
    <w:rsid w:val="00BB6EF3"/>
    <w:rsid w:val="00BB7187"/>
    <w:rsid w:val="00BB72D4"/>
    <w:rsid w:val="00BB74C4"/>
    <w:rsid w:val="00BB7993"/>
    <w:rsid w:val="00BB7ED5"/>
    <w:rsid w:val="00BB7F20"/>
    <w:rsid w:val="00BC01FE"/>
    <w:rsid w:val="00BC07E5"/>
    <w:rsid w:val="00BC093F"/>
    <w:rsid w:val="00BC1372"/>
    <w:rsid w:val="00BC16B3"/>
    <w:rsid w:val="00BC1A65"/>
    <w:rsid w:val="00BC1B42"/>
    <w:rsid w:val="00BC1F6E"/>
    <w:rsid w:val="00BC2135"/>
    <w:rsid w:val="00BC2226"/>
    <w:rsid w:val="00BC256D"/>
    <w:rsid w:val="00BC2B7F"/>
    <w:rsid w:val="00BC303D"/>
    <w:rsid w:val="00BC3198"/>
    <w:rsid w:val="00BC3259"/>
    <w:rsid w:val="00BC3751"/>
    <w:rsid w:val="00BC37C6"/>
    <w:rsid w:val="00BC38B0"/>
    <w:rsid w:val="00BC3B50"/>
    <w:rsid w:val="00BC3FB3"/>
    <w:rsid w:val="00BC412E"/>
    <w:rsid w:val="00BC4764"/>
    <w:rsid w:val="00BC4904"/>
    <w:rsid w:val="00BC5052"/>
    <w:rsid w:val="00BC5597"/>
    <w:rsid w:val="00BC56D8"/>
    <w:rsid w:val="00BC5BA6"/>
    <w:rsid w:val="00BC5FBC"/>
    <w:rsid w:val="00BC61CF"/>
    <w:rsid w:val="00BC636C"/>
    <w:rsid w:val="00BC689B"/>
    <w:rsid w:val="00BC6926"/>
    <w:rsid w:val="00BC6977"/>
    <w:rsid w:val="00BC6E8D"/>
    <w:rsid w:val="00BC7245"/>
    <w:rsid w:val="00BC7762"/>
    <w:rsid w:val="00BC7952"/>
    <w:rsid w:val="00BC7B5F"/>
    <w:rsid w:val="00BC7E73"/>
    <w:rsid w:val="00BC7FA9"/>
    <w:rsid w:val="00BD052A"/>
    <w:rsid w:val="00BD052C"/>
    <w:rsid w:val="00BD0590"/>
    <w:rsid w:val="00BD0AFF"/>
    <w:rsid w:val="00BD15AD"/>
    <w:rsid w:val="00BD175D"/>
    <w:rsid w:val="00BD1786"/>
    <w:rsid w:val="00BD1806"/>
    <w:rsid w:val="00BD18B2"/>
    <w:rsid w:val="00BD1A0F"/>
    <w:rsid w:val="00BD1C8F"/>
    <w:rsid w:val="00BD1E7B"/>
    <w:rsid w:val="00BD2189"/>
    <w:rsid w:val="00BD2597"/>
    <w:rsid w:val="00BD283B"/>
    <w:rsid w:val="00BD2842"/>
    <w:rsid w:val="00BD29D6"/>
    <w:rsid w:val="00BD2AC6"/>
    <w:rsid w:val="00BD2B57"/>
    <w:rsid w:val="00BD2E06"/>
    <w:rsid w:val="00BD32DA"/>
    <w:rsid w:val="00BD367D"/>
    <w:rsid w:val="00BD379F"/>
    <w:rsid w:val="00BD3A4E"/>
    <w:rsid w:val="00BD3FD1"/>
    <w:rsid w:val="00BD43CE"/>
    <w:rsid w:val="00BD44FA"/>
    <w:rsid w:val="00BD475D"/>
    <w:rsid w:val="00BD4E76"/>
    <w:rsid w:val="00BD52A9"/>
    <w:rsid w:val="00BD5395"/>
    <w:rsid w:val="00BD5E8F"/>
    <w:rsid w:val="00BD5FEB"/>
    <w:rsid w:val="00BD617C"/>
    <w:rsid w:val="00BD61DE"/>
    <w:rsid w:val="00BD69A2"/>
    <w:rsid w:val="00BD6D73"/>
    <w:rsid w:val="00BD6E4E"/>
    <w:rsid w:val="00BD6F60"/>
    <w:rsid w:val="00BD6FEE"/>
    <w:rsid w:val="00BD7387"/>
    <w:rsid w:val="00BD7AE8"/>
    <w:rsid w:val="00BD7B88"/>
    <w:rsid w:val="00BD7BBD"/>
    <w:rsid w:val="00BD7C55"/>
    <w:rsid w:val="00BD7F1E"/>
    <w:rsid w:val="00BE002A"/>
    <w:rsid w:val="00BE067D"/>
    <w:rsid w:val="00BE0A0E"/>
    <w:rsid w:val="00BE0B68"/>
    <w:rsid w:val="00BE112D"/>
    <w:rsid w:val="00BE1A33"/>
    <w:rsid w:val="00BE1BD6"/>
    <w:rsid w:val="00BE2003"/>
    <w:rsid w:val="00BE220D"/>
    <w:rsid w:val="00BE2212"/>
    <w:rsid w:val="00BE238C"/>
    <w:rsid w:val="00BE2516"/>
    <w:rsid w:val="00BE2768"/>
    <w:rsid w:val="00BE2E31"/>
    <w:rsid w:val="00BE2F54"/>
    <w:rsid w:val="00BE32B4"/>
    <w:rsid w:val="00BE3319"/>
    <w:rsid w:val="00BE3421"/>
    <w:rsid w:val="00BE3C63"/>
    <w:rsid w:val="00BE3ED5"/>
    <w:rsid w:val="00BE4217"/>
    <w:rsid w:val="00BE48BF"/>
    <w:rsid w:val="00BE4AC9"/>
    <w:rsid w:val="00BE4B14"/>
    <w:rsid w:val="00BE5031"/>
    <w:rsid w:val="00BE5042"/>
    <w:rsid w:val="00BE5313"/>
    <w:rsid w:val="00BE5351"/>
    <w:rsid w:val="00BE552D"/>
    <w:rsid w:val="00BE560F"/>
    <w:rsid w:val="00BE57D9"/>
    <w:rsid w:val="00BE58E5"/>
    <w:rsid w:val="00BE5A12"/>
    <w:rsid w:val="00BE5BDB"/>
    <w:rsid w:val="00BE5DA5"/>
    <w:rsid w:val="00BE5DC0"/>
    <w:rsid w:val="00BE684B"/>
    <w:rsid w:val="00BE693A"/>
    <w:rsid w:val="00BE6C43"/>
    <w:rsid w:val="00BE6C79"/>
    <w:rsid w:val="00BE7127"/>
    <w:rsid w:val="00BE72BC"/>
    <w:rsid w:val="00BE77FF"/>
    <w:rsid w:val="00BE7A74"/>
    <w:rsid w:val="00BE7B0A"/>
    <w:rsid w:val="00BE7C2E"/>
    <w:rsid w:val="00BE7DA2"/>
    <w:rsid w:val="00BF09DC"/>
    <w:rsid w:val="00BF0B15"/>
    <w:rsid w:val="00BF0D95"/>
    <w:rsid w:val="00BF0DC4"/>
    <w:rsid w:val="00BF0F94"/>
    <w:rsid w:val="00BF136A"/>
    <w:rsid w:val="00BF140C"/>
    <w:rsid w:val="00BF151F"/>
    <w:rsid w:val="00BF1856"/>
    <w:rsid w:val="00BF18EE"/>
    <w:rsid w:val="00BF19A2"/>
    <w:rsid w:val="00BF1C8B"/>
    <w:rsid w:val="00BF1EEE"/>
    <w:rsid w:val="00BF2055"/>
    <w:rsid w:val="00BF22A4"/>
    <w:rsid w:val="00BF2A58"/>
    <w:rsid w:val="00BF2D38"/>
    <w:rsid w:val="00BF3147"/>
    <w:rsid w:val="00BF33F2"/>
    <w:rsid w:val="00BF3441"/>
    <w:rsid w:val="00BF417B"/>
    <w:rsid w:val="00BF4233"/>
    <w:rsid w:val="00BF4A0F"/>
    <w:rsid w:val="00BF4A1A"/>
    <w:rsid w:val="00BF4ABC"/>
    <w:rsid w:val="00BF4C0B"/>
    <w:rsid w:val="00BF4F1F"/>
    <w:rsid w:val="00BF5199"/>
    <w:rsid w:val="00BF5443"/>
    <w:rsid w:val="00BF57AA"/>
    <w:rsid w:val="00BF59D1"/>
    <w:rsid w:val="00BF6334"/>
    <w:rsid w:val="00BF63C6"/>
    <w:rsid w:val="00BF6621"/>
    <w:rsid w:val="00BF6682"/>
    <w:rsid w:val="00BF690F"/>
    <w:rsid w:val="00BF6A53"/>
    <w:rsid w:val="00BF6AD3"/>
    <w:rsid w:val="00BF6BA2"/>
    <w:rsid w:val="00BF73A7"/>
    <w:rsid w:val="00BF7CB1"/>
    <w:rsid w:val="00BF7D0D"/>
    <w:rsid w:val="00C00870"/>
    <w:rsid w:val="00C009BB"/>
    <w:rsid w:val="00C0107E"/>
    <w:rsid w:val="00C0159E"/>
    <w:rsid w:val="00C0162B"/>
    <w:rsid w:val="00C02088"/>
    <w:rsid w:val="00C0236D"/>
    <w:rsid w:val="00C02436"/>
    <w:rsid w:val="00C0259D"/>
    <w:rsid w:val="00C026C7"/>
    <w:rsid w:val="00C0276A"/>
    <w:rsid w:val="00C027CB"/>
    <w:rsid w:val="00C02FF1"/>
    <w:rsid w:val="00C03258"/>
    <w:rsid w:val="00C03592"/>
    <w:rsid w:val="00C03A04"/>
    <w:rsid w:val="00C03A24"/>
    <w:rsid w:val="00C03AA1"/>
    <w:rsid w:val="00C03D47"/>
    <w:rsid w:val="00C04198"/>
    <w:rsid w:val="00C04399"/>
    <w:rsid w:val="00C04676"/>
    <w:rsid w:val="00C04752"/>
    <w:rsid w:val="00C04F10"/>
    <w:rsid w:val="00C04FF6"/>
    <w:rsid w:val="00C0518C"/>
    <w:rsid w:val="00C05230"/>
    <w:rsid w:val="00C05934"/>
    <w:rsid w:val="00C05F55"/>
    <w:rsid w:val="00C06030"/>
    <w:rsid w:val="00C061DC"/>
    <w:rsid w:val="00C062E6"/>
    <w:rsid w:val="00C06416"/>
    <w:rsid w:val="00C067F4"/>
    <w:rsid w:val="00C068F6"/>
    <w:rsid w:val="00C06A57"/>
    <w:rsid w:val="00C06B7E"/>
    <w:rsid w:val="00C06D5F"/>
    <w:rsid w:val="00C06E78"/>
    <w:rsid w:val="00C06F12"/>
    <w:rsid w:val="00C07CCC"/>
    <w:rsid w:val="00C07EA4"/>
    <w:rsid w:val="00C101A3"/>
    <w:rsid w:val="00C101DA"/>
    <w:rsid w:val="00C10502"/>
    <w:rsid w:val="00C10567"/>
    <w:rsid w:val="00C10835"/>
    <w:rsid w:val="00C10C6E"/>
    <w:rsid w:val="00C11101"/>
    <w:rsid w:val="00C111A5"/>
    <w:rsid w:val="00C11293"/>
    <w:rsid w:val="00C11607"/>
    <w:rsid w:val="00C119F4"/>
    <w:rsid w:val="00C11C34"/>
    <w:rsid w:val="00C11F06"/>
    <w:rsid w:val="00C11F97"/>
    <w:rsid w:val="00C1248D"/>
    <w:rsid w:val="00C1288F"/>
    <w:rsid w:val="00C129B0"/>
    <w:rsid w:val="00C12AAF"/>
    <w:rsid w:val="00C12E2C"/>
    <w:rsid w:val="00C132B3"/>
    <w:rsid w:val="00C13533"/>
    <w:rsid w:val="00C1397E"/>
    <w:rsid w:val="00C1399E"/>
    <w:rsid w:val="00C139B3"/>
    <w:rsid w:val="00C14175"/>
    <w:rsid w:val="00C1468D"/>
    <w:rsid w:val="00C14714"/>
    <w:rsid w:val="00C14DD9"/>
    <w:rsid w:val="00C14E3A"/>
    <w:rsid w:val="00C150E4"/>
    <w:rsid w:val="00C15542"/>
    <w:rsid w:val="00C157DF"/>
    <w:rsid w:val="00C1585A"/>
    <w:rsid w:val="00C15BC4"/>
    <w:rsid w:val="00C15C7A"/>
    <w:rsid w:val="00C15CA0"/>
    <w:rsid w:val="00C16564"/>
    <w:rsid w:val="00C16620"/>
    <w:rsid w:val="00C16DE3"/>
    <w:rsid w:val="00C171E2"/>
    <w:rsid w:val="00C17414"/>
    <w:rsid w:val="00C17967"/>
    <w:rsid w:val="00C17AF8"/>
    <w:rsid w:val="00C2006D"/>
    <w:rsid w:val="00C206BA"/>
    <w:rsid w:val="00C20728"/>
    <w:rsid w:val="00C2092B"/>
    <w:rsid w:val="00C2095E"/>
    <w:rsid w:val="00C20A60"/>
    <w:rsid w:val="00C20BB4"/>
    <w:rsid w:val="00C20D96"/>
    <w:rsid w:val="00C20ECE"/>
    <w:rsid w:val="00C20F1E"/>
    <w:rsid w:val="00C2128E"/>
    <w:rsid w:val="00C21512"/>
    <w:rsid w:val="00C21768"/>
    <w:rsid w:val="00C21CB3"/>
    <w:rsid w:val="00C21D7E"/>
    <w:rsid w:val="00C21FF0"/>
    <w:rsid w:val="00C22214"/>
    <w:rsid w:val="00C222DD"/>
    <w:rsid w:val="00C225E7"/>
    <w:rsid w:val="00C22667"/>
    <w:rsid w:val="00C228DF"/>
    <w:rsid w:val="00C22E43"/>
    <w:rsid w:val="00C22F38"/>
    <w:rsid w:val="00C2316E"/>
    <w:rsid w:val="00C23230"/>
    <w:rsid w:val="00C23D9C"/>
    <w:rsid w:val="00C24397"/>
    <w:rsid w:val="00C244D8"/>
    <w:rsid w:val="00C2458C"/>
    <w:rsid w:val="00C24638"/>
    <w:rsid w:val="00C247BF"/>
    <w:rsid w:val="00C24803"/>
    <w:rsid w:val="00C2516E"/>
    <w:rsid w:val="00C25492"/>
    <w:rsid w:val="00C257E5"/>
    <w:rsid w:val="00C25943"/>
    <w:rsid w:val="00C25CE0"/>
    <w:rsid w:val="00C25CF0"/>
    <w:rsid w:val="00C260EF"/>
    <w:rsid w:val="00C26412"/>
    <w:rsid w:val="00C265ED"/>
    <w:rsid w:val="00C2663C"/>
    <w:rsid w:val="00C2670E"/>
    <w:rsid w:val="00C26779"/>
    <w:rsid w:val="00C268C7"/>
    <w:rsid w:val="00C26954"/>
    <w:rsid w:val="00C26F74"/>
    <w:rsid w:val="00C273E9"/>
    <w:rsid w:val="00C27533"/>
    <w:rsid w:val="00C27848"/>
    <w:rsid w:val="00C27D1C"/>
    <w:rsid w:val="00C27D91"/>
    <w:rsid w:val="00C27E9F"/>
    <w:rsid w:val="00C30192"/>
    <w:rsid w:val="00C304EF"/>
    <w:rsid w:val="00C306D8"/>
    <w:rsid w:val="00C3080E"/>
    <w:rsid w:val="00C30A36"/>
    <w:rsid w:val="00C30AA6"/>
    <w:rsid w:val="00C3100F"/>
    <w:rsid w:val="00C31232"/>
    <w:rsid w:val="00C31256"/>
    <w:rsid w:val="00C3145C"/>
    <w:rsid w:val="00C314D0"/>
    <w:rsid w:val="00C315B6"/>
    <w:rsid w:val="00C31753"/>
    <w:rsid w:val="00C31913"/>
    <w:rsid w:val="00C319C1"/>
    <w:rsid w:val="00C31C33"/>
    <w:rsid w:val="00C31F0A"/>
    <w:rsid w:val="00C3204D"/>
    <w:rsid w:val="00C320CD"/>
    <w:rsid w:val="00C3213F"/>
    <w:rsid w:val="00C32259"/>
    <w:rsid w:val="00C323AE"/>
    <w:rsid w:val="00C32830"/>
    <w:rsid w:val="00C32839"/>
    <w:rsid w:val="00C328A5"/>
    <w:rsid w:val="00C3299C"/>
    <w:rsid w:val="00C33B0C"/>
    <w:rsid w:val="00C33CE3"/>
    <w:rsid w:val="00C33CF9"/>
    <w:rsid w:val="00C33F1F"/>
    <w:rsid w:val="00C33F54"/>
    <w:rsid w:val="00C3404E"/>
    <w:rsid w:val="00C344D4"/>
    <w:rsid w:val="00C345B8"/>
    <w:rsid w:val="00C34825"/>
    <w:rsid w:val="00C34910"/>
    <w:rsid w:val="00C34B04"/>
    <w:rsid w:val="00C34B63"/>
    <w:rsid w:val="00C358FE"/>
    <w:rsid w:val="00C35975"/>
    <w:rsid w:val="00C35B95"/>
    <w:rsid w:val="00C35CDA"/>
    <w:rsid w:val="00C35D30"/>
    <w:rsid w:val="00C36201"/>
    <w:rsid w:val="00C36C30"/>
    <w:rsid w:val="00C36D0B"/>
    <w:rsid w:val="00C36E11"/>
    <w:rsid w:val="00C37102"/>
    <w:rsid w:val="00C374A4"/>
    <w:rsid w:val="00C3769F"/>
    <w:rsid w:val="00C37774"/>
    <w:rsid w:val="00C378D3"/>
    <w:rsid w:val="00C37C5A"/>
    <w:rsid w:val="00C37CAF"/>
    <w:rsid w:val="00C40242"/>
    <w:rsid w:val="00C4024D"/>
    <w:rsid w:val="00C405F5"/>
    <w:rsid w:val="00C40B36"/>
    <w:rsid w:val="00C410A1"/>
    <w:rsid w:val="00C41393"/>
    <w:rsid w:val="00C41647"/>
    <w:rsid w:val="00C41D4E"/>
    <w:rsid w:val="00C424EA"/>
    <w:rsid w:val="00C42914"/>
    <w:rsid w:val="00C429B0"/>
    <w:rsid w:val="00C42E28"/>
    <w:rsid w:val="00C4351D"/>
    <w:rsid w:val="00C43629"/>
    <w:rsid w:val="00C439B7"/>
    <w:rsid w:val="00C43F13"/>
    <w:rsid w:val="00C44265"/>
    <w:rsid w:val="00C444C0"/>
    <w:rsid w:val="00C44968"/>
    <w:rsid w:val="00C44A7A"/>
    <w:rsid w:val="00C44FA9"/>
    <w:rsid w:val="00C454AC"/>
    <w:rsid w:val="00C4574C"/>
    <w:rsid w:val="00C45C50"/>
    <w:rsid w:val="00C45F37"/>
    <w:rsid w:val="00C45FBA"/>
    <w:rsid w:val="00C46115"/>
    <w:rsid w:val="00C4612C"/>
    <w:rsid w:val="00C4649F"/>
    <w:rsid w:val="00C4671A"/>
    <w:rsid w:val="00C46AA6"/>
    <w:rsid w:val="00C46BEE"/>
    <w:rsid w:val="00C4709C"/>
    <w:rsid w:val="00C47218"/>
    <w:rsid w:val="00C4781A"/>
    <w:rsid w:val="00C4789D"/>
    <w:rsid w:val="00C479DB"/>
    <w:rsid w:val="00C47E2E"/>
    <w:rsid w:val="00C501DA"/>
    <w:rsid w:val="00C50353"/>
    <w:rsid w:val="00C506CD"/>
    <w:rsid w:val="00C50A87"/>
    <w:rsid w:val="00C50DFC"/>
    <w:rsid w:val="00C5122A"/>
    <w:rsid w:val="00C513AF"/>
    <w:rsid w:val="00C51E5E"/>
    <w:rsid w:val="00C522C2"/>
    <w:rsid w:val="00C523E0"/>
    <w:rsid w:val="00C5272A"/>
    <w:rsid w:val="00C52A65"/>
    <w:rsid w:val="00C52BCF"/>
    <w:rsid w:val="00C52DF1"/>
    <w:rsid w:val="00C534A7"/>
    <w:rsid w:val="00C53AC7"/>
    <w:rsid w:val="00C540D3"/>
    <w:rsid w:val="00C549E0"/>
    <w:rsid w:val="00C54A84"/>
    <w:rsid w:val="00C54BDB"/>
    <w:rsid w:val="00C551E8"/>
    <w:rsid w:val="00C5547A"/>
    <w:rsid w:val="00C558C3"/>
    <w:rsid w:val="00C56140"/>
    <w:rsid w:val="00C5628C"/>
    <w:rsid w:val="00C56462"/>
    <w:rsid w:val="00C565EE"/>
    <w:rsid w:val="00C567FE"/>
    <w:rsid w:val="00C569D5"/>
    <w:rsid w:val="00C56C54"/>
    <w:rsid w:val="00C570F9"/>
    <w:rsid w:val="00C571B2"/>
    <w:rsid w:val="00C57257"/>
    <w:rsid w:val="00C573CF"/>
    <w:rsid w:val="00C57C77"/>
    <w:rsid w:val="00C57FC3"/>
    <w:rsid w:val="00C6000B"/>
    <w:rsid w:val="00C603AE"/>
    <w:rsid w:val="00C60478"/>
    <w:rsid w:val="00C609AA"/>
    <w:rsid w:val="00C60CE4"/>
    <w:rsid w:val="00C61366"/>
    <w:rsid w:val="00C61581"/>
    <w:rsid w:val="00C618FD"/>
    <w:rsid w:val="00C61DC9"/>
    <w:rsid w:val="00C61E97"/>
    <w:rsid w:val="00C62078"/>
    <w:rsid w:val="00C6214D"/>
    <w:rsid w:val="00C62587"/>
    <w:rsid w:val="00C6268B"/>
    <w:rsid w:val="00C62FBD"/>
    <w:rsid w:val="00C63116"/>
    <w:rsid w:val="00C63201"/>
    <w:rsid w:val="00C63BB5"/>
    <w:rsid w:val="00C63CAD"/>
    <w:rsid w:val="00C64133"/>
    <w:rsid w:val="00C641E7"/>
    <w:rsid w:val="00C64397"/>
    <w:rsid w:val="00C645F1"/>
    <w:rsid w:val="00C64B92"/>
    <w:rsid w:val="00C64EC1"/>
    <w:rsid w:val="00C64F55"/>
    <w:rsid w:val="00C652C8"/>
    <w:rsid w:val="00C653E6"/>
    <w:rsid w:val="00C6554D"/>
    <w:rsid w:val="00C65670"/>
    <w:rsid w:val="00C65C90"/>
    <w:rsid w:val="00C65C9E"/>
    <w:rsid w:val="00C65D6E"/>
    <w:rsid w:val="00C65DD7"/>
    <w:rsid w:val="00C66025"/>
    <w:rsid w:val="00C660C0"/>
    <w:rsid w:val="00C66115"/>
    <w:rsid w:val="00C667B7"/>
    <w:rsid w:val="00C669C2"/>
    <w:rsid w:val="00C66B62"/>
    <w:rsid w:val="00C66C0A"/>
    <w:rsid w:val="00C66D3E"/>
    <w:rsid w:val="00C66F56"/>
    <w:rsid w:val="00C67180"/>
    <w:rsid w:val="00C67228"/>
    <w:rsid w:val="00C67332"/>
    <w:rsid w:val="00C676B4"/>
    <w:rsid w:val="00C67E1F"/>
    <w:rsid w:val="00C70280"/>
    <w:rsid w:val="00C70973"/>
    <w:rsid w:val="00C70CBE"/>
    <w:rsid w:val="00C710D6"/>
    <w:rsid w:val="00C71146"/>
    <w:rsid w:val="00C7137A"/>
    <w:rsid w:val="00C71713"/>
    <w:rsid w:val="00C71996"/>
    <w:rsid w:val="00C729F9"/>
    <w:rsid w:val="00C7303E"/>
    <w:rsid w:val="00C739E8"/>
    <w:rsid w:val="00C73D0E"/>
    <w:rsid w:val="00C73D6F"/>
    <w:rsid w:val="00C73E9D"/>
    <w:rsid w:val="00C743EC"/>
    <w:rsid w:val="00C74462"/>
    <w:rsid w:val="00C744F2"/>
    <w:rsid w:val="00C746DD"/>
    <w:rsid w:val="00C74F14"/>
    <w:rsid w:val="00C750FA"/>
    <w:rsid w:val="00C758D6"/>
    <w:rsid w:val="00C75BCF"/>
    <w:rsid w:val="00C76793"/>
    <w:rsid w:val="00C768C3"/>
    <w:rsid w:val="00C7696C"/>
    <w:rsid w:val="00C76BDA"/>
    <w:rsid w:val="00C773BA"/>
    <w:rsid w:val="00C77BF4"/>
    <w:rsid w:val="00C77F24"/>
    <w:rsid w:val="00C801B7"/>
    <w:rsid w:val="00C80828"/>
    <w:rsid w:val="00C80EBE"/>
    <w:rsid w:val="00C810D6"/>
    <w:rsid w:val="00C81B2E"/>
    <w:rsid w:val="00C8235F"/>
    <w:rsid w:val="00C82E15"/>
    <w:rsid w:val="00C83342"/>
    <w:rsid w:val="00C8352D"/>
    <w:rsid w:val="00C8357A"/>
    <w:rsid w:val="00C8362E"/>
    <w:rsid w:val="00C838D6"/>
    <w:rsid w:val="00C83B16"/>
    <w:rsid w:val="00C83B85"/>
    <w:rsid w:val="00C8429A"/>
    <w:rsid w:val="00C843F6"/>
    <w:rsid w:val="00C845B7"/>
    <w:rsid w:val="00C84639"/>
    <w:rsid w:val="00C84791"/>
    <w:rsid w:val="00C84818"/>
    <w:rsid w:val="00C84C59"/>
    <w:rsid w:val="00C84C69"/>
    <w:rsid w:val="00C84DB1"/>
    <w:rsid w:val="00C854A9"/>
    <w:rsid w:val="00C85604"/>
    <w:rsid w:val="00C85BD8"/>
    <w:rsid w:val="00C85D8B"/>
    <w:rsid w:val="00C85DF8"/>
    <w:rsid w:val="00C8611D"/>
    <w:rsid w:val="00C865AB"/>
    <w:rsid w:val="00C86784"/>
    <w:rsid w:val="00C86BB8"/>
    <w:rsid w:val="00C86ECB"/>
    <w:rsid w:val="00C87041"/>
    <w:rsid w:val="00C8730B"/>
    <w:rsid w:val="00C875C8"/>
    <w:rsid w:val="00C876A2"/>
    <w:rsid w:val="00C87773"/>
    <w:rsid w:val="00C87915"/>
    <w:rsid w:val="00C87CC7"/>
    <w:rsid w:val="00C87EEB"/>
    <w:rsid w:val="00C900FB"/>
    <w:rsid w:val="00C9023B"/>
    <w:rsid w:val="00C902F3"/>
    <w:rsid w:val="00C905AA"/>
    <w:rsid w:val="00C90932"/>
    <w:rsid w:val="00C90993"/>
    <w:rsid w:val="00C90D1E"/>
    <w:rsid w:val="00C9117E"/>
    <w:rsid w:val="00C91184"/>
    <w:rsid w:val="00C911C2"/>
    <w:rsid w:val="00C9129F"/>
    <w:rsid w:val="00C91392"/>
    <w:rsid w:val="00C914F5"/>
    <w:rsid w:val="00C91A7C"/>
    <w:rsid w:val="00C91AFD"/>
    <w:rsid w:val="00C91B5C"/>
    <w:rsid w:val="00C91B95"/>
    <w:rsid w:val="00C91CA4"/>
    <w:rsid w:val="00C91F80"/>
    <w:rsid w:val="00C920EB"/>
    <w:rsid w:val="00C923A2"/>
    <w:rsid w:val="00C924D5"/>
    <w:rsid w:val="00C9302A"/>
    <w:rsid w:val="00C93BD7"/>
    <w:rsid w:val="00C93F7B"/>
    <w:rsid w:val="00C9401D"/>
    <w:rsid w:val="00C942D3"/>
    <w:rsid w:val="00C94555"/>
    <w:rsid w:val="00C948CC"/>
    <w:rsid w:val="00C94913"/>
    <w:rsid w:val="00C94B0F"/>
    <w:rsid w:val="00C94B15"/>
    <w:rsid w:val="00C9506E"/>
    <w:rsid w:val="00C9522C"/>
    <w:rsid w:val="00C95831"/>
    <w:rsid w:val="00C95CCD"/>
    <w:rsid w:val="00C963DC"/>
    <w:rsid w:val="00C965C2"/>
    <w:rsid w:val="00C9686C"/>
    <w:rsid w:val="00C96AA0"/>
    <w:rsid w:val="00C96BBE"/>
    <w:rsid w:val="00C96BCA"/>
    <w:rsid w:val="00C96F5A"/>
    <w:rsid w:val="00C97421"/>
    <w:rsid w:val="00C974CA"/>
    <w:rsid w:val="00C97502"/>
    <w:rsid w:val="00C97C89"/>
    <w:rsid w:val="00CA0D6E"/>
    <w:rsid w:val="00CA1434"/>
    <w:rsid w:val="00CA162A"/>
    <w:rsid w:val="00CA1971"/>
    <w:rsid w:val="00CA215B"/>
    <w:rsid w:val="00CA23AB"/>
    <w:rsid w:val="00CA29A0"/>
    <w:rsid w:val="00CA2D45"/>
    <w:rsid w:val="00CA2EBD"/>
    <w:rsid w:val="00CA34E1"/>
    <w:rsid w:val="00CA389A"/>
    <w:rsid w:val="00CA3984"/>
    <w:rsid w:val="00CA39FD"/>
    <w:rsid w:val="00CA3B08"/>
    <w:rsid w:val="00CA3BC2"/>
    <w:rsid w:val="00CA4803"/>
    <w:rsid w:val="00CA48C7"/>
    <w:rsid w:val="00CA516E"/>
    <w:rsid w:val="00CA5171"/>
    <w:rsid w:val="00CA52BE"/>
    <w:rsid w:val="00CA52F9"/>
    <w:rsid w:val="00CA583A"/>
    <w:rsid w:val="00CA5BB1"/>
    <w:rsid w:val="00CA5E30"/>
    <w:rsid w:val="00CA5E9C"/>
    <w:rsid w:val="00CA6074"/>
    <w:rsid w:val="00CA68A4"/>
    <w:rsid w:val="00CA69FA"/>
    <w:rsid w:val="00CA6AE6"/>
    <w:rsid w:val="00CA6BF0"/>
    <w:rsid w:val="00CA6CA5"/>
    <w:rsid w:val="00CA7A07"/>
    <w:rsid w:val="00CA7C2E"/>
    <w:rsid w:val="00CB00E1"/>
    <w:rsid w:val="00CB0267"/>
    <w:rsid w:val="00CB0953"/>
    <w:rsid w:val="00CB0F5B"/>
    <w:rsid w:val="00CB11C4"/>
    <w:rsid w:val="00CB1888"/>
    <w:rsid w:val="00CB1916"/>
    <w:rsid w:val="00CB1C2E"/>
    <w:rsid w:val="00CB22DF"/>
    <w:rsid w:val="00CB256E"/>
    <w:rsid w:val="00CB291D"/>
    <w:rsid w:val="00CB312F"/>
    <w:rsid w:val="00CB348F"/>
    <w:rsid w:val="00CB3E37"/>
    <w:rsid w:val="00CB4001"/>
    <w:rsid w:val="00CB41C8"/>
    <w:rsid w:val="00CB423F"/>
    <w:rsid w:val="00CB45CF"/>
    <w:rsid w:val="00CB4899"/>
    <w:rsid w:val="00CB48DD"/>
    <w:rsid w:val="00CB49E1"/>
    <w:rsid w:val="00CB4CE4"/>
    <w:rsid w:val="00CB4DC8"/>
    <w:rsid w:val="00CB4FE8"/>
    <w:rsid w:val="00CB538D"/>
    <w:rsid w:val="00CB568A"/>
    <w:rsid w:val="00CB587C"/>
    <w:rsid w:val="00CB5961"/>
    <w:rsid w:val="00CB5DA9"/>
    <w:rsid w:val="00CB6071"/>
    <w:rsid w:val="00CB6087"/>
    <w:rsid w:val="00CB620E"/>
    <w:rsid w:val="00CB6849"/>
    <w:rsid w:val="00CB6950"/>
    <w:rsid w:val="00CB7064"/>
    <w:rsid w:val="00CB70DA"/>
    <w:rsid w:val="00CB71B3"/>
    <w:rsid w:val="00CB72E3"/>
    <w:rsid w:val="00CB744B"/>
    <w:rsid w:val="00CB7A39"/>
    <w:rsid w:val="00CB7A3B"/>
    <w:rsid w:val="00CB7ABC"/>
    <w:rsid w:val="00CB7DD2"/>
    <w:rsid w:val="00CC0016"/>
    <w:rsid w:val="00CC004C"/>
    <w:rsid w:val="00CC0141"/>
    <w:rsid w:val="00CC0173"/>
    <w:rsid w:val="00CC01BD"/>
    <w:rsid w:val="00CC065C"/>
    <w:rsid w:val="00CC07DA"/>
    <w:rsid w:val="00CC0C0E"/>
    <w:rsid w:val="00CC0FE5"/>
    <w:rsid w:val="00CC11E0"/>
    <w:rsid w:val="00CC1825"/>
    <w:rsid w:val="00CC22BB"/>
    <w:rsid w:val="00CC234A"/>
    <w:rsid w:val="00CC2704"/>
    <w:rsid w:val="00CC3210"/>
    <w:rsid w:val="00CC33DA"/>
    <w:rsid w:val="00CC3472"/>
    <w:rsid w:val="00CC3843"/>
    <w:rsid w:val="00CC3B22"/>
    <w:rsid w:val="00CC4068"/>
    <w:rsid w:val="00CC4146"/>
    <w:rsid w:val="00CC4348"/>
    <w:rsid w:val="00CC4379"/>
    <w:rsid w:val="00CC446A"/>
    <w:rsid w:val="00CC4756"/>
    <w:rsid w:val="00CC4820"/>
    <w:rsid w:val="00CC58B3"/>
    <w:rsid w:val="00CC5A85"/>
    <w:rsid w:val="00CC5BC0"/>
    <w:rsid w:val="00CC5C23"/>
    <w:rsid w:val="00CC5E29"/>
    <w:rsid w:val="00CC6339"/>
    <w:rsid w:val="00CC63E1"/>
    <w:rsid w:val="00CC658B"/>
    <w:rsid w:val="00CC68B5"/>
    <w:rsid w:val="00CC6C63"/>
    <w:rsid w:val="00CC6DC1"/>
    <w:rsid w:val="00CC719D"/>
    <w:rsid w:val="00CC727A"/>
    <w:rsid w:val="00CC73DB"/>
    <w:rsid w:val="00CC7852"/>
    <w:rsid w:val="00CC7B77"/>
    <w:rsid w:val="00CC7E81"/>
    <w:rsid w:val="00CC7FB2"/>
    <w:rsid w:val="00CD06C1"/>
    <w:rsid w:val="00CD097B"/>
    <w:rsid w:val="00CD1539"/>
    <w:rsid w:val="00CD19E3"/>
    <w:rsid w:val="00CD1A71"/>
    <w:rsid w:val="00CD1AC8"/>
    <w:rsid w:val="00CD1DCA"/>
    <w:rsid w:val="00CD2636"/>
    <w:rsid w:val="00CD26F1"/>
    <w:rsid w:val="00CD2764"/>
    <w:rsid w:val="00CD27A5"/>
    <w:rsid w:val="00CD294D"/>
    <w:rsid w:val="00CD2AF2"/>
    <w:rsid w:val="00CD3ADB"/>
    <w:rsid w:val="00CD3C9D"/>
    <w:rsid w:val="00CD406D"/>
    <w:rsid w:val="00CD47F1"/>
    <w:rsid w:val="00CD4A7C"/>
    <w:rsid w:val="00CD5489"/>
    <w:rsid w:val="00CD5699"/>
    <w:rsid w:val="00CD596E"/>
    <w:rsid w:val="00CD5BE3"/>
    <w:rsid w:val="00CD5CD0"/>
    <w:rsid w:val="00CD6DCB"/>
    <w:rsid w:val="00CD6EB3"/>
    <w:rsid w:val="00CD7089"/>
    <w:rsid w:val="00CD7229"/>
    <w:rsid w:val="00CD74A3"/>
    <w:rsid w:val="00CD754E"/>
    <w:rsid w:val="00CD77E2"/>
    <w:rsid w:val="00CD7A28"/>
    <w:rsid w:val="00CD7B5E"/>
    <w:rsid w:val="00CE01DA"/>
    <w:rsid w:val="00CE04FD"/>
    <w:rsid w:val="00CE09F4"/>
    <w:rsid w:val="00CE0A0E"/>
    <w:rsid w:val="00CE0F9B"/>
    <w:rsid w:val="00CE11BE"/>
    <w:rsid w:val="00CE145B"/>
    <w:rsid w:val="00CE1655"/>
    <w:rsid w:val="00CE2013"/>
    <w:rsid w:val="00CE2071"/>
    <w:rsid w:val="00CE210E"/>
    <w:rsid w:val="00CE2711"/>
    <w:rsid w:val="00CE2921"/>
    <w:rsid w:val="00CE2C85"/>
    <w:rsid w:val="00CE2DB3"/>
    <w:rsid w:val="00CE32BF"/>
    <w:rsid w:val="00CE3673"/>
    <w:rsid w:val="00CE3ADB"/>
    <w:rsid w:val="00CE3B0B"/>
    <w:rsid w:val="00CE3D01"/>
    <w:rsid w:val="00CE3FD8"/>
    <w:rsid w:val="00CE4574"/>
    <w:rsid w:val="00CE4C86"/>
    <w:rsid w:val="00CE5169"/>
    <w:rsid w:val="00CE5C47"/>
    <w:rsid w:val="00CE5E44"/>
    <w:rsid w:val="00CE5EBF"/>
    <w:rsid w:val="00CE664F"/>
    <w:rsid w:val="00CE67F9"/>
    <w:rsid w:val="00CE6BBB"/>
    <w:rsid w:val="00CE6CE7"/>
    <w:rsid w:val="00CE6D68"/>
    <w:rsid w:val="00CE7DB1"/>
    <w:rsid w:val="00CE7F5A"/>
    <w:rsid w:val="00CF00E5"/>
    <w:rsid w:val="00CF020B"/>
    <w:rsid w:val="00CF03D0"/>
    <w:rsid w:val="00CF0B15"/>
    <w:rsid w:val="00CF0F81"/>
    <w:rsid w:val="00CF1151"/>
    <w:rsid w:val="00CF12BE"/>
    <w:rsid w:val="00CF169B"/>
    <w:rsid w:val="00CF1C61"/>
    <w:rsid w:val="00CF1F91"/>
    <w:rsid w:val="00CF20C3"/>
    <w:rsid w:val="00CF226E"/>
    <w:rsid w:val="00CF22E3"/>
    <w:rsid w:val="00CF2568"/>
    <w:rsid w:val="00CF284F"/>
    <w:rsid w:val="00CF29BF"/>
    <w:rsid w:val="00CF2A73"/>
    <w:rsid w:val="00CF2B64"/>
    <w:rsid w:val="00CF2C49"/>
    <w:rsid w:val="00CF318E"/>
    <w:rsid w:val="00CF3198"/>
    <w:rsid w:val="00CF32A8"/>
    <w:rsid w:val="00CF3486"/>
    <w:rsid w:val="00CF3700"/>
    <w:rsid w:val="00CF39A8"/>
    <w:rsid w:val="00CF44D1"/>
    <w:rsid w:val="00CF46B9"/>
    <w:rsid w:val="00CF47A8"/>
    <w:rsid w:val="00CF50ED"/>
    <w:rsid w:val="00CF5683"/>
    <w:rsid w:val="00CF5689"/>
    <w:rsid w:val="00CF58D7"/>
    <w:rsid w:val="00CF5B2C"/>
    <w:rsid w:val="00CF6268"/>
    <w:rsid w:val="00CF6444"/>
    <w:rsid w:val="00CF648B"/>
    <w:rsid w:val="00CF67DE"/>
    <w:rsid w:val="00CF695F"/>
    <w:rsid w:val="00CF6A2F"/>
    <w:rsid w:val="00CF6AEA"/>
    <w:rsid w:val="00CF6EE7"/>
    <w:rsid w:val="00CF6F0E"/>
    <w:rsid w:val="00CF71F6"/>
    <w:rsid w:val="00CF7593"/>
    <w:rsid w:val="00CF780F"/>
    <w:rsid w:val="00CF794C"/>
    <w:rsid w:val="00CF7C5D"/>
    <w:rsid w:val="00D00314"/>
    <w:rsid w:val="00D003B1"/>
    <w:rsid w:val="00D00A5C"/>
    <w:rsid w:val="00D00A89"/>
    <w:rsid w:val="00D00B2F"/>
    <w:rsid w:val="00D00B8D"/>
    <w:rsid w:val="00D01051"/>
    <w:rsid w:val="00D0117D"/>
    <w:rsid w:val="00D0168C"/>
    <w:rsid w:val="00D01DA1"/>
    <w:rsid w:val="00D01EF7"/>
    <w:rsid w:val="00D01FE9"/>
    <w:rsid w:val="00D0231C"/>
    <w:rsid w:val="00D02A5B"/>
    <w:rsid w:val="00D02BB7"/>
    <w:rsid w:val="00D0348D"/>
    <w:rsid w:val="00D034BA"/>
    <w:rsid w:val="00D03AA5"/>
    <w:rsid w:val="00D03C30"/>
    <w:rsid w:val="00D04115"/>
    <w:rsid w:val="00D04763"/>
    <w:rsid w:val="00D04A81"/>
    <w:rsid w:val="00D04C34"/>
    <w:rsid w:val="00D04C69"/>
    <w:rsid w:val="00D04CFA"/>
    <w:rsid w:val="00D04EE4"/>
    <w:rsid w:val="00D055B9"/>
    <w:rsid w:val="00D05B8B"/>
    <w:rsid w:val="00D05D14"/>
    <w:rsid w:val="00D06038"/>
    <w:rsid w:val="00D060D4"/>
    <w:rsid w:val="00D06458"/>
    <w:rsid w:val="00D064CE"/>
    <w:rsid w:val="00D06530"/>
    <w:rsid w:val="00D06F5F"/>
    <w:rsid w:val="00D0701E"/>
    <w:rsid w:val="00D0746E"/>
    <w:rsid w:val="00D0772D"/>
    <w:rsid w:val="00D078D9"/>
    <w:rsid w:val="00D07D81"/>
    <w:rsid w:val="00D1001A"/>
    <w:rsid w:val="00D101AD"/>
    <w:rsid w:val="00D10340"/>
    <w:rsid w:val="00D10407"/>
    <w:rsid w:val="00D1093B"/>
    <w:rsid w:val="00D10952"/>
    <w:rsid w:val="00D10AC5"/>
    <w:rsid w:val="00D10BE7"/>
    <w:rsid w:val="00D10CD2"/>
    <w:rsid w:val="00D10D32"/>
    <w:rsid w:val="00D1154D"/>
    <w:rsid w:val="00D11737"/>
    <w:rsid w:val="00D11772"/>
    <w:rsid w:val="00D11A2D"/>
    <w:rsid w:val="00D12268"/>
    <w:rsid w:val="00D12280"/>
    <w:rsid w:val="00D1245D"/>
    <w:rsid w:val="00D12504"/>
    <w:rsid w:val="00D12828"/>
    <w:rsid w:val="00D12B05"/>
    <w:rsid w:val="00D12B85"/>
    <w:rsid w:val="00D1339E"/>
    <w:rsid w:val="00D13CB1"/>
    <w:rsid w:val="00D14138"/>
    <w:rsid w:val="00D14459"/>
    <w:rsid w:val="00D14557"/>
    <w:rsid w:val="00D1464F"/>
    <w:rsid w:val="00D14B4E"/>
    <w:rsid w:val="00D14C25"/>
    <w:rsid w:val="00D14D1C"/>
    <w:rsid w:val="00D14DC9"/>
    <w:rsid w:val="00D14F95"/>
    <w:rsid w:val="00D1500F"/>
    <w:rsid w:val="00D15477"/>
    <w:rsid w:val="00D157AB"/>
    <w:rsid w:val="00D160F9"/>
    <w:rsid w:val="00D16455"/>
    <w:rsid w:val="00D166AB"/>
    <w:rsid w:val="00D16ADA"/>
    <w:rsid w:val="00D16C98"/>
    <w:rsid w:val="00D16CD3"/>
    <w:rsid w:val="00D16D58"/>
    <w:rsid w:val="00D16E90"/>
    <w:rsid w:val="00D17339"/>
    <w:rsid w:val="00D17896"/>
    <w:rsid w:val="00D179F1"/>
    <w:rsid w:val="00D20035"/>
    <w:rsid w:val="00D2015C"/>
    <w:rsid w:val="00D20253"/>
    <w:rsid w:val="00D206A3"/>
    <w:rsid w:val="00D20744"/>
    <w:rsid w:val="00D20A19"/>
    <w:rsid w:val="00D21164"/>
    <w:rsid w:val="00D213F1"/>
    <w:rsid w:val="00D21AF7"/>
    <w:rsid w:val="00D21CDA"/>
    <w:rsid w:val="00D21F2E"/>
    <w:rsid w:val="00D22141"/>
    <w:rsid w:val="00D22260"/>
    <w:rsid w:val="00D22266"/>
    <w:rsid w:val="00D22A26"/>
    <w:rsid w:val="00D22D35"/>
    <w:rsid w:val="00D22E4A"/>
    <w:rsid w:val="00D234D5"/>
    <w:rsid w:val="00D238FF"/>
    <w:rsid w:val="00D23DEF"/>
    <w:rsid w:val="00D23F97"/>
    <w:rsid w:val="00D2495F"/>
    <w:rsid w:val="00D249A6"/>
    <w:rsid w:val="00D249C6"/>
    <w:rsid w:val="00D24E2B"/>
    <w:rsid w:val="00D25353"/>
    <w:rsid w:val="00D256EE"/>
    <w:rsid w:val="00D258A6"/>
    <w:rsid w:val="00D25F43"/>
    <w:rsid w:val="00D26272"/>
    <w:rsid w:val="00D26588"/>
    <w:rsid w:val="00D266F7"/>
    <w:rsid w:val="00D269AC"/>
    <w:rsid w:val="00D26BB9"/>
    <w:rsid w:val="00D26C88"/>
    <w:rsid w:val="00D26E5C"/>
    <w:rsid w:val="00D27373"/>
    <w:rsid w:val="00D273DC"/>
    <w:rsid w:val="00D27567"/>
    <w:rsid w:val="00D276A0"/>
    <w:rsid w:val="00D278FA"/>
    <w:rsid w:val="00D27F74"/>
    <w:rsid w:val="00D30337"/>
    <w:rsid w:val="00D30381"/>
    <w:rsid w:val="00D306F9"/>
    <w:rsid w:val="00D307D3"/>
    <w:rsid w:val="00D309D0"/>
    <w:rsid w:val="00D30E47"/>
    <w:rsid w:val="00D310AB"/>
    <w:rsid w:val="00D3114B"/>
    <w:rsid w:val="00D31339"/>
    <w:rsid w:val="00D31446"/>
    <w:rsid w:val="00D314C8"/>
    <w:rsid w:val="00D315CF"/>
    <w:rsid w:val="00D318DE"/>
    <w:rsid w:val="00D31FCB"/>
    <w:rsid w:val="00D32089"/>
    <w:rsid w:val="00D32518"/>
    <w:rsid w:val="00D3294A"/>
    <w:rsid w:val="00D32AE4"/>
    <w:rsid w:val="00D32F93"/>
    <w:rsid w:val="00D345DC"/>
    <w:rsid w:val="00D34646"/>
    <w:rsid w:val="00D34A04"/>
    <w:rsid w:val="00D34C4C"/>
    <w:rsid w:val="00D34D6B"/>
    <w:rsid w:val="00D34E09"/>
    <w:rsid w:val="00D35264"/>
    <w:rsid w:val="00D35284"/>
    <w:rsid w:val="00D3559D"/>
    <w:rsid w:val="00D35784"/>
    <w:rsid w:val="00D3583A"/>
    <w:rsid w:val="00D35B76"/>
    <w:rsid w:val="00D35D7F"/>
    <w:rsid w:val="00D3629F"/>
    <w:rsid w:val="00D365B4"/>
    <w:rsid w:val="00D36D6E"/>
    <w:rsid w:val="00D36E0F"/>
    <w:rsid w:val="00D37269"/>
    <w:rsid w:val="00D37282"/>
    <w:rsid w:val="00D379BF"/>
    <w:rsid w:val="00D379CD"/>
    <w:rsid w:val="00D40A0C"/>
    <w:rsid w:val="00D40B83"/>
    <w:rsid w:val="00D40F0B"/>
    <w:rsid w:val="00D41039"/>
    <w:rsid w:val="00D41C12"/>
    <w:rsid w:val="00D41F6C"/>
    <w:rsid w:val="00D41FB4"/>
    <w:rsid w:val="00D42103"/>
    <w:rsid w:val="00D42846"/>
    <w:rsid w:val="00D42CD1"/>
    <w:rsid w:val="00D42FBD"/>
    <w:rsid w:val="00D430D1"/>
    <w:rsid w:val="00D432CD"/>
    <w:rsid w:val="00D434A4"/>
    <w:rsid w:val="00D43678"/>
    <w:rsid w:val="00D4389B"/>
    <w:rsid w:val="00D43B70"/>
    <w:rsid w:val="00D43E54"/>
    <w:rsid w:val="00D443C0"/>
    <w:rsid w:val="00D443C7"/>
    <w:rsid w:val="00D449ED"/>
    <w:rsid w:val="00D44A9F"/>
    <w:rsid w:val="00D44CBB"/>
    <w:rsid w:val="00D44D18"/>
    <w:rsid w:val="00D44E5E"/>
    <w:rsid w:val="00D44E6E"/>
    <w:rsid w:val="00D44ED2"/>
    <w:rsid w:val="00D452E4"/>
    <w:rsid w:val="00D45671"/>
    <w:rsid w:val="00D45CCF"/>
    <w:rsid w:val="00D45FE3"/>
    <w:rsid w:val="00D46179"/>
    <w:rsid w:val="00D46182"/>
    <w:rsid w:val="00D46836"/>
    <w:rsid w:val="00D469DE"/>
    <w:rsid w:val="00D46C84"/>
    <w:rsid w:val="00D46F51"/>
    <w:rsid w:val="00D4704D"/>
    <w:rsid w:val="00D47139"/>
    <w:rsid w:val="00D47240"/>
    <w:rsid w:val="00D47444"/>
    <w:rsid w:val="00D4796A"/>
    <w:rsid w:val="00D47B54"/>
    <w:rsid w:val="00D501F9"/>
    <w:rsid w:val="00D50215"/>
    <w:rsid w:val="00D503C6"/>
    <w:rsid w:val="00D505F6"/>
    <w:rsid w:val="00D50989"/>
    <w:rsid w:val="00D50A70"/>
    <w:rsid w:val="00D510EE"/>
    <w:rsid w:val="00D5126E"/>
    <w:rsid w:val="00D51379"/>
    <w:rsid w:val="00D5147E"/>
    <w:rsid w:val="00D5156F"/>
    <w:rsid w:val="00D518A5"/>
    <w:rsid w:val="00D519D7"/>
    <w:rsid w:val="00D51B0E"/>
    <w:rsid w:val="00D525F2"/>
    <w:rsid w:val="00D52833"/>
    <w:rsid w:val="00D52A69"/>
    <w:rsid w:val="00D52E8D"/>
    <w:rsid w:val="00D52FFC"/>
    <w:rsid w:val="00D5341A"/>
    <w:rsid w:val="00D537F2"/>
    <w:rsid w:val="00D53A3D"/>
    <w:rsid w:val="00D53F11"/>
    <w:rsid w:val="00D54216"/>
    <w:rsid w:val="00D54648"/>
    <w:rsid w:val="00D54958"/>
    <w:rsid w:val="00D549BB"/>
    <w:rsid w:val="00D54B28"/>
    <w:rsid w:val="00D54F5C"/>
    <w:rsid w:val="00D55452"/>
    <w:rsid w:val="00D55DB4"/>
    <w:rsid w:val="00D560C3"/>
    <w:rsid w:val="00D565A4"/>
    <w:rsid w:val="00D567E5"/>
    <w:rsid w:val="00D569B1"/>
    <w:rsid w:val="00D56C4C"/>
    <w:rsid w:val="00D56DF8"/>
    <w:rsid w:val="00D56E78"/>
    <w:rsid w:val="00D57B44"/>
    <w:rsid w:val="00D57DE3"/>
    <w:rsid w:val="00D57F95"/>
    <w:rsid w:val="00D60128"/>
    <w:rsid w:val="00D601E4"/>
    <w:rsid w:val="00D60343"/>
    <w:rsid w:val="00D60353"/>
    <w:rsid w:val="00D6046A"/>
    <w:rsid w:val="00D6047E"/>
    <w:rsid w:val="00D6126F"/>
    <w:rsid w:val="00D61303"/>
    <w:rsid w:val="00D61B8E"/>
    <w:rsid w:val="00D61C01"/>
    <w:rsid w:val="00D61C02"/>
    <w:rsid w:val="00D61EBD"/>
    <w:rsid w:val="00D620F0"/>
    <w:rsid w:val="00D6233B"/>
    <w:rsid w:val="00D6234B"/>
    <w:rsid w:val="00D62415"/>
    <w:rsid w:val="00D62626"/>
    <w:rsid w:val="00D6271E"/>
    <w:rsid w:val="00D62888"/>
    <w:rsid w:val="00D62CD4"/>
    <w:rsid w:val="00D62CF0"/>
    <w:rsid w:val="00D62ED6"/>
    <w:rsid w:val="00D62F0A"/>
    <w:rsid w:val="00D63117"/>
    <w:rsid w:val="00D63787"/>
    <w:rsid w:val="00D6394A"/>
    <w:rsid w:val="00D639E4"/>
    <w:rsid w:val="00D63A6F"/>
    <w:rsid w:val="00D63AC2"/>
    <w:rsid w:val="00D63C4C"/>
    <w:rsid w:val="00D63D08"/>
    <w:rsid w:val="00D63F8A"/>
    <w:rsid w:val="00D644C8"/>
    <w:rsid w:val="00D645C7"/>
    <w:rsid w:val="00D647BC"/>
    <w:rsid w:val="00D6489B"/>
    <w:rsid w:val="00D649F7"/>
    <w:rsid w:val="00D64A6A"/>
    <w:rsid w:val="00D64B1A"/>
    <w:rsid w:val="00D64C54"/>
    <w:rsid w:val="00D6502E"/>
    <w:rsid w:val="00D65289"/>
    <w:rsid w:val="00D65661"/>
    <w:rsid w:val="00D657F3"/>
    <w:rsid w:val="00D65B7E"/>
    <w:rsid w:val="00D65B87"/>
    <w:rsid w:val="00D65E28"/>
    <w:rsid w:val="00D66147"/>
    <w:rsid w:val="00D66253"/>
    <w:rsid w:val="00D66AC3"/>
    <w:rsid w:val="00D66BBA"/>
    <w:rsid w:val="00D671D4"/>
    <w:rsid w:val="00D671EA"/>
    <w:rsid w:val="00D673F5"/>
    <w:rsid w:val="00D6774F"/>
    <w:rsid w:val="00D67A22"/>
    <w:rsid w:val="00D67BBF"/>
    <w:rsid w:val="00D67E7C"/>
    <w:rsid w:val="00D70426"/>
    <w:rsid w:val="00D70842"/>
    <w:rsid w:val="00D70BAE"/>
    <w:rsid w:val="00D70CE5"/>
    <w:rsid w:val="00D711F2"/>
    <w:rsid w:val="00D712AA"/>
    <w:rsid w:val="00D71761"/>
    <w:rsid w:val="00D719E9"/>
    <w:rsid w:val="00D71A6E"/>
    <w:rsid w:val="00D71B2A"/>
    <w:rsid w:val="00D726DD"/>
    <w:rsid w:val="00D72AD4"/>
    <w:rsid w:val="00D72E7C"/>
    <w:rsid w:val="00D735C4"/>
    <w:rsid w:val="00D738FE"/>
    <w:rsid w:val="00D73B2E"/>
    <w:rsid w:val="00D73B90"/>
    <w:rsid w:val="00D73BBB"/>
    <w:rsid w:val="00D73D25"/>
    <w:rsid w:val="00D73FB4"/>
    <w:rsid w:val="00D74831"/>
    <w:rsid w:val="00D74F7E"/>
    <w:rsid w:val="00D74FE7"/>
    <w:rsid w:val="00D75974"/>
    <w:rsid w:val="00D75EE3"/>
    <w:rsid w:val="00D760D9"/>
    <w:rsid w:val="00D7618C"/>
    <w:rsid w:val="00D7622D"/>
    <w:rsid w:val="00D76575"/>
    <w:rsid w:val="00D769F7"/>
    <w:rsid w:val="00D76C1F"/>
    <w:rsid w:val="00D77475"/>
    <w:rsid w:val="00D774B8"/>
    <w:rsid w:val="00D7751B"/>
    <w:rsid w:val="00D775FA"/>
    <w:rsid w:val="00D7798A"/>
    <w:rsid w:val="00D77B63"/>
    <w:rsid w:val="00D77C27"/>
    <w:rsid w:val="00D804DB"/>
    <w:rsid w:val="00D804F1"/>
    <w:rsid w:val="00D81629"/>
    <w:rsid w:val="00D818FD"/>
    <w:rsid w:val="00D81997"/>
    <w:rsid w:val="00D81AD0"/>
    <w:rsid w:val="00D81C62"/>
    <w:rsid w:val="00D81FAA"/>
    <w:rsid w:val="00D82637"/>
    <w:rsid w:val="00D826C3"/>
    <w:rsid w:val="00D82C53"/>
    <w:rsid w:val="00D82E05"/>
    <w:rsid w:val="00D82E5C"/>
    <w:rsid w:val="00D830F1"/>
    <w:rsid w:val="00D836C5"/>
    <w:rsid w:val="00D83D47"/>
    <w:rsid w:val="00D83DAF"/>
    <w:rsid w:val="00D83DEA"/>
    <w:rsid w:val="00D847F7"/>
    <w:rsid w:val="00D848E3"/>
    <w:rsid w:val="00D84AB7"/>
    <w:rsid w:val="00D84CBA"/>
    <w:rsid w:val="00D84D38"/>
    <w:rsid w:val="00D850C4"/>
    <w:rsid w:val="00D8513C"/>
    <w:rsid w:val="00D85946"/>
    <w:rsid w:val="00D85AE8"/>
    <w:rsid w:val="00D85AFE"/>
    <w:rsid w:val="00D85DBC"/>
    <w:rsid w:val="00D85DC2"/>
    <w:rsid w:val="00D860A3"/>
    <w:rsid w:val="00D861DE"/>
    <w:rsid w:val="00D864BC"/>
    <w:rsid w:val="00D86FFD"/>
    <w:rsid w:val="00D87114"/>
    <w:rsid w:val="00D8769A"/>
    <w:rsid w:val="00D876A3"/>
    <w:rsid w:val="00D877DD"/>
    <w:rsid w:val="00D8799B"/>
    <w:rsid w:val="00D87EA3"/>
    <w:rsid w:val="00D9076E"/>
    <w:rsid w:val="00D90C2C"/>
    <w:rsid w:val="00D90D91"/>
    <w:rsid w:val="00D90DCC"/>
    <w:rsid w:val="00D91034"/>
    <w:rsid w:val="00D9108A"/>
    <w:rsid w:val="00D915DD"/>
    <w:rsid w:val="00D916B3"/>
    <w:rsid w:val="00D9196F"/>
    <w:rsid w:val="00D91B13"/>
    <w:rsid w:val="00D91C77"/>
    <w:rsid w:val="00D91CB6"/>
    <w:rsid w:val="00D91CEB"/>
    <w:rsid w:val="00D92542"/>
    <w:rsid w:val="00D927A2"/>
    <w:rsid w:val="00D92849"/>
    <w:rsid w:val="00D929EB"/>
    <w:rsid w:val="00D92A87"/>
    <w:rsid w:val="00D92E07"/>
    <w:rsid w:val="00D92E7F"/>
    <w:rsid w:val="00D93575"/>
    <w:rsid w:val="00D9362A"/>
    <w:rsid w:val="00D9382E"/>
    <w:rsid w:val="00D93C47"/>
    <w:rsid w:val="00D93DBE"/>
    <w:rsid w:val="00D93DEC"/>
    <w:rsid w:val="00D93E36"/>
    <w:rsid w:val="00D93EC4"/>
    <w:rsid w:val="00D94462"/>
    <w:rsid w:val="00D944CE"/>
    <w:rsid w:val="00D94782"/>
    <w:rsid w:val="00D94B34"/>
    <w:rsid w:val="00D94CF1"/>
    <w:rsid w:val="00D94F6F"/>
    <w:rsid w:val="00D95108"/>
    <w:rsid w:val="00D95A3D"/>
    <w:rsid w:val="00D96A61"/>
    <w:rsid w:val="00D97C63"/>
    <w:rsid w:val="00DA0440"/>
    <w:rsid w:val="00DA0865"/>
    <w:rsid w:val="00DA0ED5"/>
    <w:rsid w:val="00DA1229"/>
    <w:rsid w:val="00DA23E3"/>
    <w:rsid w:val="00DA2458"/>
    <w:rsid w:val="00DA254B"/>
    <w:rsid w:val="00DA2A80"/>
    <w:rsid w:val="00DA2C9D"/>
    <w:rsid w:val="00DA2E25"/>
    <w:rsid w:val="00DA3250"/>
    <w:rsid w:val="00DA35EA"/>
    <w:rsid w:val="00DA4216"/>
    <w:rsid w:val="00DA45F7"/>
    <w:rsid w:val="00DA4809"/>
    <w:rsid w:val="00DA4AF7"/>
    <w:rsid w:val="00DA4D99"/>
    <w:rsid w:val="00DA4EDF"/>
    <w:rsid w:val="00DA544B"/>
    <w:rsid w:val="00DA571F"/>
    <w:rsid w:val="00DA58C8"/>
    <w:rsid w:val="00DA5A5C"/>
    <w:rsid w:val="00DA5B3D"/>
    <w:rsid w:val="00DA6096"/>
    <w:rsid w:val="00DA6515"/>
    <w:rsid w:val="00DA65B8"/>
    <w:rsid w:val="00DA6787"/>
    <w:rsid w:val="00DA6A0C"/>
    <w:rsid w:val="00DA6A11"/>
    <w:rsid w:val="00DA6A58"/>
    <w:rsid w:val="00DA6D35"/>
    <w:rsid w:val="00DA6FD8"/>
    <w:rsid w:val="00DA7012"/>
    <w:rsid w:val="00DA75B7"/>
    <w:rsid w:val="00DA7D27"/>
    <w:rsid w:val="00DB0198"/>
    <w:rsid w:val="00DB0462"/>
    <w:rsid w:val="00DB0EA6"/>
    <w:rsid w:val="00DB0F2F"/>
    <w:rsid w:val="00DB11CB"/>
    <w:rsid w:val="00DB19C0"/>
    <w:rsid w:val="00DB1A7E"/>
    <w:rsid w:val="00DB1A96"/>
    <w:rsid w:val="00DB1B75"/>
    <w:rsid w:val="00DB1F6E"/>
    <w:rsid w:val="00DB2337"/>
    <w:rsid w:val="00DB251A"/>
    <w:rsid w:val="00DB26AA"/>
    <w:rsid w:val="00DB2B03"/>
    <w:rsid w:val="00DB2F06"/>
    <w:rsid w:val="00DB314F"/>
    <w:rsid w:val="00DB3268"/>
    <w:rsid w:val="00DB33A0"/>
    <w:rsid w:val="00DB393A"/>
    <w:rsid w:val="00DB3A80"/>
    <w:rsid w:val="00DB3CDC"/>
    <w:rsid w:val="00DB3CE2"/>
    <w:rsid w:val="00DB4219"/>
    <w:rsid w:val="00DB4464"/>
    <w:rsid w:val="00DB453E"/>
    <w:rsid w:val="00DB476C"/>
    <w:rsid w:val="00DB479B"/>
    <w:rsid w:val="00DB49C6"/>
    <w:rsid w:val="00DB4DF4"/>
    <w:rsid w:val="00DB4F2B"/>
    <w:rsid w:val="00DB52AB"/>
    <w:rsid w:val="00DB557D"/>
    <w:rsid w:val="00DB5AEF"/>
    <w:rsid w:val="00DB6303"/>
    <w:rsid w:val="00DB6711"/>
    <w:rsid w:val="00DB67F2"/>
    <w:rsid w:val="00DB6BA0"/>
    <w:rsid w:val="00DB6D34"/>
    <w:rsid w:val="00DB7008"/>
    <w:rsid w:val="00DB7112"/>
    <w:rsid w:val="00DB7263"/>
    <w:rsid w:val="00DB7550"/>
    <w:rsid w:val="00DB7867"/>
    <w:rsid w:val="00DB7EC4"/>
    <w:rsid w:val="00DC023A"/>
    <w:rsid w:val="00DC04D6"/>
    <w:rsid w:val="00DC097F"/>
    <w:rsid w:val="00DC09C4"/>
    <w:rsid w:val="00DC0E11"/>
    <w:rsid w:val="00DC141A"/>
    <w:rsid w:val="00DC169E"/>
    <w:rsid w:val="00DC1760"/>
    <w:rsid w:val="00DC1A91"/>
    <w:rsid w:val="00DC1B68"/>
    <w:rsid w:val="00DC1CFB"/>
    <w:rsid w:val="00DC1D70"/>
    <w:rsid w:val="00DC1FB7"/>
    <w:rsid w:val="00DC22A4"/>
    <w:rsid w:val="00DC2317"/>
    <w:rsid w:val="00DC237F"/>
    <w:rsid w:val="00DC259C"/>
    <w:rsid w:val="00DC25FF"/>
    <w:rsid w:val="00DC292A"/>
    <w:rsid w:val="00DC2C11"/>
    <w:rsid w:val="00DC2E03"/>
    <w:rsid w:val="00DC33D2"/>
    <w:rsid w:val="00DC33D3"/>
    <w:rsid w:val="00DC3715"/>
    <w:rsid w:val="00DC3D8B"/>
    <w:rsid w:val="00DC3FA4"/>
    <w:rsid w:val="00DC42CF"/>
    <w:rsid w:val="00DC43D0"/>
    <w:rsid w:val="00DC4D10"/>
    <w:rsid w:val="00DC5037"/>
    <w:rsid w:val="00DC531E"/>
    <w:rsid w:val="00DC54E6"/>
    <w:rsid w:val="00DC603B"/>
    <w:rsid w:val="00DC6331"/>
    <w:rsid w:val="00DC6379"/>
    <w:rsid w:val="00DC6754"/>
    <w:rsid w:val="00DC6772"/>
    <w:rsid w:val="00DC6BB6"/>
    <w:rsid w:val="00DC6D97"/>
    <w:rsid w:val="00DC6F3C"/>
    <w:rsid w:val="00DC6F4D"/>
    <w:rsid w:val="00DC6F5E"/>
    <w:rsid w:val="00DC7003"/>
    <w:rsid w:val="00DC7060"/>
    <w:rsid w:val="00DC747D"/>
    <w:rsid w:val="00DC7499"/>
    <w:rsid w:val="00DC765F"/>
    <w:rsid w:val="00DC77FC"/>
    <w:rsid w:val="00DC7801"/>
    <w:rsid w:val="00DC7C3A"/>
    <w:rsid w:val="00DC7E9A"/>
    <w:rsid w:val="00DC7EC2"/>
    <w:rsid w:val="00DD05CE"/>
    <w:rsid w:val="00DD08F9"/>
    <w:rsid w:val="00DD0C6B"/>
    <w:rsid w:val="00DD0CA1"/>
    <w:rsid w:val="00DD0CE3"/>
    <w:rsid w:val="00DD0DE8"/>
    <w:rsid w:val="00DD13DE"/>
    <w:rsid w:val="00DD14B5"/>
    <w:rsid w:val="00DD1806"/>
    <w:rsid w:val="00DD210B"/>
    <w:rsid w:val="00DD2351"/>
    <w:rsid w:val="00DD2C0E"/>
    <w:rsid w:val="00DD2D13"/>
    <w:rsid w:val="00DD2D74"/>
    <w:rsid w:val="00DD3557"/>
    <w:rsid w:val="00DD3589"/>
    <w:rsid w:val="00DD382B"/>
    <w:rsid w:val="00DD3A12"/>
    <w:rsid w:val="00DD3C87"/>
    <w:rsid w:val="00DD3D3B"/>
    <w:rsid w:val="00DD3DC8"/>
    <w:rsid w:val="00DD4133"/>
    <w:rsid w:val="00DD4320"/>
    <w:rsid w:val="00DD44BD"/>
    <w:rsid w:val="00DD473B"/>
    <w:rsid w:val="00DD47C8"/>
    <w:rsid w:val="00DD47F2"/>
    <w:rsid w:val="00DD4AE4"/>
    <w:rsid w:val="00DD521C"/>
    <w:rsid w:val="00DD53FB"/>
    <w:rsid w:val="00DD54B5"/>
    <w:rsid w:val="00DD574A"/>
    <w:rsid w:val="00DD5DAD"/>
    <w:rsid w:val="00DD5E0E"/>
    <w:rsid w:val="00DD648B"/>
    <w:rsid w:val="00DD65C4"/>
    <w:rsid w:val="00DD698A"/>
    <w:rsid w:val="00DD6DAC"/>
    <w:rsid w:val="00DD6E53"/>
    <w:rsid w:val="00DD77FE"/>
    <w:rsid w:val="00DD7937"/>
    <w:rsid w:val="00DD7A4B"/>
    <w:rsid w:val="00DD7B6A"/>
    <w:rsid w:val="00DE0447"/>
    <w:rsid w:val="00DE0723"/>
    <w:rsid w:val="00DE0A3D"/>
    <w:rsid w:val="00DE0BA9"/>
    <w:rsid w:val="00DE0CCC"/>
    <w:rsid w:val="00DE14B4"/>
    <w:rsid w:val="00DE1B61"/>
    <w:rsid w:val="00DE1F0B"/>
    <w:rsid w:val="00DE1FA8"/>
    <w:rsid w:val="00DE1FDC"/>
    <w:rsid w:val="00DE213B"/>
    <w:rsid w:val="00DE2B60"/>
    <w:rsid w:val="00DE2CE0"/>
    <w:rsid w:val="00DE30BE"/>
    <w:rsid w:val="00DE324C"/>
    <w:rsid w:val="00DE32CF"/>
    <w:rsid w:val="00DE3487"/>
    <w:rsid w:val="00DE369B"/>
    <w:rsid w:val="00DE37E8"/>
    <w:rsid w:val="00DE3B48"/>
    <w:rsid w:val="00DE41F5"/>
    <w:rsid w:val="00DE454F"/>
    <w:rsid w:val="00DE4562"/>
    <w:rsid w:val="00DE47B1"/>
    <w:rsid w:val="00DE481E"/>
    <w:rsid w:val="00DE4A73"/>
    <w:rsid w:val="00DE4CDE"/>
    <w:rsid w:val="00DE4D55"/>
    <w:rsid w:val="00DE4D72"/>
    <w:rsid w:val="00DE4FC6"/>
    <w:rsid w:val="00DE52D4"/>
    <w:rsid w:val="00DE5370"/>
    <w:rsid w:val="00DE5522"/>
    <w:rsid w:val="00DE55C4"/>
    <w:rsid w:val="00DE5623"/>
    <w:rsid w:val="00DE5675"/>
    <w:rsid w:val="00DE5C3D"/>
    <w:rsid w:val="00DE5EF8"/>
    <w:rsid w:val="00DE5FB2"/>
    <w:rsid w:val="00DE6B41"/>
    <w:rsid w:val="00DE7010"/>
    <w:rsid w:val="00DE7671"/>
    <w:rsid w:val="00DE7850"/>
    <w:rsid w:val="00DE7874"/>
    <w:rsid w:val="00DE7930"/>
    <w:rsid w:val="00DF000D"/>
    <w:rsid w:val="00DF03D8"/>
    <w:rsid w:val="00DF0516"/>
    <w:rsid w:val="00DF082E"/>
    <w:rsid w:val="00DF08CA"/>
    <w:rsid w:val="00DF0976"/>
    <w:rsid w:val="00DF0FC0"/>
    <w:rsid w:val="00DF1621"/>
    <w:rsid w:val="00DF18A3"/>
    <w:rsid w:val="00DF2109"/>
    <w:rsid w:val="00DF27C4"/>
    <w:rsid w:val="00DF2988"/>
    <w:rsid w:val="00DF2B85"/>
    <w:rsid w:val="00DF366A"/>
    <w:rsid w:val="00DF37A3"/>
    <w:rsid w:val="00DF3DA3"/>
    <w:rsid w:val="00DF3DA8"/>
    <w:rsid w:val="00DF44BA"/>
    <w:rsid w:val="00DF45F5"/>
    <w:rsid w:val="00DF4701"/>
    <w:rsid w:val="00DF4803"/>
    <w:rsid w:val="00DF4B34"/>
    <w:rsid w:val="00DF50B4"/>
    <w:rsid w:val="00DF534D"/>
    <w:rsid w:val="00DF6672"/>
    <w:rsid w:val="00DF66D4"/>
    <w:rsid w:val="00DF68F2"/>
    <w:rsid w:val="00DF6F9A"/>
    <w:rsid w:val="00DF7048"/>
    <w:rsid w:val="00DF7193"/>
    <w:rsid w:val="00DF7323"/>
    <w:rsid w:val="00DF73D0"/>
    <w:rsid w:val="00DF7459"/>
    <w:rsid w:val="00DF775F"/>
    <w:rsid w:val="00DF7A07"/>
    <w:rsid w:val="00DF7C18"/>
    <w:rsid w:val="00DF7D54"/>
    <w:rsid w:val="00E000C0"/>
    <w:rsid w:val="00E00561"/>
    <w:rsid w:val="00E005B3"/>
    <w:rsid w:val="00E01085"/>
    <w:rsid w:val="00E011CC"/>
    <w:rsid w:val="00E01296"/>
    <w:rsid w:val="00E01594"/>
    <w:rsid w:val="00E0191C"/>
    <w:rsid w:val="00E01935"/>
    <w:rsid w:val="00E01A48"/>
    <w:rsid w:val="00E01D26"/>
    <w:rsid w:val="00E01FF3"/>
    <w:rsid w:val="00E020C2"/>
    <w:rsid w:val="00E024CE"/>
    <w:rsid w:val="00E027C2"/>
    <w:rsid w:val="00E028B5"/>
    <w:rsid w:val="00E02CE7"/>
    <w:rsid w:val="00E0308C"/>
    <w:rsid w:val="00E03210"/>
    <w:rsid w:val="00E0357F"/>
    <w:rsid w:val="00E03D80"/>
    <w:rsid w:val="00E03EED"/>
    <w:rsid w:val="00E049D2"/>
    <w:rsid w:val="00E04E8F"/>
    <w:rsid w:val="00E04F1E"/>
    <w:rsid w:val="00E04F95"/>
    <w:rsid w:val="00E04FB5"/>
    <w:rsid w:val="00E05046"/>
    <w:rsid w:val="00E05616"/>
    <w:rsid w:val="00E057C3"/>
    <w:rsid w:val="00E0599A"/>
    <w:rsid w:val="00E05E01"/>
    <w:rsid w:val="00E06070"/>
    <w:rsid w:val="00E060C5"/>
    <w:rsid w:val="00E0645C"/>
    <w:rsid w:val="00E0652F"/>
    <w:rsid w:val="00E066EE"/>
    <w:rsid w:val="00E067D2"/>
    <w:rsid w:val="00E0700D"/>
    <w:rsid w:val="00E07122"/>
    <w:rsid w:val="00E07867"/>
    <w:rsid w:val="00E105C8"/>
    <w:rsid w:val="00E106B3"/>
    <w:rsid w:val="00E1084F"/>
    <w:rsid w:val="00E109DA"/>
    <w:rsid w:val="00E10B12"/>
    <w:rsid w:val="00E10C64"/>
    <w:rsid w:val="00E10D5C"/>
    <w:rsid w:val="00E10E7E"/>
    <w:rsid w:val="00E10F4F"/>
    <w:rsid w:val="00E111FD"/>
    <w:rsid w:val="00E11886"/>
    <w:rsid w:val="00E1198D"/>
    <w:rsid w:val="00E119AB"/>
    <w:rsid w:val="00E11C2C"/>
    <w:rsid w:val="00E11F29"/>
    <w:rsid w:val="00E12396"/>
    <w:rsid w:val="00E123A0"/>
    <w:rsid w:val="00E12469"/>
    <w:rsid w:val="00E124F8"/>
    <w:rsid w:val="00E1254E"/>
    <w:rsid w:val="00E125C7"/>
    <w:rsid w:val="00E128B6"/>
    <w:rsid w:val="00E12D11"/>
    <w:rsid w:val="00E12F10"/>
    <w:rsid w:val="00E13801"/>
    <w:rsid w:val="00E13C8F"/>
    <w:rsid w:val="00E13DF5"/>
    <w:rsid w:val="00E13E5A"/>
    <w:rsid w:val="00E1495B"/>
    <w:rsid w:val="00E14CAF"/>
    <w:rsid w:val="00E14DBF"/>
    <w:rsid w:val="00E1523F"/>
    <w:rsid w:val="00E15249"/>
    <w:rsid w:val="00E1533F"/>
    <w:rsid w:val="00E15447"/>
    <w:rsid w:val="00E1560E"/>
    <w:rsid w:val="00E15945"/>
    <w:rsid w:val="00E15B52"/>
    <w:rsid w:val="00E15C64"/>
    <w:rsid w:val="00E15E24"/>
    <w:rsid w:val="00E164DD"/>
    <w:rsid w:val="00E16585"/>
    <w:rsid w:val="00E165AD"/>
    <w:rsid w:val="00E16685"/>
    <w:rsid w:val="00E167BF"/>
    <w:rsid w:val="00E16D3F"/>
    <w:rsid w:val="00E17007"/>
    <w:rsid w:val="00E1710E"/>
    <w:rsid w:val="00E17236"/>
    <w:rsid w:val="00E174CC"/>
    <w:rsid w:val="00E175B5"/>
    <w:rsid w:val="00E177A5"/>
    <w:rsid w:val="00E17907"/>
    <w:rsid w:val="00E203E7"/>
    <w:rsid w:val="00E20630"/>
    <w:rsid w:val="00E20710"/>
    <w:rsid w:val="00E21763"/>
    <w:rsid w:val="00E21975"/>
    <w:rsid w:val="00E21988"/>
    <w:rsid w:val="00E21B75"/>
    <w:rsid w:val="00E21C26"/>
    <w:rsid w:val="00E21CF3"/>
    <w:rsid w:val="00E2229D"/>
    <w:rsid w:val="00E225C1"/>
    <w:rsid w:val="00E226A0"/>
    <w:rsid w:val="00E22E18"/>
    <w:rsid w:val="00E22E26"/>
    <w:rsid w:val="00E2308A"/>
    <w:rsid w:val="00E2347A"/>
    <w:rsid w:val="00E237B6"/>
    <w:rsid w:val="00E2383F"/>
    <w:rsid w:val="00E239CE"/>
    <w:rsid w:val="00E23A0D"/>
    <w:rsid w:val="00E23A42"/>
    <w:rsid w:val="00E23CFC"/>
    <w:rsid w:val="00E242F7"/>
    <w:rsid w:val="00E24942"/>
    <w:rsid w:val="00E25673"/>
    <w:rsid w:val="00E25BBC"/>
    <w:rsid w:val="00E25F86"/>
    <w:rsid w:val="00E25FBC"/>
    <w:rsid w:val="00E25FF3"/>
    <w:rsid w:val="00E26134"/>
    <w:rsid w:val="00E262E4"/>
    <w:rsid w:val="00E26502"/>
    <w:rsid w:val="00E265D2"/>
    <w:rsid w:val="00E26683"/>
    <w:rsid w:val="00E26812"/>
    <w:rsid w:val="00E26933"/>
    <w:rsid w:val="00E26A16"/>
    <w:rsid w:val="00E26BA3"/>
    <w:rsid w:val="00E26E80"/>
    <w:rsid w:val="00E27120"/>
    <w:rsid w:val="00E2762C"/>
    <w:rsid w:val="00E27B7A"/>
    <w:rsid w:val="00E27BCF"/>
    <w:rsid w:val="00E27C62"/>
    <w:rsid w:val="00E30610"/>
    <w:rsid w:val="00E311FB"/>
    <w:rsid w:val="00E31222"/>
    <w:rsid w:val="00E314B0"/>
    <w:rsid w:val="00E3166B"/>
    <w:rsid w:val="00E31AEC"/>
    <w:rsid w:val="00E3208A"/>
    <w:rsid w:val="00E321F2"/>
    <w:rsid w:val="00E326E4"/>
    <w:rsid w:val="00E32B23"/>
    <w:rsid w:val="00E32D8D"/>
    <w:rsid w:val="00E33351"/>
    <w:rsid w:val="00E33520"/>
    <w:rsid w:val="00E335B7"/>
    <w:rsid w:val="00E33690"/>
    <w:rsid w:val="00E33A0E"/>
    <w:rsid w:val="00E33A30"/>
    <w:rsid w:val="00E3413D"/>
    <w:rsid w:val="00E34158"/>
    <w:rsid w:val="00E34AEB"/>
    <w:rsid w:val="00E34D8E"/>
    <w:rsid w:val="00E3503C"/>
    <w:rsid w:val="00E3523A"/>
    <w:rsid w:val="00E35352"/>
    <w:rsid w:val="00E35533"/>
    <w:rsid w:val="00E35861"/>
    <w:rsid w:val="00E359C3"/>
    <w:rsid w:val="00E35BD8"/>
    <w:rsid w:val="00E35CAF"/>
    <w:rsid w:val="00E35D52"/>
    <w:rsid w:val="00E35F72"/>
    <w:rsid w:val="00E361A1"/>
    <w:rsid w:val="00E363AF"/>
    <w:rsid w:val="00E369F2"/>
    <w:rsid w:val="00E36A11"/>
    <w:rsid w:val="00E3713B"/>
    <w:rsid w:val="00E373B6"/>
    <w:rsid w:val="00E37618"/>
    <w:rsid w:val="00E377F1"/>
    <w:rsid w:val="00E378C7"/>
    <w:rsid w:val="00E37BFE"/>
    <w:rsid w:val="00E37C95"/>
    <w:rsid w:val="00E37DE5"/>
    <w:rsid w:val="00E4029A"/>
    <w:rsid w:val="00E40331"/>
    <w:rsid w:val="00E40376"/>
    <w:rsid w:val="00E4079D"/>
    <w:rsid w:val="00E409A0"/>
    <w:rsid w:val="00E409EC"/>
    <w:rsid w:val="00E40AF4"/>
    <w:rsid w:val="00E40B50"/>
    <w:rsid w:val="00E40C07"/>
    <w:rsid w:val="00E4138A"/>
    <w:rsid w:val="00E416E8"/>
    <w:rsid w:val="00E41C1E"/>
    <w:rsid w:val="00E42239"/>
    <w:rsid w:val="00E427AD"/>
    <w:rsid w:val="00E42D6F"/>
    <w:rsid w:val="00E4315F"/>
    <w:rsid w:val="00E4448A"/>
    <w:rsid w:val="00E444A2"/>
    <w:rsid w:val="00E445C9"/>
    <w:rsid w:val="00E446B0"/>
    <w:rsid w:val="00E447C7"/>
    <w:rsid w:val="00E44CD2"/>
    <w:rsid w:val="00E44F6A"/>
    <w:rsid w:val="00E451FF"/>
    <w:rsid w:val="00E454FF"/>
    <w:rsid w:val="00E4561A"/>
    <w:rsid w:val="00E45929"/>
    <w:rsid w:val="00E45C95"/>
    <w:rsid w:val="00E46099"/>
    <w:rsid w:val="00E4684F"/>
    <w:rsid w:val="00E46D19"/>
    <w:rsid w:val="00E46D85"/>
    <w:rsid w:val="00E47409"/>
    <w:rsid w:val="00E474DB"/>
    <w:rsid w:val="00E47AD7"/>
    <w:rsid w:val="00E47F3A"/>
    <w:rsid w:val="00E47F57"/>
    <w:rsid w:val="00E50AEB"/>
    <w:rsid w:val="00E50DDF"/>
    <w:rsid w:val="00E50E69"/>
    <w:rsid w:val="00E50EAD"/>
    <w:rsid w:val="00E50FC0"/>
    <w:rsid w:val="00E512F7"/>
    <w:rsid w:val="00E51510"/>
    <w:rsid w:val="00E515B0"/>
    <w:rsid w:val="00E515E8"/>
    <w:rsid w:val="00E51689"/>
    <w:rsid w:val="00E5180B"/>
    <w:rsid w:val="00E51BF8"/>
    <w:rsid w:val="00E51DFE"/>
    <w:rsid w:val="00E51EB6"/>
    <w:rsid w:val="00E52019"/>
    <w:rsid w:val="00E53557"/>
    <w:rsid w:val="00E53775"/>
    <w:rsid w:val="00E537BE"/>
    <w:rsid w:val="00E53DB0"/>
    <w:rsid w:val="00E53EBD"/>
    <w:rsid w:val="00E5405D"/>
    <w:rsid w:val="00E540A0"/>
    <w:rsid w:val="00E546B3"/>
    <w:rsid w:val="00E55018"/>
    <w:rsid w:val="00E55229"/>
    <w:rsid w:val="00E554C7"/>
    <w:rsid w:val="00E556AF"/>
    <w:rsid w:val="00E5586F"/>
    <w:rsid w:val="00E558F1"/>
    <w:rsid w:val="00E56061"/>
    <w:rsid w:val="00E5625A"/>
    <w:rsid w:val="00E56B25"/>
    <w:rsid w:val="00E56CD9"/>
    <w:rsid w:val="00E57183"/>
    <w:rsid w:val="00E573C8"/>
    <w:rsid w:val="00E57906"/>
    <w:rsid w:val="00E60228"/>
    <w:rsid w:val="00E60440"/>
    <w:rsid w:val="00E60454"/>
    <w:rsid w:val="00E607CF"/>
    <w:rsid w:val="00E60C9F"/>
    <w:rsid w:val="00E60DDA"/>
    <w:rsid w:val="00E60E55"/>
    <w:rsid w:val="00E60F6E"/>
    <w:rsid w:val="00E6152D"/>
    <w:rsid w:val="00E61B8E"/>
    <w:rsid w:val="00E61CE2"/>
    <w:rsid w:val="00E620C9"/>
    <w:rsid w:val="00E623F2"/>
    <w:rsid w:val="00E62545"/>
    <w:rsid w:val="00E625F2"/>
    <w:rsid w:val="00E626F9"/>
    <w:rsid w:val="00E6275A"/>
    <w:rsid w:val="00E6287C"/>
    <w:rsid w:val="00E628C2"/>
    <w:rsid w:val="00E631BA"/>
    <w:rsid w:val="00E6326C"/>
    <w:rsid w:val="00E6335F"/>
    <w:rsid w:val="00E6336C"/>
    <w:rsid w:val="00E63821"/>
    <w:rsid w:val="00E63E44"/>
    <w:rsid w:val="00E640CC"/>
    <w:rsid w:val="00E644FF"/>
    <w:rsid w:val="00E6463E"/>
    <w:rsid w:val="00E64708"/>
    <w:rsid w:val="00E64D11"/>
    <w:rsid w:val="00E64F4C"/>
    <w:rsid w:val="00E64F50"/>
    <w:rsid w:val="00E64FCA"/>
    <w:rsid w:val="00E651CA"/>
    <w:rsid w:val="00E6539B"/>
    <w:rsid w:val="00E65A02"/>
    <w:rsid w:val="00E65A3B"/>
    <w:rsid w:val="00E65D0A"/>
    <w:rsid w:val="00E65D43"/>
    <w:rsid w:val="00E65F62"/>
    <w:rsid w:val="00E6659E"/>
    <w:rsid w:val="00E66B39"/>
    <w:rsid w:val="00E66C6E"/>
    <w:rsid w:val="00E67135"/>
    <w:rsid w:val="00E6752A"/>
    <w:rsid w:val="00E6767C"/>
    <w:rsid w:val="00E677CF"/>
    <w:rsid w:val="00E67881"/>
    <w:rsid w:val="00E67A91"/>
    <w:rsid w:val="00E67B19"/>
    <w:rsid w:val="00E67BE0"/>
    <w:rsid w:val="00E67CDC"/>
    <w:rsid w:val="00E67DCD"/>
    <w:rsid w:val="00E67ED6"/>
    <w:rsid w:val="00E702D2"/>
    <w:rsid w:val="00E7036E"/>
    <w:rsid w:val="00E7072B"/>
    <w:rsid w:val="00E70A0A"/>
    <w:rsid w:val="00E71500"/>
    <w:rsid w:val="00E715B7"/>
    <w:rsid w:val="00E71A0B"/>
    <w:rsid w:val="00E72021"/>
    <w:rsid w:val="00E720EC"/>
    <w:rsid w:val="00E734FA"/>
    <w:rsid w:val="00E73762"/>
    <w:rsid w:val="00E73B76"/>
    <w:rsid w:val="00E73BD8"/>
    <w:rsid w:val="00E73D65"/>
    <w:rsid w:val="00E73FA0"/>
    <w:rsid w:val="00E748CE"/>
    <w:rsid w:val="00E74928"/>
    <w:rsid w:val="00E74A5C"/>
    <w:rsid w:val="00E74B90"/>
    <w:rsid w:val="00E74BDE"/>
    <w:rsid w:val="00E74D8E"/>
    <w:rsid w:val="00E74EFF"/>
    <w:rsid w:val="00E7517D"/>
    <w:rsid w:val="00E7544E"/>
    <w:rsid w:val="00E754F9"/>
    <w:rsid w:val="00E7554B"/>
    <w:rsid w:val="00E75619"/>
    <w:rsid w:val="00E75A7A"/>
    <w:rsid w:val="00E75B9B"/>
    <w:rsid w:val="00E75E84"/>
    <w:rsid w:val="00E76165"/>
    <w:rsid w:val="00E7637E"/>
    <w:rsid w:val="00E763E7"/>
    <w:rsid w:val="00E764B8"/>
    <w:rsid w:val="00E76959"/>
    <w:rsid w:val="00E76B1C"/>
    <w:rsid w:val="00E76C8B"/>
    <w:rsid w:val="00E76D6E"/>
    <w:rsid w:val="00E76E07"/>
    <w:rsid w:val="00E76F61"/>
    <w:rsid w:val="00E76FDF"/>
    <w:rsid w:val="00E774DF"/>
    <w:rsid w:val="00E77BD9"/>
    <w:rsid w:val="00E77D82"/>
    <w:rsid w:val="00E80ACD"/>
    <w:rsid w:val="00E80B23"/>
    <w:rsid w:val="00E80BBE"/>
    <w:rsid w:val="00E80E4D"/>
    <w:rsid w:val="00E80F7C"/>
    <w:rsid w:val="00E8131F"/>
    <w:rsid w:val="00E814CF"/>
    <w:rsid w:val="00E81AEA"/>
    <w:rsid w:val="00E81F1B"/>
    <w:rsid w:val="00E82010"/>
    <w:rsid w:val="00E82130"/>
    <w:rsid w:val="00E8216E"/>
    <w:rsid w:val="00E82399"/>
    <w:rsid w:val="00E829A1"/>
    <w:rsid w:val="00E83090"/>
    <w:rsid w:val="00E8318F"/>
    <w:rsid w:val="00E831DF"/>
    <w:rsid w:val="00E83554"/>
    <w:rsid w:val="00E83657"/>
    <w:rsid w:val="00E8376F"/>
    <w:rsid w:val="00E84164"/>
    <w:rsid w:val="00E844EB"/>
    <w:rsid w:val="00E84A78"/>
    <w:rsid w:val="00E84C46"/>
    <w:rsid w:val="00E8575F"/>
    <w:rsid w:val="00E857E0"/>
    <w:rsid w:val="00E85BAD"/>
    <w:rsid w:val="00E85C79"/>
    <w:rsid w:val="00E86023"/>
    <w:rsid w:val="00E860F6"/>
    <w:rsid w:val="00E86523"/>
    <w:rsid w:val="00E867AC"/>
    <w:rsid w:val="00E871DA"/>
    <w:rsid w:val="00E87501"/>
    <w:rsid w:val="00E87A1B"/>
    <w:rsid w:val="00E87B4F"/>
    <w:rsid w:val="00E87B5F"/>
    <w:rsid w:val="00E87BA0"/>
    <w:rsid w:val="00E90053"/>
    <w:rsid w:val="00E901C4"/>
    <w:rsid w:val="00E90945"/>
    <w:rsid w:val="00E90B03"/>
    <w:rsid w:val="00E90D60"/>
    <w:rsid w:val="00E90F91"/>
    <w:rsid w:val="00E91033"/>
    <w:rsid w:val="00E912A6"/>
    <w:rsid w:val="00E91AF1"/>
    <w:rsid w:val="00E9297F"/>
    <w:rsid w:val="00E9335C"/>
    <w:rsid w:val="00E93433"/>
    <w:rsid w:val="00E93D35"/>
    <w:rsid w:val="00E93EB7"/>
    <w:rsid w:val="00E9466B"/>
    <w:rsid w:val="00E9470D"/>
    <w:rsid w:val="00E947F8"/>
    <w:rsid w:val="00E949D0"/>
    <w:rsid w:val="00E94A70"/>
    <w:rsid w:val="00E94B43"/>
    <w:rsid w:val="00E9519F"/>
    <w:rsid w:val="00E953E0"/>
    <w:rsid w:val="00E953F2"/>
    <w:rsid w:val="00E9562A"/>
    <w:rsid w:val="00E95C3B"/>
    <w:rsid w:val="00E95FB4"/>
    <w:rsid w:val="00E960E4"/>
    <w:rsid w:val="00E964AA"/>
    <w:rsid w:val="00E966B3"/>
    <w:rsid w:val="00E96AE1"/>
    <w:rsid w:val="00E96AFD"/>
    <w:rsid w:val="00E96B17"/>
    <w:rsid w:val="00E97433"/>
    <w:rsid w:val="00E9749D"/>
    <w:rsid w:val="00E97CC2"/>
    <w:rsid w:val="00E97E83"/>
    <w:rsid w:val="00EA054E"/>
    <w:rsid w:val="00EA077E"/>
    <w:rsid w:val="00EA0E14"/>
    <w:rsid w:val="00EA0E84"/>
    <w:rsid w:val="00EA1D0C"/>
    <w:rsid w:val="00EA22EC"/>
    <w:rsid w:val="00EA266A"/>
    <w:rsid w:val="00EA28B6"/>
    <w:rsid w:val="00EA2C9B"/>
    <w:rsid w:val="00EA2D74"/>
    <w:rsid w:val="00EA3077"/>
    <w:rsid w:val="00EA30EE"/>
    <w:rsid w:val="00EA3174"/>
    <w:rsid w:val="00EA33ED"/>
    <w:rsid w:val="00EA365F"/>
    <w:rsid w:val="00EA3AF1"/>
    <w:rsid w:val="00EA3DBD"/>
    <w:rsid w:val="00EA3DEF"/>
    <w:rsid w:val="00EA4693"/>
    <w:rsid w:val="00EA476A"/>
    <w:rsid w:val="00EA4961"/>
    <w:rsid w:val="00EA4A98"/>
    <w:rsid w:val="00EA4BF0"/>
    <w:rsid w:val="00EA4CC2"/>
    <w:rsid w:val="00EA543C"/>
    <w:rsid w:val="00EA547A"/>
    <w:rsid w:val="00EA5868"/>
    <w:rsid w:val="00EA66A7"/>
    <w:rsid w:val="00EA6B30"/>
    <w:rsid w:val="00EA6DBA"/>
    <w:rsid w:val="00EA70B2"/>
    <w:rsid w:val="00EA720F"/>
    <w:rsid w:val="00EA74A9"/>
    <w:rsid w:val="00EA7BE4"/>
    <w:rsid w:val="00EA7C77"/>
    <w:rsid w:val="00EA7D2D"/>
    <w:rsid w:val="00EA7E08"/>
    <w:rsid w:val="00EA7E5D"/>
    <w:rsid w:val="00EA7EFF"/>
    <w:rsid w:val="00EB0122"/>
    <w:rsid w:val="00EB046B"/>
    <w:rsid w:val="00EB060F"/>
    <w:rsid w:val="00EB096B"/>
    <w:rsid w:val="00EB0B0B"/>
    <w:rsid w:val="00EB12CE"/>
    <w:rsid w:val="00EB17A3"/>
    <w:rsid w:val="00EB1FB4"/>
    <w:rsid w:val="00EB2A8F"/>
    <w:rsid w:val="00EB2ADF"/>
    <w:rsid w:val="00EB2B83"/>
    <w:rsid w:val="00EB2E1C"/>
    <w:rsid w:val="00EB2EA9"/>
    <w:rsid w:val="00EB2ED2"/>
    <w:rsid w:val="00EB2F4B"/>
    <w:rsid w:val="00EB3C6A"/>
    <w:rsid w:val="00EB3CCC"/>
    <w:rsid w:val="00EB4363"/>
    <w:rsid w:val="00EB4802"/>
    <w:rsid w:val="00EB4AE0"/>
    <w:rsid w:val="00EB4B44"/>
    <w:rsid w:val="00EB4C67"/>
    <w:rsid w:val="00EB4DA2"/>
    <w:rsid w:val="00EB4E5A"/>
    <w:rsid w:val="00EB5082"/>
    <w:rsid w:val="00EB532D"/>
    <w:rsid w:val="00EB53BF"/>
    <w:rsid w:val="00EB598A"/>
    <w:rsid w:val="00EB5CAB"/>
    <w:rsid w:val="00EB5CD6"/>
    <w:rsid w:val="00EB5DE2"/>
    <w:rsid w:val="00EB6002"/>
    <w:rsid w:val="00EB606B"/>
    <w:rsid w:val="00EB6ACA"/>
    <w:rsid w:val="00EB6D99"/>
    <w:rsid w:val="00EB6FB7"/>
    <w:rsid w:val="00EB7338"/>
    <w:rsid w:val="00EB7454"/>
    <w:rsid w:val="00EB7494"/>
    <w:rsid w:val="00EB7521"/>
    <w:rsid w:val="00EB75B0"/>
    <w:rsid w:val="00EB7666"/>
    <w:rsid w:val="00EB7DED"/>
    <w:rsid w:val="00EC0066"/>
    <w:rsid w:val="00EC0266"/>
    <w:rsid w:val="00EC09C8"/>
    <w:rsid w:val="00EC0B1E"/>
    <w:rsid w:val="00EC0B61"/>
    <w:rsid w:val="00EC0CCD"/>
    <w:rsid w:val="00EC0F93"/>
    <w:rsid w:val="00EC0F99"/>
    <w:rsid w:val="00EC129E"/>
    <w:rsid w:val="00EC1A8E"/>
    <w:rsid w:val="00EC2682"/>
    <w:rsid w:val="00EC28C5"/>
    <w:rsid w:val="00EC2995"/>
    <w:rsid w:val="00EC2BF0"/>
    <w:rsid w:val="00EC2C95"/>
    <w:rsid w:val="00EC31BE"/>
    <w:rsid w:val="00EC34EF"/>
    <w:rsid w:val="00EC35CC"/>
    <w:rsid w:val="00EC4100"/>
    <w:rsid w:val="00EC434F"/>
    <w:rsid w:val="00EC4527"/>
    <w:rsid w:val="00EC4928"/>
    <w:rsid w:val="00EC4ABF"/>
    <w:rsid w:val="00EC4AC6"/>
    <w:rsid w:val="00EC4C77"/>
    <w:rsid w:val="00EC4EF1"/>
    <w:rsid w:val="00EC517B"/>
    <w:rsid w:val="00EC5282"/>
    <w:rsid w:val="00EC5C51"/>
    <w:rsid w:val="00EC5D2F"/>
    <w:rsid w:val="00EC6558"/>
    <w:rsid w:val="00EC6609"/>
    <w:rsid w:val="00EC6AA7"/>
    <w:rsid w:val="00EC6B15"/>
    <w:rsid w:val="00EC6C5F"/>
    <w:rsid w:val="00EC6C7A"/>
    <w:rsid w:val="00EC6E58"/>
    <w:rsid w:val="00EC6E76"/>
    <w:rsid w:val="00EC7043"/>
    <w:rsid w:val="00EC70BE"/>
    <w:rsid w:val="00EC7128"/>
    <w:rsid w:val="00EC75BA"/>
    <w:rsid w:val="00EC76B8"/>
    <w:rsid w:val="00EC7716"/>
    <w:rsid w:val="00EC7748"/>
    <w:rsid w:val="00EC792B"/>
    <w:rsid w:val="00EC796E"/>
    <w:rsid w:val="00EC7AC5"/>
    <w:rsid w:val="00EC7CE0"/>
    <w:rsid w:val="00EC7DB2"/>
    <w:rsid w:val="00EC7FC6"/>
    <w:rsid w:val="00ED0013"/>
    <w:rsid w:val="00ED079A"/>
    <w:rsid w:val="00ED0B67"/>
    <w:rsid w:val="00ED0E23"/>
    <w:rsid w:val="00ED0ECE"/>
    <w:rsid w:val="00ED0FB6"/>
    <w:rsid w:val="00ED1007"/>
    <w:rsid w:val="00ED12A8"/>
    <w:rsid w:val="00ED14B7"/>
    <w:rsid w:val="00ED18B9"/>
    <w:rsid w:val="00ED19F9"/>
    <w:rsid w:val="00ED1AD2"/>
    <w:rsid w:val="00ED1E68"/>
    <w:rsid w:val="00ED2382"/>
    <w:rsid w:val="00ED27C6"/>
    <w:rsid w:val="00ED2C7E"/>
    <w:rsid w:val="00ED32BB"/>
    <w:rsid w:val="00ED34B8"/>
    <w:rsid w:val="00ED37E5"/>
    <w:rsid w:val="00ED38D9"/>
    <w:rsid w:val="00ED3B00"/>
    <w:rsid w:val="00ED3BBD"/>
    <w:rsid w:val="00ED456B"/>
    <w:rsid w:val="00ED48E7"/>
    <w:rsid w:val="00ED49B2"/>
    <w:rsid w:val="00ED4D04"/>
    <w:rsid w:val="00ED4F37"/>
    <w:rsid w:val="00ED5205"/>
    <w:rsid w:val="00ED5209"/>
    <w:rsid w:val="00ED57D9"/>
    <w:rsid w:val="00ED60C2"/>
    <w:rsid w:val="00ED61F8"/>
    <w:rsid w:val="00ED6276"/>
    <w:rsid w:val="00ED65D9"/>
    <w:rsid w:val="00ED6929"/>
    <w:rsid w:val="00ED6D93"/>
    <w:rsid w:val="00ED731F"/>
    <w:rsid w:val="00ED73DB"/>
    <w:rsid w:val="00ED746D"/>
    <w:rsid w:val="00ED7917"/>
    <w:rsid w:val="00ED7BD9"/>
    <w:rsid w:val="00EE07FA"/>
    <w:rsid w:val="00EE0E35"/>
    <w:rsid w:val="00EE116E"/>
    <w:rsid w:val="00EE11E7"/>
    <w:rsid w:val="00EE1BCD"/>
    <w:rsid w:val="00EE225C"/>
    <w:rsid w:val="00EE28D7"/>
    <w:rsid w:val="00EE2978"/>
    <w:rsid w:val="00EE2ABC"/>
    <w:rsid w:val="00EE2AC8"/>
    <w:rsid w:val="00EE2B52"/>
    <w:rsid w:val="00EE3DCE"/>
    <w:rsid w:val="00EE4487"/>
    <w:rsid w:val="00EE510D"/>
    <w:rsid w:val="00EE528F"/>
    <w:rsid w:val="00EE53FA"/>
    <w:rsid w:val="00EE5472"/>
    <w:rsid w:val="00EE56A5"/>
    <w:rsid w:val="00EE56D2"/>
    <w:rsid w:val="00EE572E"/>
    <w:rsid w:val="00EE585C"/>
    <w:rsid w:val="00EE5866"/>
    <w:rsid w:val="00EE5B33"/>
    <w:rsid w:val="00EE5B63"/>
    <w:rsid w:val="00EE5D9C"/>
    <w:rsid w:val="00EE5F23"/>
    <w:rsid w:val="00EE6111"/>
    <w:rsid w:val="00EE615B"/>
    <w:rsid w:val="00EE6492"/>
    <w:rsid w:val="00EE66C2"/>
    <w:rsid w:val="00EE69C1"/>
    <w:rsid w:val="00EE7208"/>
    <w:rsid w:val="00EE780E"/>
    <w:rsid w:val="00EE7960"/>
    <w:rsid w:val="00EF0213"/>
    <w:rsid w:val="00EF0953"/>
    <w:rsid w:val="00EF0988"/>
    <w:rsid w:val="00EF0D9B"/>
    <w:rsid w:val="00EF13BC"/>
    <w:rsid w:val="00EF1829"/>
    <w:rsid w:val="00EF1922"/>
    <w:rsid w:val="00EF1A7F"/>
    <w:rsid w:val="00EF1FCA"/>
    <w:rsid w:val="00EF21FA"/>
    <w:rsid w:val="00EF30E0"/>
    <w:rsid w:val="00EF3249"/>
    <w:rsid w:val="00EF35AC"/>
    <w:rsid w:val="00EF35E0"/>
    <w:rsid w:val="00EF3790"/>
    <w:rsid w:val="00EF3A15"/>
    <w:rsid w:val="00EF4292"/>
    <w:rsid w:val="00EF43DB"/>
    <w:rsid w:val="00EF4430"/>
    <w:rsid w:val="00EF451E"/>
    <w:rsid w:val="00EF501E"/>
    <w:rsid w:val="00EF5051"/>
    <w:rsid w:val="00EF551D"/>
    <w:rsid w:val="00EF56E6"/>
    <w:rsid w:val="00EF5745"/>
    <w:rsid w:val="00EF58ED"/>
    <w:rsid w:val="00EF5B50"/>
    <w:rsid w:val="00EF5D85"/>
    <w:rsid w:val="00EF60D0"/>
    <w:rsid w:val="00EF6310"/>
    <w:rsid w:val="00EF6527"/>
    <w:rsid w:val="00EF6A12"/>
    <w:rsid w:val="00EF6C41"/>
    <w:rsid w:val="00EF7590"/>
    <w:rsid w:val="00EF760A"/>
    <w:rsid w:val="00EF7A48"/>
    <w:rsid w:val="00F00007"/>
    <w:rsid w:val="00F0004D"/>
    <w:rsid w:val="00F007F2"/>
    <w:rsid w:val="00F00893"/>
    <w:rsid w:val="00F008FD"/>
    <w:rsid w:val="00F010B9"/>
    <w:rsid w:val="00F012A2"/>
    <w:rsid w:val="00F0156E"/>
    <w:rsid w:val="00F017C9"/>
    <w:rsid w:val="00F0189E"/>
    <w:rsid w:val="00F01929"/>
    <w:rsid w:val="00F01CB2"/>
    <w:rsid w:val="00F01D89"/>
    <w:rsid w:val="00F0208E"/>
    <w:rsid w:val="00F02516"/>
    <w:rsid w:val="00F0262E"/>
    <w:rsid w:val="00F02644"/>
    <w:rsid w:val="00F02697"/>
    <w:rsid w:val="00F02A95"/>
    <w:rsid w:val="00F02C0A"/>
    <w:rsid w:val="00F02E46"/>
    <w:rsid w:val="00F02E92"/>
    <w:rsid w:val="00F034DC"/>
    <w:rsid w:val="00F0361D"/>
    <w:rsid w:val="00F03AB6"/>
    <w:rsid w:val="00F03DE2"/>
    <w:rsid w:val="00F04854"/>
    <w:rsid w:val="00F04C05"/>
    <w:rsid w:val="00F04F5E"/>
    <w:rsid w:val="00F061D2"/>
    <w:rsid w:val="00F0634B"/>
    <w:rsid w:val="00F0644B"/>
    <w:rsid w:val="00F064AD"/>
    <w:rsid w:val="00F065FA"/>
    <w:rsid w:val="00F0660F"/>
    <w:rsid w:val="00F06643"/>
    <w:rsid w:val="00F0672F"/>
    <w:rsid w:val="00F068F1"/>
    <w:rsid w:val="00F071D7"/>
    <w:rsid w:val="00F072FC"/>
    <w:rsid w:val="00F07983"/>
    <w:rsid w:val="00F07B32"/>
    <w:rsid w:val="00F07C70"/>
    <w:rsid w:val="00F07EAF"/>
    <w:rsid w:val="00F102AB"/>
    <w:rsid w:val="00F10BAA"/>
    <w:rsid w:val="00F10E6C"/>
    <w:rsid w:val="00F110F9"/>
    <w:rsid w:val="00F1140E"/>
    <w:rsid w:val="00F11427"/>
    <w:rsid w:val="00F116C9"/>
    <w:rsid w:val="00F11894"/>
    <w:rsid w:val="00F11B49"/>
    <w:rsid w:val="00F11DC8"/>
    <w:rsid w:val="00F11E00"/>
    <w:rsid w:val="00F11E75"/>
    <w:rsid w:val="00F11E89"/>
    <w:rsid w:val="00F12457"/>
    <w:rsid w:val="00F125F7"/>
    <w:rsid w:val="00F127C6"/>
    <w:rsid w:val="00F12818"/>
    <w:rsid w:val="00F12C6D"/>
    <w:rsid w:val="00F130B2"/>
    <w:rsid w:val="00F13EBF"/>
    <w:rsid w:val="00F14397"/>
    <w:rsid w:val="00F14ADD"/>
    <w:rsid w:val="00F14F0F"/>
    <w:rsid w:val="00F1510B"/>
    <w:rsid w:val="00F1549E"/>
    <w:rsid w:val="00F15565"/>
    <w:rsid w:val="00F157A3"/>
    <w:rsid w:val="00F157D7"/>
    <w:rsid w:val="00F15A83"/>
    <w:rsid w:val="00F15F22"/>
    <w:rsid w:val="00F16548"/>
    <w:rsid w:val="00F1691F"/>
    <w:rsid w:val="00F16AA3"/>
    <w:rsid w:val="00F16B03"/>
    <w:rsid w:val="00F16BE5"/>
    <w:rsid w:val="00F16E45"/>
    <w:rsid w:val="00F17153"/>
    <w:rsid w:val="00F1726F"/>
    <w:rsid w:val="00F17399"/>
    <w:rsid w:val="00F1750C"/>
    <w:rsid w:val="00F17743"/>
    <w:rsid w:val="00F17799"/>
    <w:rsid w:val="00F17B77"/>
    <w:rsid w:val="00F2026A"/>
    <w:rsid w:val="00F202CE"/>
    <w:rsid w:val="00F20654"/>
    <w:rsid w:val="00F207D1"/>
    <w:rsid w:val="00F20B1A"/>
    <w:rsid w:val="00F212A6"/>
    <w:rsid w:val="00F2273F"/>
    <w:rsid w:val="00F228FA"/>
    <w:rsid w:val="00F22948"/>
    <w:rsid w:val="00F22BE4"/>
    <w:rsid w:val="00F230E9"/>
    <w:rsid w:val="00F2315A"/>
    <w:rsid w:val="00F234B5"/>
    <w:rsid w:val="00F2363F"/>
    <w:rsid w:val="00F23CE9"/>
    <w:rsid w:val="00F23E06"/>
    <w:rsid w:val="00F243C6"/>
    <w:rsid w:val="00F247E9"/>
    <w:rsid w:val="00F25493"/>
    <w:rsid w:val="00F258AC"/>
    <w:rsid w:val="00F2598E"/>
    <w:rsid w:val="00F259B9"/>
    <w:rsid w:val="00F26053"/>
    <w:rsid w:val="00F26094"/>
    <w:rsid w:val="00F2618B"/>
    <w:rsid w:val="00F26223"/>
    <w:rsid w:val="00F26318"/>
    <w:rsid w:val="00F26507"/>
    <w:rsid w:val="00F2721A"/>
    <w:rsid w:val="00F27282"/>
    <w:rsid w:val="00F2740A"/>
    <w:rsid w:val="00F2746B"/>
    <w:rsid w:val="00F27F4C"/>
    <w:rsid w:val="00F27FF2"/>
    <w:rsid w:val="00F302C2"/>
    <w:rsid w:val="00F30643"/>
    <w:rsid w:val="00F30A63"/>
    <w:rsid w:val="00F30C75"/>
    <w:rsid w:val="00F312C8"/>
    <w:rsid w:val="00F314CD"/>
    <w:rsid w:val="00F31A0A"/>
    <w:rsid w:val="00F32330"/>
    <w:rsid w:val="00F32347"/>
    <w:rsid w:val="00F326A1"/>
    <w:rsid w:val="00F32836"/>
    <w:rsid w:val="00F32AB8"/>
    <w:rsid w:val="00F3305C"/>
    <w:rsid w:val="00F331B8"/>
    <w:rsid w:val="00F33723"/>
    <w:rsid w:val="00F33CF1"/>
    <w:rsid w:val="00F34129"/>
    <w:rsid w:val="00F3448C"/>
    <w:rsid w:val="00F3475A"/>
    <w:rsid w:val="00F349FE"/>
    <w:rsid w:val="00F34C57"/>
    <w:rsid w:val="00F34E76"/>
    <w:rsid w:val="00F35057"/>
    <w:rsid w:val="00F3506B"/>
    <w:rsid w:val="00F35259"/>
    <w:rsid w:val="00F352BD"/>
    <w:rsid w:val="00F3547B"/>
    <w:rsid w:val="00F355CB"/>
    <w:rsid w:val="00F357B3"/>
    <w:rsid w:val="00F3640B"/>
    <w:rsid w:val="00F36419"/>
    <w:rsid w:val="00F367C1"/>
    <w:rsid w:val="00F36951"/>
    <w:rsid w:val="00F37102"/>
    <w:rsid w:val="00F37E60"/>
    <w:rsid w:val="00F401B0"/>
    <w:rsid w:val="00F40383"/>
    <w:rsid w:val="00F40792"/>
    <w:rsid w:val="00F407D5"/>
    <w:rsid w:val="00F40C2E"/>
    <w:rsid w:val="00F413F2"/>
    <w:rsid w:val="00F41794"/>
    <w:rsid w:val="00F419C3"/>
    <w:rsid w:val="00F4220B"/>
    <w:rsid w:val="00F42485"/>
    <w:rsid w:val="00F4277C"/>
    <w:rsid w:val="00F42AE4"/>
    <w:rsid w:val="00F42BB4"/>
    <w:rsid w:val="00F42D4A"/>
    <w:rsid w:val="00F432C9"/>
    <w:rsid w:val="00F43334"/>
    <w:rsid w:val="00F4336A"/>
    <w:rsid w:val="00F433C1"/>
    <w:rsid w:val="00F434A6"/>
    <w:rsid w:val="00F439CE"/>
    <w:rsid w:val="00F43EDF"/>
    <w:rsid w:val="00F44026"/>
    <w:rsid w:val="00F442FC"/>
    <w:rsid w:val="00F44725"/>
    <w:rsid w:val="00F448E1"/>
    <w:rsid w:val="00F449F1"/>
    <w:rsid w:val="00F44CBC"/>
    <w:rsid w:val="00F44EEE"/>
    <w:rsid w:val="00F45182"/>
    <w:rsid w:val="00F45532"/>
    <w:rsid w:val="00F456A6"/>
    <w:rsid w:val="00F45AE0"/>
    <w:rsid w:val="00F45D3D"/>
    <w:rsid w:val="00F45DCA"/>
    <w:rsid w:val="00F4659F"/>
    <w:rsid w:val="00F46733"/>
    <w:rsid w:val="00F467D8"/>
    <w:rsid w:val="00F469C8"/>
    <w:rsid w:val="00F46A0A"/>
    <w:rsid w:val="00F47096"/>
    <w:rsid w:val="00F472D2"/>
    <w:rsid w:val="00F47DF1"/>
    <w:rsid w:val="00F50404"/>
    <w:rsid w:val="00F50589"/>
    <w:rsid w:val="00F50624"/>
    <w:rsid w:val="00F5070A"/>
    <w:rsid w:val="00F50BB1"/>
    <w:rsid w:val="00F50CE1"/>
    <w:rsid w:val="00F51000"/>
    <w:rsid w:val="00F518BD"/>
    <w:rsid w:val="00F5222D"/>
    <w:rsid w:val="00F5227F"/>
    <w:rsid w:val="00F52313"/>
    <w:rsid w:val="00F5281F"/>
    <w:rsid w:val="00F52BA8"/>
    <w:rsid w:val="00F52D15"/>
    <w:rsid w:val="00F530AB"/>
    <w:rsid w:val="00F533B4"/>
    <w:rsid w:val="00F537B0"/>
    <w:rsid w:val="00F53873"/>
    <w:rsid w:val="00F54078"/>
    <w:rsid w:val="00F54164"/>
    <w:rsid w:val="00F541B7"/>
    <w:rsid w:val="00F543C2"/>
    <w:rsid w:val="00F54410"/>
    <w:rsid w:val="00F5490D"/>
    <w:rsid w:val="00F54CC3"/>
    <w:rsid w:val="00F54CEA"/>
    <w:rsid w:val="00F54F82"/>
    <w:rsid w:val="00F55096"/>
    <w:rsid w:val="00F552EC"/>
    <w:rsid w:val="00F554F5"/>
    <w:rsid w:val="00F55E97"/>
    <w:rsid w:val="00F56426"/>
    <w:rsid w:val="00F5644C"/>
    <w:rsid w:val="00F56812"/>
    <w:rsid w:val="00F56A71"/>
    <w:rsid w:val="00F56BAE"/>
    <w:rsid w:val="00F56C3E"/>
    <w:rsid w:val="00F571B8"/>
    <w:rsid w:val="00F5762B"/>
    <w:rsid w:val="00F57F0B"/>
    <w:rsid w:val="00F607FA"/>
    <w:rsid w:val="00F60807"/>
    <w:rsid w:val="00F60989"/>
    <w:rsid w:val="00F60B1C"/>
    <w:rsid w:val="00F60CDA"/>
    <w:rsid w:val="00F60EC1"/>
    <w:rsid w:val="00F60FC8"/>
    <w:rsid w:val="00F610CB"/>
    <w:rsid w:val="00F619B0"/>
    <w:rsid w:val="00F62052"/>
    <w:rsid w:val="00F62102"/>
    <w:rsid w:val="00F625EE"/>
    <w:rsid w:val="00F627C7"/>
    <w:rsid w:val="00F62985"/>
    <w:rsid w:val="00F62A1D"/>
    <w:rsid w:val="00F62C86"/>
    <w:rsid w:val="00F62F66"/>
    <w:rsid w:val="00F630A3"/>
    <w:rsid w:val="00F634BE"/>
    <w:rsid w:val="00F6362E"/>
    <w:rsid w:val="00F6396F"/>
    <w:rsid w:val="00F639C1"/>
    <w:rsid w:val="00F63BCF"/>
    <w:rsid w:val="00F63F9A"/>
    <w:rsid w:val="00F651C4"/>
    <w:rsid w:val="00F651E3"/>
    <w:rsid w:val="00F655CE"/>
    <w:rsid w:val="00F65A0E"/>
    <w:rsid w:val="00F66047"/>
    <w:rsid w:val="00F66161"/>
    <w:rsid w:val="00F66233"/>
    <w:rsid w:val="00F6636C"/>
    <w:rsid w:val="00F663A7"/>
    <w:rsid w:val="00F6670E"/>
    <w:rsid w:val="00F66D2E"/>
    <w:rsid w:val="00F670E4"/>
    <w:rsid w:val="00F677DB"/>
    <w:rsid w:val="00F67BDE"/>
    <w:rsid w:val="00F67D6E"/>
    <w:rsid w:val="00F67DBC"/>
    <w:rsid w:val="00F67EFE"/>
    <w:rsid w:val="00F70152"/>
    <w:rsid w:val="00F7015C"/>
    <w:rsid w:val="00F70204"/>
    <w:rsid w:val="00F703FA"/>
    <w:rsid w:val="00F70650"/>
    <w:rsid w:val="00F706F5"/>
    <w:rsid w:val="00F70B11"/>
    <w:rsid w:val="00F70D4A"/>
    <w:rsid w:val="00F70F1B"/>
    <w:rsid w:val="00F71365"/>
    <w:rsid w:val="00F713CA"/>
    <w:rsid w:val="00F714CC"/>
    <w:rsid w:val="00F719E3"/>
    <w:rsid w:val="00F71E3E"/>
    <w:rsid w:val="00F71EC0"/>
    <w:rsid w:val="00F720C2"/>
    <w:rsid w:val="00F726A3"/>
    <w:rsid w:val="00F72D93"/>
    <w:rsid w:val="00F72E31"/>
    <w:rsid w:val="00F72E90"/>
    <w:rsid w:val="00F72F12"/>
    <w:rsid w:val="00F72FB4"/>
    <w:rsid w:val="00F735C6"/>
    <w:rsid w:val="00F73672"/>
    <w:rsid w:val="00F738B7"/>
    <w:rsid w:val="00F73A85"/>
    <w:rsid w:val="00F73DF0"/>
    <w:rsid w:val="00F742F9"/>
    <w:rsid w:val="00F74735"/>
    <w:rsid w:val="00F7497A"/>
    <w:rsid w:val="00F749CA"/>
    <w:rsid w:val="00F74E19"/>
    <w:rsid w:val="00F74E6B"/>
    <w:rsid w:val="00F75062"/>
    <w:rsid w:val="00F75113"/>
    <w:rsid w:val="00F7526D"/>
    <w:rsid w:val="00F753FB"/>
    <w:rsid w:val="00F75624"/>
    <w:rsid w:val="00F759E3"/>
    <w:rsid w:val="00F759F2"/>
    <w:rsid w:val="00F75F61"/>
    <w:rsid w:val="00F7610B"/>
    <w:rsid w:val="00F763DF"/>
    <w:rsid w:val="00F76783"/>
    <w:rsid w:val="00F76BAF"/>
    <w:rsid w:val="00F76C9B"/>
    <w:rsid w:val="00F76CCF"/>
    <w:rsid w:val="00F76F8F"/>
    <w:rsid w:val="00F7763E"/>
    <w:rsid w:val="00F77795"/>
    <w:rsid w:val="00F77965"/>
    <w:rsid w:val="00F77BD6"/>
    <w:rsid w:val="00F77DB0"/>
    <w:rsid w:val="00F77E7B"/>
    <w:rsid w:val="00F77F81"/>
    <w:rsid w:val="00F77FBD"/>
    <w:rsid w:val="00F803E9"/>
    <w:rsid w:val="00F80486"/>
    <w:rsid w:val="00F804BB"/>
    <w:rsid w:val="00F80EB0"/>
    <w:rsid w:val="00F810B2"/>
    <w:rsid w:val="00F817BC"/>
    <w:rsid w:val="00F818AC"/>
    <w:rsid w:val="00F82041"/>
    <w:rsid w:val="00F82599"/>
    <w:rsid w:val="00F82688"/>
    <w:rsid w:val="00F829BC"/>
    <w:rsid w:val="00F82DCC"/>
    <w:rsid w:val="00F8321D"/>
    <w:rsid w:val="00F8351D"/>
    <w:rsid w:val="00F838D9"/>
    <w:rsid w:val="00F83CBD"/>
    <w:rsid w:val="00F83FBF"/>
    <w:rsid w:val="00F84185"/>
    <w:rsid w:val="00F84432"/>
    <w:rsid w:val="00F84754"/>
    <w:rsid w:val="00F84758"/>
    <w:rsid w:val="00F84AD3"/>
    <w:rsid w:val="00F84E0A"/>
    <w:rsid w:val="00F84EF6"/>
    <w:rsid w:val="00F851C8"/>
    <w:rsid w:val="00F85561"/>
    <w:rsid w:val="00F8557C"/>
    <w:rsid w:val="00F858AC"/>
    <w:rsid w:val="00F862BB"/>
    <w:rsid w:val="00F862FF"/>
    <w:rsid w:val="00F86591"/>
    <w:rsid w:val="00F86733"/>
    <w:rsid w:val="00F86807"/>
    <w:rsid w:val="00F86BEE"/>
    <w:rsid w:val="00F86DC1"/>
    <w:rsid w:val="00F907B5"/>
    <w:rsid w:val="00F90DF1"/>
    <w:rsid w:val="00F90E60"/>
    <w:rsid w:val="00F90FAA"/>
    <w:rsid w:val="00F912F2"/>
    <w:rsid w:val="00F914CA"/>
    <w:rsid w:val="00F9155C"/>
    <w:rsid w:val="00F915E8"/>
    <w:rsid w:val="00F91E74"/>
    <w:rsid w:val="00F9206E"/>
    <w:rsid w:val="00F92327"/>
    <w:rsid w:val="00F92499"/>
    <w:rsid w:val="00F924C8"/>
    <w:rsid w:val="00F928A1"/>
    <w:rsid w:val="00F92E57"/>
    <w:rsid w:val="00F92F11"/>
    <w:rsid w:val="00F9316E"/>
    <w:rsid w:val="00F93349"/>
    <w:rsid w:val="00F93CAA"/>
    <w:rsid w:val="00F94221"/>
    <w:rsid w:val="00F94395"/>
    <w:rsid w:val="00F94485"/>
    <w:rsid w:val="00F94493"/>
    <w:rsid w:val="00F94539"/>
    <w:rsid w:val="00F94BFE"/>
    <w:rsid w:val="00F94FBA"/>
    <w:rsid w:val="00F951E0"/>
    <w:rsid w:val="00F9556C"/>
    <w:rsid w:val="00F95873"/>
    <w:rsid w:val="00F9598A"/>
    <w:rsid w:val="00F970DE"/>
    <w:rsid w:val="00F970EC"/>
    <w:rsid w:val="00F97125"/>
    <w:rsid w:val="00F971AF"/>
    <w:rsid w:val="00F97615"/>
    <w:rsid w:val="00F97B11"/>
    <w:rsid w:val="00FA0085"/>
    <w:rsid w:val="00FA02F7"/>
    <w:rsid w:val="00FA066B"/>
    <w:rsid w:val="00FA0864"/>
    <w:rsid w:val="00FA0BA5"/>
    <w:rsid w:val="00FA0FA8"/>
    <w:rsid w:val="00FA1125"/>
    <w:rsid w:val="00FA16DE"/>
    <w:rsid w:val="00FA16F2"/>
    <w:rsid w:val="00FA1937"/>
    <w:rsid w:val="00FA1A90"/>
    <w:rsid w:val="00FA2A41"/>
    <w:rsid w:val="00FA2A58"/>
    <w:rsid w:val="00FA2B42"/>
    <w:rsid w:val="00FA2C3F"/>
    <w:rsid w:val="00FA2E59"/>
    <w:rsid w:val="00FA321C"/>
    <w:rsid w:val="00FA362F"/>
    <w:rsid w:val="00FA3648"/>
    <w:rsid w:val="00FA3711"/>
    <w:rsid w:val="00FA407B"/>
    <w:rsid w:val="00FA41F9"/>
    <w:rsid w:val="00FA467A"/>
    <w:rsid w:val="00FA4713"/>
    <w:rsid w:val="00FA4E89"/>
    <w:rsid w:val="00FA5017"/>
    <w:rsid w:val="00FA571A"/>
    <w:rsid w:val="00FA5F3D"/>
    <w:rsid w:val="00FA6729"/>
    <w:rsid w:val="00FA682A"/>
    <w:rsid w:val="00FA6851"/>
    <w:rsid w:val="00FA6A25"/>
    <w:rsid w:val="00FA6A3D"/>
    <w:rsid w:val="00FA6F54"/>
    <w:rsid w:val="00FA71A4"/>
    <w:rsid w:val="00FA75A3"/>
    <w:rsid w:val="00FA75B7"/>
    <w:rsid w:val="00FA7AFF"/>
    <w:rsid w:val="00FA7ED0"/>
    <w:rsid w:val="00FB00E8"/>
    <w:rsid w:val="00FB0366"/>
    <w:rsid w:val="00FB0D56"/>
    <w:rsid w:val="00FB0F2A"/>
    <w:rsid w:val="00FB16A5"/>
    <w:rsid w:val="00FB17A5"/>
    <w:rsid w:val="00FB17EE"/>
    <w:rsid w:val="00FB1862"/>
    <w:rsid w:val="00FB2012"/>
    <w:rsid w:val="00FB20A2"/>
    <w:rsid w:val="00FB2672"/>
    <w:rsid w:val="00FB273A"/>
    <w:rsid w:val="00FB2EBE"/>
    <w:rsid w:val="00FB31A0"/>
    <w:rsid w:val="00FB3310"/>
    <w:rsid w:val="00FB3895"/>
    <w:rsid w:val="00FB39B6"/>
    <w:rsid w:val="00FB3AD2"/>
    <w:rsid w:val="00FB3DA3"/>
    <w:rsid w:val="00FB405A"/>
    <w:rsid w:val="00FB43A2"/>
    <w:rsid w:val="00FB4435"/>
    <w:rsid w:val="00FB4700"/>
    <w:rsid w:val="00FB473B"/>
    <w:rsid w:val="00FB4881"/>
    <w:rsid w:val="00FB4922"/>
    <w:rsid w:val="00FB4C75"/>
    <w:rsid w:val="00FB4D63"/>
    <w:rsid w:val="00FB4FED"/>
    <w:rsid w:val="00FB504B"/>
    <w:rsid w:val="00FB529F"/>
    <w:rsid w:val="00FB52F2"/>
    <w:rsid w:val="00FB59C7"/>
    <w:rsid w:val="00FB608D"/>
    <w:rsid w:val="00FB6BC1"/>
    <w:rsid w:val="00FB6BC7"/>
    <w:rsid w:val="00FB6CF2"/>
    <w:rsid w:val="00FB6D20"/>
    <w:rsid w:val="00FC029D"/>
    <w:rsid w:val="00FC04C0"/>
    <w:rsid w:val="00FC08BC"/>
    <w:rsid w:val="00FC0E38"/>
    <w:rsid w:val="00FC0EBF"/>
    <w:rsid w:val="00FC0FF1"/>
    <w:rsid w:val="00FC0FF9"/>
    <w:rsid w:val="00FC1180"/>
    <w:rsid w:val="00FC1251"/>
    <w:rsid w:val="00FC1383"/>
    <w:rsid w:val="00FC145C"/>
    <w:rsid w:val="00FC152F"/>
    <w:rsid w:val="00FC1563"/>
    <w:rsid w:val="00FC1D9A"/>
    <w:rsid w:val="00FC2073"/>
    <w:rsid w:val="00FC293A"/>
    <w:rsid w:val="00FC2EE1"/>
    <w:rsid w:val="00FC3124"/>
    <w:rsid w:val="00FC3217"/>
    <w:rsid w:val="00FC34CC"/>
    <w:rsid w:val="00FC3742"/>
    <w:rsid w:val="00FC3B7A"/>
    <w:rsid w:val="00FC409C"/>
    <w:rsid w:val="00FC4355"/>
    <w:rsid w:val="00FC450F"/>
    <w:rsid w:val="00FC495C"/>
    <w:rsid w:val="00FC49B7"/>
    <w:rsid w:val="00FC4EBB"/>
    <w:rsid w:val="00FC5005"/>
    <w:rsid w:val="00FC550D"/>
    <w:rsid w:val="00FC5BD9"/>
    <w:rsid w:val="00FC5CD1"/>
    <w:rsid w:val="00FC5E56"/>
    <w:rsid w:val="00FC610A"/>
    <w:rsid w:val="00FC6446"/>
    <w:rsid w:val="00FC6A21"/>
    <w:rsid w:val="00FC6B1C"/>
    <w:rsid w:val="00FC6DFD"/>
    <w:rsid w:val="00FC71A3"/>
    <w:rsid w:val="00FC780F"/>
    <w:rsid w:val="00FC797F"/>
    <w:rsid w:val="00FC7BB6"/>
    <w:rsid w:val="00FD0145"/>
    <w:rsid w:val="00FD045A"/>
    <w:rsid w:val="00FD0742"/>
    <w:rsid w:val="00FD076A"/>
    <w:rsid w:val="00FD07ED"/>
    <w:rsid w:val="00FD0958"/>
    <w:rsid w:val="00FD0962"/>
    <w:rsid w:val="00FD1042"/>
    <w:rsid w:val="00FD10B6"/>
    <w:rsid w:val="00FD1206"/>
    <w:rsid w:val="00FD1601"/>
    <w:rsid w:val="00FD18F7"/>
    <w:rsid w:val="00FD1D01"/>
    <w:rsid w:val="00FD1F06"/>
    <w:rsid w:val="00FD23B4"/>
    <w:rsid w:val="00FD2E5B"/>
    <w:rsid w:val="00FD3172"/>
    <w:rsid w:val="00FD3264"/>
    <w:rsid w:val="00FD3671"/>
    <w:rsid w:val="00FD3B01"/>
    <w:rsid w:val="00FD3C7A"/>
    <w:rsid w:val="00FD3F0F"/>
    <w:rsid w:val="00FD4901"/>
    <w:rsid w:val="00FD4C0D"/>
    <w:rsid w:val="00FD4C23"/>
    <w:rsid w:val="00FD4D36"/>
    <w:rsid w:val="00FD5097"/>
    <w:rsid w:val="00FD51B5"/>
    <w:rsid w:val="00FD58B8"/>
    <w:rsid w:val="00FD5B68"/>
    <w:rsid w:val="00FD6045"/>
    <w:rsid w:val="00FD6222"/>
    <w:rsid w:val="00FD6A4E"/>
    <w:rsid w:val="00FD6F3C"/>
    <w:rsid w:val="00FD705E"/>
    <w:rsid w:val="00FD71E9"/>
    <w:rsid w:val="00FD73B9"/>
    <w:rsid w:val="00FD776D"/>
    <w:rsid w:val="00FD77EB"/>
    <w:rsid w:val="00FD7958"/>
    <w:rsid w:val="00FD79CC"/>
    <w:rsid w:val="00FE02AA"/>
    <w:rsid w:val="00FE03C2"/>
    <w:rsid w:val="00FE05CB"/>
    <w:rsid w:val="00FE0853"/>
    <w:rsid w:val="00FE1235"/>
    <w:rsid w:val="00FE155A"/>
    <w:rsid w:val="00FE1780"/>
    <w:rsid w:val="00FE1A7C"/>
    <w:rsid w:val="00FE1B9D"/>
    <w:rsid w:val="00FE1BA5"/>
    <w:rsid w:val="00FE1E6B"/>
    <w:rsid w:val="00FE221F"/>
    <w:rsid w:val="00FE287B"/>
    <w:rsid w:val="00FE28EE"/>
    <w:rsid w:val="00FE31BA"/>
    <w:rsid w:val="00FE322A"/>
    <w:rsid w:val="00FE352D"/>
    <w:rsid w:val="00FE3AFB"/>
    <w:rsid w:val="00FE42CF"/>
    <w:rsid w:val="00FE4396"/>
    <w:rsid w:val="00FE4896"/>
    <w:rsid w:val="00FE4CBC"/>
    <w:rsid w:val="00FE4CEC"/>
    <w:rsid w:val="00FE4DD1"/>
    <w:rsid w:val="00FE558D"/>
    <w:rsid w:val="00FE55EA"/>
    <w:rsid w:val="00FE5F0C"/>
    <w:rsid w:val="00FE645D"/>
    <w:rsid w:val="00FE6A3B"/>
    <w:rsid w:val="00FE6E93"/>
    <w:rsid w:val="00FE70D9"/>
    <w:rsid w:val="00FE7649"/>
    <w:rsid w:val="00FE76A5"/>
    <w:rsid w:val="00FE7726"/>
    <w:rsid w:val="00FE79B6"/>
    <w:rsid w:val="00FE7B20"/>
    <w:rsid w:val="00FE7E76"/>
    <w:rsid w:val="00FE7F79"/>
    <w:rsid w:val="00FF03AB"/>
    <w:rsid w:val="00FF0562"/>
    <w:rsid w:val="00FF059A"/>
    <w:rsid w:val="00FF097D"/>
    <w:rsid w:val="00FF0A02"/>
    <w:rsid w:val="00FF0ADB"/>
    <w:rsid w:val="00FF0BBC"/>
    <w:rsid w:val="00FF0BBF"/>
    <w:rsid w:val="00FF0DE2"/>
    <w:rsid w:val="00FF0DE4"/>
    <w:rsid w:val="00FF11EE"/>
    <w:rsid w:val="00FF1204"/>
    <w:rsid w:val="00FF17B1"/>
    <w:rsid w:val="00FF1FD9"/>
    <w:rsid w:val="00FF20A3"/>
    <w:rsid w:val="00FF2259"/>
    <w:rsid w:val="00FF2BF8"/>
    <w:rsid w:val="00FF2D00"/>
    <w:rsid w:val="00FF2DB9"/>
    <w:rsid w:val="00FF2F20"/>
    <w:rsid w:val="00FF2F44"/>
    <w:rsid w:val="00FF304C"/>
    <w:rsid w:val="00FF31FC"/>
    <w:rsid w:val="00FF33DA"/>
    <w:rsid w:val="00FF34A8"/>
    <w:rsid w:val="00FF3B2F"/>
    <w:rsid w:val="00FF3BBC"/>
    <w:rsid w:val="00FF3EA9"/>
    <w:rsid w:val="00FF4123"/>
    <w:rsid w:val="00FF438C"/>
    <w:rsid w:val="00FF4599"/>
    <w:rsid w:val="00FF4709"/>
    <w:rsid w:val="00FF4756"/>
    <w:rsid w:val="00FF47D8"/>
    <w:rsid w:val="00FF487C"/>
    <w:rsid w:val="00FF4BEC"/>
    <w:rsid w:val="00FF4C6A"/>
    <w:rsid w:val="00FF4F99"/>
    <w:rsid w:val="00FF5136"/>
    <w:rsid w:val="00FF53D2"/>
    <w:rsid w:val="00FF5622"/>
    <w:rsid w:val="00FF5B18"/>
    <w:rsid w:val="00FF5CC3"/>
    <w:rsid w:val="00FF637C"/>
    <w:rsid w:val="00FF66CC"/>
    <w:rsid w:val="00FF6A42"/>
    <w:rsid w:val="00FF6AA6"/>
    <w:rsid w:val="00FF6EF9"/>
    <w:rsid w:val="00FF7893"/>
    <w:rsid w:val="00FF7925"/>
    <w:rsid w:val="00FF7D34"/>
    <w:rsid w:val="042EAE9C"/>
    <w:rsid w:val="043DA164"/>
    <w:rsid w:val="0447F760"/>
    <w:rsid w:val="0B6549DC"/>
    <w:rsid w:val="163AB8B2"/>
    <w:rsid w:val="176FB57D"/>
    <w:rsid w:val="1B3F4A74"/>
    <w:rsid w:val="1B869ED4"/>
    <w:rsid w:val="1BD88CB1"/>
    <w:rsid w:val="1BE39363"/>
    <w:rsid w:val="1CC825AF"/>
    <w:rsid w:val="1EA63FAE"/>
    <w:rsid w:val="203BDF62"/>
    <w:rsid w:val="207D897D"/>
    <w:rsid w:val="2093804C"/>
    <w:rsid w:val="2291142B"/>
    <w:rsid w:val="25153DD4"/>
    <w:rsid w:val="255E6995"/>
    <w:rsid w:val="27083F14"/>
    <w:rsid w:val="28E2CF99"/>
    <w:rsid w:val="29ACA0CB"/>
    <w:rsid w:val="29F45AC7"/>
    <w:rsid w:val="2A87451C"/>
    <w:rsid w:val="2C502078"/>
    <w:rsid w:val="2D47A11B"/>
    <w:rsid w:val="2DD06CBC"/>
    <w:rsid w:val="2F5FA022"/>
    <w:rsid w:val="31AFBD4C"/>
    <w:rsid w:val="35D8DB1E"/>
    <w:rsid w:val="3887197A"/>
    <w:rsid w:val="39AA9079"/>
    <w:rsid w:val="3AA2B3C6"/>
    <w:rsid w:val="3E91BEA7"/>
    <w:rsid w:val="40B3576B"/>
    <w:rsid w:val="437F55DB"/>
    <w:rsid w:val="43B3EA7C"/>
    <w:rsid w:val="47EA88FE"/>
    <w:rsid w:val="51CD5D50"/>
    <w:rsid w:val="527482AF"/>
    <w:rsid w:val="5997181A"/>
    <w:rsid w:val="59C21105"/>
    <w:rsid w:val="5B83E8AE"/>
    <w:rsid w:val="5E7D8D04"/>
    <w:rsid w:val="60A05D1C"/>
    <w:rsid w:val="613A0C12"/>
    <w:rsid w:val="61864E6F"/>
    <w:rsid w:val="63D3D5EE"/>
    <w:rsid w:val="63D845F8"/>
    <w:rsid w:val="65EA3F86"/>
    <w:rsid w:val="69FB4936"/>
    <w:rsid w:val="6D2D415F"/>
    <w:rsid w:val="6F5672FD"/>
    <w:rsid w:val="6FC6717B"/>
    <w:rsid w:val="70B9B321"/>
    <w:rsid w:val="73C091AA"/>
    <w:rsid w:val="7710508F"/>
    <w:rsid w:val="7A6705D2"/>
    <w:rsid w:val="7F7E3D1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F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6C30"/>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83067D"/>
    <w:rPr>
      <w:b/>
      <w:iCs/>
      <w:cap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6C30"/>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83067D"/>
    <w:rPr>
      <w:b/>
      <w:iCs/>
      <w:cap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036">
      <w:bodyDiv w:val="1"/>
      <w:marLeft w:val="0"/>
      <w:marRight w:val="0"/>
      <w:marTop w:val="0"/>
      <w:marBottom w:val="0"/>
      <w:divBdr>
        <w:top w:val="none" w:sz="0" w:space="0" w:color="auto"/>
        <w:left w:val="none" w:sz="0" w:space="0" w:color="auto"/>
        <w:bottom w:val="none" w:sz="0" w:space="0" w:color="auto"/>
        <w:right w:val="none" w:sz="0" w:space="0" w:color="auto"/>
      </w:divBdr>
    </w:div>
    <w:div w:id="28384293">
      <w:bodyDiv w:val="1"/>
      <w:marLeft w:val="0"/>
      <w:marRight w:val="0"/>
      <w:marTop w:val="0"/>
      <w:marBottom w:val="0"/>
      <w:divBdr>
        <w:top w:val="none" w:sz="0" w:space="0" w:color="auto"/>
        <w:left w:val="none" w:sz="0" w:space="0" w:color="auto"/>
        <w:bottom w:val="none" w:sz="0" w:space="0" w:color="auto"/>
        <w:right w:val="none" w:sz="0" w:space="0" w:color="auto"/>
      </w:divBdr>
    </w:div>
    <w:div w:id="36400119">
      <w:bodyDiv w:val="1"/>
      <w:marLeft w:val="0"/>
      <w:marRight w:val="0"/>
      <w:marTop w:val="0"/>
      <w:marBottom w:val="0"/>
      <w:divBdr>
        <w:top w:val="none" w:sz="0" w:space="0" w:color="auto"/>
        <w:left w:val="none" w:sz="0" w:space="0" w:color="auto"/>
        <w:bottom w:val="none" w:sz="0" w:space="0" w:color="auto"/>
        <w:right w:val="none" w:sz="0" w:space="0" w:color="auto"/>
      </w:divBdr>
    </w:div>
    <w:div w:id="41102839">
      <w:bodyDiv w:val="1"/>
      <w:marLeft w:val="0"/>
      <w:marRight w:val="0"/>
      <w:marTop w:val="0"/>
      <w:marBottom w:val="0"/>
      <w:divBdr>
        <w:top w:val="none" w:sz="0" w:space="0" w:color="auto"/>
        <w:left w:val="none" w:sz="0" w:space="0" w:color="auto"/>
        <w:bottom w:val="none" w:sz="0" w:space="0" w:color="auto"/>
        <w:right w:val="none" w:sz="0" w:space="0" w:color="auto"/>
      </w:divBdr>
    </w:div>
    <w:div w:id="53281613">
      <w:bodyDiv w:val="1"/>
      <w:marLeft w:val="0"/>
      <w:marRight w:val="0"/>
      <w:marTop w:val="0"/>
      <w:marBottom w:val="0"/>
      <w:divBdr>
        <w:top w:val="none" w:sz="0" w:space="0" w:color="auto"/>
        <w:left w:val="none" w:sz="0" w:space="0" w:color="auto"/>
        <w:bottom w:val="none" w:sz="0" w:space="0" w:color="auto"/>
        <w:right w:val="none" w:sz="0" w:space="0" w:color="auto"/>
      </w:divBdr>
    </w:div>
    <w:div w:id="55016142">
      <w:bodyDiv w:val="1"/>
      <w:marLeft w:val="0"/>
      <w:marRight w:val="0"/>
      <w:marTop w:val="0"/>
      <w:marBottom w:val="0"/>
      <w:divBdr>
        <w:top w:val="none" w:sz="0" w:space="0" w:color="auto"/>
        <w:left w:val="none" w:sz="0" w:space="0" w:color="auto"/>
        <w:bottom w:val="none" w:sz="0" w:space="0" w:color="auto"/>
        <w:right w:val="none" w:sz="0" w:space="0" w:color="auto"/>
      </w:divBdr>
    </w:div>
    <w:div w:id="65150505">
      <w:bodyDiv w:val="1"/>
      <w:marLeft w:val="0"/>
      <w:marRight w:val="0"/>
      <w:marTop w:val="0"/>
      <w:marBottom w:val="0"/>
      <w:divBdr>
        <w:top w:val="none" w:sz="0" w:space="0" w:color="auto"/>
        <w:left w:val="none" w:sz="0" w:space="0" w:color="auto"/>
        <w:bottom w:val="none" w:sz="0" w:space="0" w:color="auto"/>
        <w:right w:val="none" w:sz="0" w:space="0" w:color="auto"/>
      </w:divBdr>
    </w:div>
    <w:div w:id="67240560">
      <w:bodyDiv w:val="1"/>
      <w:marLeft w:val="0"/>
      <w:marRight w:val="0"/>
      <w:marTop w:val="0"/>
      <w:marBottom w:val="0"/>
      <w:divBdr>
        <w:top w:val="none" w:sz="0" w:space="0" w:color="auto"/>
        <w:left w:val="none" w:sz="0" w:space="0" w:color="auto"/>
        <w:bottom w:val="none" w:sz="0" w:space="0" w:color="auto"/>
        <w:right w:val="none" w:sz="0" w:space="0" w:color="auto"/>
      </w:divBdr>
    </w:div>
    <w:div w:id="69694883">
      <w:bodyDiv w:val="1"/>
      <w:marLeft w:val="0"/>
      <w:marRight w:val="0"/>
      <w:marTop w:val="0"/>
      <w:marBottom w:val="0"/>
      <w:divBdr>
        <w:top w:val="none" w:sz="0" w:space="0" w:color="auto"/>
        <w:left w:val="none" w:sz="0" w:space="0" w:color="auto"/>
        <w:bottom w:val="none" w:sz="0" w:space="0" w:color="auto"/>
        <w:right w:val="none" w:sz="0" w:space="0" w:color="auto"/>
      </w:divBdr>
    </w:div>
    <w:div w:id="72091074">
      <w:bodyDiv w:val="1"/>
      <w:marLeft w:val="0"/>
      <w:marRight w:val="0"/>
      <w:marTop w:val="0"/>
      <w:marBottom w:val="0"/>
      <w:divBdr>
        <w:top w:val="none" w:sz="0" w:space="0" w:color="auto"/>
        <w:left w:val="none" w:sz="0" w:space="0" w:color="auto"/>
        <w:bottom w:val="none" w:sz="0" w:space="0" w:color="auto"/>
        <w:right w:val="none" w:sz="0" w:space="0" w:color="auto"/>
      </w:divBdr>
    </w:div>
    <w:div w:id="83652861">
      <w:bodyDiv w:val="1"/>
      <w:marLeft w:val="0"/>
      <w:marRight w:val="0"/>
      <w:marTop w:val="0"/>
      <w:marBottom w:val="0"/>
      <w:divBdr>
        <w:top w:val="none" w:sz="0" w:space="0" w:color="auto"/>
        <w:left w:val="none" w:sz="0" w:space="0" w:color="auto"/>
        <w:bottom w:val="none" w:sz="0" w:space="0" w:color="auto"/>
        <w:right w:val="none" w:sz="0" w:space="0" w:color="auto"/>
      </w:divBdr>
    </w:div>
    <w:div w:id="99643172">
      <w:bodyDiv w:val="1"/>
      <w:marLeft w:val="0"/>
      <w:marRight w:val="0"/>
      <w:marTop w:val="0"/>
      <w:marBottom w:val="0"/>
      <w:divBdr>
        <w:top w:val="none" w:sz="0" w:space="0" w:color="auto"/>
        <w:left w:val="none" w:sz="0" w:space="0" w:color="auto"/>
        <w:bottom w:val="none" w:sz="0" w:space="0" w:color="auto"/>
        <w:right w:val="none" w:sz="0" w:space="0" w:color="auto"/>
      </w:divBdr>
    </w:div>
    <w:div w:id="99958094">
      <w:bodyDiv w:val="1"/>
      <w:marLeft w:val="0"/>
      <w:marRight w:val="0"/>
      <w:marTop w:val="0"/>
      <w:marBottom w:val="0"/>
      <w:divBdr>
        <w:top w:val="none" w:sz="0" w:space="0" w:color="auto"/>
        <w:left w:val="none" w:sz="0" w:space="0" w:color="auto"/>
        <w:bottom w:val="none" w:sz="0" w:space="0" w:color="auto"/>
        <w:right w:val="none" w:sz="0" w:space="0" w:color="auto"/>
      </w:divBdr>
    </w:div>
    <w:div w:id="100415675">
      <w:bodyDiv w:val="1"/>
      <w:marLeft w:val="0"/>
      <w:marRight w:val="0"/>
      <w:marTop w:val="0"/>
      <w:marBottom w:val="0"/>
      <w:divBdr>
        <w:top w:val="none" w:sz="0" w:space="0" w:color="auto"/>
        <w:left w:val="none" w:sz="0" w:space="0" w:color="auto"/>
        <w:bottom w:val="none" w:sz="0" w:space="0" w:color="auto"/>
        <w:right w:val="none" w:sz="0" w:space="0" w:color="auto"/>
      </w:divBdr>
    </w:div>
    <w:div w:id="112526933">
      <w:bodyDiv w:val="1"/>
      <w:marLeft w:val="0"/>
      <w:marRight w:val="0"/>
      <w:marTop w:val="0"/>
      <w:marBottom w:val="0"/>
      <w:divBdr>
        <w:top w:val="none" w:sz="0" w:space="0" w:color="auto"/>
        <w:left w:val="none" w:sz="0" w:space="0" w:color="auto"/>
        <w:bottom w:val="none" w:sz="0" w:space="0" w:color="auto"/>
        <w:right w:val="none" w:sz="0" w:space="0" w:color="auto"/>
      </w:divBdr>
    </w:div>
    <w:div w:id="112943691">
      <w:bodyDiv w:val="1"/>
      <w:marLeft w:val="0"/>
      <w:marRight w:val="0"/>
      <w:marTop w:val="0"/>
      <w:marBottom w:val="0"/>
      <w:divBdr>
        <w:top w:val="none" w:sz="0" w:space="0" w:color="auto"/>
        <w:left w:val="none" w:sz="0" w:space="0" w:color="auto"/>
        <w:bottom w:val="none" w:sz="0" w:space="0" w:color="auto"/>
        <w:right w:val="none" w:sz="0" w:space="0" w:color="auto"/>
      </w:divBdr>
    </w:div>
    <w:div w:id="132792457">
      <w:bodyDiv w:val="1"/>
      <w:marLeft w:val="0"/>
      <w:marRight w:val="0"/>
      <w:marTop w:val="0"/>
      <w:marBottom w:val="0"/>
      <w:divBdr>
        <w:top w:val="none" w:sz="0" w:space="0" w:color="auto"/>
        <w:left w:val="none" w:sz="0" w:space="0" w:color="auto"/>
        <w:bottom w:val="none" w:sz="0" w:space="0" w:color="auto"/>
        <w:right w:val="none" w:sz="0" w:space="0" w:color="auto"/>
      </w:divBdr>
    </w:div>
    <w:div w:id="141243291">
      <w:bodyDiv w:val="1"/>
      <w:marLeft w:val="0"/>
      <w:marRight w:val="0"/>
      <w:marTop w:val="0"/>
      <w:marBottom w:val="0"/>
      <w:divBdr>
        <w:top w:val="none" w:sz="0" w:space="0" w:color="auto"/>
        <w:left w:val="none" w:sz="0" w:space="0" w:color="auto"/>
        <w:bottom w:val="none" w:sz="0" w:space="0" w:color="auto"/>
        <w:right w:val="none" w:sz="0" w:space="0" w:color="auto"/>
      </w:divBdr>
    </w:div>
    <w:div w:id="144244819">
      <w:bodyDiv w:val="1"/>
      <w:marLeft w:val="0"/>
      <w:marRight w:val="0"/>
      <w:marTop w:val="0"/>
      <w:marBottom w:val="0"/>
      <w:divBdr>
        <w:top w:val="none" w:sz="0" w:space="0" w:color="auto"/>
        <w:left w:val="none" w:sz="0" w:space="0" w:color="auto"/>
        <w:bottom w:val="none" w:sz="0" w:space="0" w:color="auto"/>
        <w:right w:val="none" w:sz="0" w:space="0" w:color="auto"/>
      </w:divBdr>
    </w:div>
    <w:div w:id="176233101">
      <w:bodyDiv w:val="1"/>
      <w:marLeft w:val="0"/>
      <w:marRight w:val="0"/>
      <w:marTop w:val="0"/>
      <w:marBottom w:val="0"/>
      <w:divBdr>
        <w:top w:val="none" w:sz="0" w:space="0" w:color="auto"/>
        <w:left w:val="none" w:sz="0" w:space="0" w:color="auto"/>
        <w:bottom w:val="none" w:sz="0" w:space="0" w:color="auto"/>
        <w:right w:val="none" w:sz="0" w:space="0" w:color="auto"/>
      </w:divBdr>
    </w:div>
    <w:div w:id="176383975">
      <w:bodyDiv w:val="1"/>
      <w:marLeft w:val="0"/>
      <w:marRight w:val="0"/>
      <w:marTop w:val="0"/>
      <w:marBottom w:val="0"/>
      <w:divBdr>
        <w:top w:val="none" w:sz="0" w:space="0" w:color="auto"/>
        <w:left w:val="none" w:sz="0" w:space="0" w:color="auto"/>
        <w:bottom w:val="none" w:sz="0" w:space="0" w:color="auto"/>
        <w:right w:val="none" w:sz="0" w:space="0" w:color="auto"/>
      </w:divBdr>
    </w:div>
    <w:div w:id="179512026">
      <w:bodyDiv w:val="1"/>
      <w:marLeft w:val="0"/>
      <w:marRight w:val="0"/>
      <w:marTop w:val="0"/>
      <w:marBottom w:val="0"/>
      <w:divBdr>
        <w:top w:val="none" w:sz="0" w:space="0" w:color="auto"/>
        <w:left w:val="none" w:sz="0" w:space="0" w:color="auto"/>
        <w:bottom w:val="none" w:sz="0" w:space="0" w:color="auto"/>
        <w:right w:val="none" w:sz="0" w:space="0" w:color="auto"/>
      </w:divBdr>
    </w:div>
    <w:div w:id="194008701">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39605184">
      <w:bodyDiv w:val="1"/>
      <w:marLeft w:val="0"/>
      <w:marRight w:val="0"/>
      <w:marTop w:val="0"/>
      <w:marBottom w:val="0"/>
      <w:divBdr>
        <w:top w:val="none" w:sz="0" w:space="0" w:color="auto"/>
        <w:left w:val="none" w:sz="0" w:space="0" w:color="auto"/>
        <w:bottom w:val="none" w:sz="0" w:space="0" w:color="auto"/>
        <w:right w:val="none" w:sz="0" w:space="0" w:color="auto"/>
      </w:divBdr>
    </w:div>
    <w:div w:id="239684278">
      <w:bodyDiv w:val="1"/>
      <w:marLeft w:val="0"/>
      <w:marRight w:val="0"/>
      <w:marTop w:val="0"/>
      <w:marBottom w:val="0"/>
      <w:divBdr>
        <w:top w:val="none" w:sz="0" w:space="0" w:color="auto"/>
        <w:left w:val="none" w:sz="0" w:space="0" w:color="auto"/>
        <w:bottom w:val="none" w:sz="0" w:space="0" w:color="auto"/>
        <w:right w:val="none" w:sz="0" w:space="0" w:color="auto"/>
      </w:divBdr>
    </w:div>
    <w:div w:id="240531394">
      <w:bodyDiv w:val="1"/>
      <w:marLeft w:val="0"/>
      <w:marRight w:val="0"/>
      <w:marTop w:val="0"/>
      <w:marBottom w:val="0"/>
      <w:divBdr>
        <w:top w:val="none" w:sz="0" w:space="0" w:color="auto"/>
        <w:left w:val="none" w:sz="0" w:space="0" w:color="auto"/>
        <w:bottom w:val="none" w:sz="0" w:space="0" w:color="auto"/>
        <w:right w:val="none" w:sz="0" w:space="0" w:color="auto"/>
      </w:divBdr>
    </w:div>
    <w:div w:id="240649160">
      <w:bodyDiv w:val="1"/>
      <w:marLeft w:val="0"/>
      <w:marRight w:val="0"/>
      <w:marTop w:val="0"/>
      <w:marBottom w:val="0"/>
      <w:divBdr>
        <w:top w:val="none" w:sz="0" w:space="0" w:color="auto"/>
        <w:left w:val="none" w:sz="0" w:space="0" w:color="auto"/>
        <w:bottom w:val="none" w:sz="0" w:space="0" w:color="auto"/>
        <w:right w:val="none" w:sz="0" w:space="0" w:color="auto"/>
      </w:divBdr>
    </w:div>
    <w:div w:id="251469864">
      <w:bodyDiv w:val="1"/>
      <w:marLeft w:val="0"/>
      <w:marRight w:val="0"/>
      <w:marTop w:val="0"/>
      <w:marBottom w:val="0"/>
      <w:divBdr>
        <w:top w:val="none" w:sz="0" w:space="0" w:color="auto"/>
        <w:left w:val="none" w:sz="0" w:space="0" w:color="auto"/>
        <w:bottom w:val="none" w:sz="0" w:space="0" w:color="auto"/>
        <w:right w:val="none" w:sz="0" w:space="0" w:color="auto"/>
      </w:divBdr>
    </w:div>
    <w:div w:id="255404554">
      <w:bodyDiv w:val="1"/>
      <w:marLeft w:val="0"/>
      <w:marRight w:val="0"/>
      <w:marTop w:val="0"/>
      <w:marBottom w:val="0"/>
      <w:divBdr>
        <w:top w:val="none" w:sz="0" w:space="0" w:color="auto"/>
        <w:left w:val="none" w:sz="0" w:space="0" w:color="auto"/>
        <w:bottom w:val="none" w:sz="0" w:space="0" w:color="auto"/>
        <w:right w:val="none" w:sz="0" w:space="0" w:color="auto"/>
      </w:divBdr>
    </w:div>
    <w:div w:id="257064155">
      <w:bodyDiv w:val="1"/>
      <w:marLeft w:val="0"/>
      <w:marRight w:val="0"/>
      <w:marTop w:val="0"/>
      <w:marBottom w:val="0"/>
      <w:divBdr>
        <w:top w:val="none" w:sz="0" w:space="0" w:color="auto"/>
        <w:left w:val="none" w:sz="0" w:space="0" w:color="auto"/>
        <w:bottom w:val="none" w:sz="0" w:space="0" w:color="auto"/>
        <w:right w:val="none" w:sz="0" w:space="0" w:color="auto"/>
      </w:divBdr>
    </w:div>
    <w:div w:id="284392711">
      <w:bodyDiv w:val="1"/>
      <w:marLeft w:val="0"/>
      <w:marRight w:val="0"/>
      <w:marTop w:val="0"/>
      <w:marBottom w:val="0"/>
      <w:divBdr>
        <w:top w:val="none" w:sz="0" w:space="0" w:color="auto"/>
        <w:left w:val="none" w:sz="0" w:space="0" w:color="auto"/>
        <w:bottom w:val="none" w:sz="0" w:space="0" w:color="auto"/>
        <w:right w:val="none" w:sz="0" w:space="0" w:color="auto"/>
      </w:divBdr>
    </w:div>
    <w:div w:id="303589234">
      <w:bodyDiv w:val="1"/>
      <w:marLeft w:val="0"/>
      <w:marRight w:val="0"/>
      <w:marTop w:val="0"/>
      <w:marBottom w:val="0"/>
      <w:divBdr>
        <w:top w:val="none" w:sz="0" w:space="0" w:color="auto"/>
        <w:left w:val="none" w:sz="0" w:space="0" w:color="auto"/>
        <w:bottom w:val="none" w:sz="0" w:space="0" w:color="auto"/>
        <w:right w:val="none" w:sz="0" w:space="0" w:color="auto"/>
      </w:divBdr>
    </w:div>
    <w:div w:id="317005482">
      <w:bodyDiv w:val="1"/>
      <w:marLeft w:val="0"/>
      <w:marRight w:val="0"/>
      <w:marTop w:val="0"/>
      <w:marBottom w:val="0"/>
      <w:divBdr>
        <w:top w:val="none" w:sz="0" w:space="0" w:color="auto"/>
        <w:left w:val="none" w:sz="0" w:space="0" w:color="auto"/>
        <w:bottom w:val="none" w:sz="0" w:space="0" w:color="auto"/>
        <w:right w:val="none" w:sz="0" w:space="0" w:color="auto"/>
      </w:divBdr>
    </w:div>
    <w:div w:id="340012044">
      <w:bodyDiv w:val="1"/>
      <w:marLeft w:val="0"/>
      <w:marRight w:val="0"/>
      <w:marTop w:val="0"/>
      <w:marBottom w:val="0"/>
      <w:divBdr>
        <w:top w:val="none" w:sz="0" w:space="0" w:color="auto"/>
        <w:left w:val="none" w:sz="0" w:space="0" w:color="auto"/>
        <w:bottom w:val="none" w:sz="0" w:space="0" w:color="auto"/>
        <w:right w:val="none" w:sz="0" w:space="0" w:color="auto"/>
      </w:divBdr>
    </w:div>
    <w:div w:id="340087641">
      <w:bodyDiv w:val="1"/>
      <w:marLeft w:val="0"/>
      <w:marRight w:val="0"/>
      <w:marTop w:val="0"/>
      <w:marBottom w:val="0"/>
      <w:divBdr>
        <w:top w:val="none" w:sz="0" w:space="0" w:color="auto"/>
        <w:left w:val="none" w:sz="0" w:space="0" w:color="auto"/>
        <w:bottom w:val="none" w:sz="0" w:space="0" w:color="auto"/>
        <w:right w:val="none" w:sz="0" w:space="0" w:color="auto"/>
      </w:divBdr>
    </w:div>
    <w:div w:id="355614950">
      <w:bodyDiv w:val="1"/>
      <w:marLeft w:val="0"/>
      <w:marRight w:val="0"/>
      <w:marTop w:val="0"/>
      <w:marBottom w:val="0"/>
      <w:divBdr>
        <w:top w:val="none" w:sz="0" w:space="0" w:color="auto"/>
        <w:left w:val="none" w:sz="0" w:space="0" w:color="auto"/>
        <w:bottom w:val="none" w:sz="0" w:space="0" w:color="auto"/>
        <w:right w:val="none" w:sz="0" w:space="0" w:color="auto"/>
      </w:divBdr>
    </w:div>
    <w:div w:id="358436226">
      <w:bodyDiv w:val="1"/>
      <w:marLeft w:val="0"/>
      <w:marRight w:val="0"/>
      <w:marTop w:val="0"/>
      <w:marBottom w:val="0"/>
      <w:divBdr>
        <w:top w:val="none" w:sz="0" w:space="0" w:color="auto"/>
        <w:left w:val="none" w:sz="0" w:space="0" w:color="auto"/>
        <w:bottom w:val="none" w:sz="0" w:space="0" w:color="auto"/>
        <w:right w:val="none" w:sz="0" w:space="0" w:color="auto"/>
      </w:divBdr>
    </w:div>
    <w:div w:id="359674158">
      <w:bodyDiv w:val="1"/>
      <w:marLeft w:val="0"/>
      <w:marRight w:val="0"/>
      <w:marTop w:val="0"/>
      <w:marBottom w:val="0"/>
      <w:divBdr>
        <w:top w:val="none" w:sz="0" w:space="0" w:color="auto"/>
        <w:left w:val="none" w:sz="0" w:space="0" w:color="auto"/>
        <w:bottom w:val="none" w:sz="0" w:space="0" w:color="auto"/>
        <w:right w:val="none" w:sz="0" w:space="0" w:color="auto"/>
      </w:divBdr>
    </w:div>
    <w:div w:id="363796596">
      <w:bodyDiv w:val="1"/>
      <w:marLeft w:val="0"/>
      <w:marRight w:val="0"/>
      <w:marTop w:val="0"/>
      <w:marBottom w:val="0"/>
      <w:divBdr>
        <w:top w:val="none" w:sz="0" w:space="0" w:color="auto"/>
        <w:left w:val="none" w:sz="0" w:space="0" w:color="auto"/>
        <w:bottom w:val="none" w:sz="0" w:space="0" w:color="auto"/>
        <w:right w:val="none" w:sz="0" w:space="0" w:color="auto"/>
      </w:divBdr>
    </w:div>
    <w:div w:id="366292745">
      <w:bodyDiv w:val="1"/>
      <w:marLeft w:val="0"/>
      <w:marRight w:val="0"/>
      <w:marTop w:val="0"/>
      <w:marBottom w:val="0"/>
      <w:divBdr>
        <w:top w:val="none" w:sz="0" w:space="0" w:color="auto"/>
        <w:left w:val="none" w:sz="0" w:space="0" w:color="auto"/>
        <w:bottom w:val="none" w:sz="0" w:space="0" w:color="auto"/>
        <w:right w:val="none" w:sz="0" w:space="0" w:color="auto"/>
      </w:divBdr>
    </w:div>
    <w:div w:id="368576189">
      <w:bodyDiv w:val="1"/>
      <w:marLeft w:val="0"/>
      <w:marRight w:val="0"/>
      <w:marTop w:val="0"/>
      <w:marBottom w:val="0"/>
      <w:divBdr>
        <w:top w:val="none" w:sz="0" w:space="0" w:color="auto"/>
        <w:left w:val="none" w:sz="0" w:space="0" w:color="auto"/>
        <w:bottom w:val="none" w:sz="0" w:space="0" w:color="auto"/>
        <w:right w:val="none" w:sz="0" w:space="0" w:color="auto"/>
      </w:divBdr>
    </w:div>
    <w:div w:id="370804839">
      <w:bodyDiv w:val="1"/>
      <w:marLeft w:val="0"/>
      <w:marRight w:val="0"/>
      <w:marTop w:val="0"/>
      <w:marBottom w:val="0"/>
      <w:divBdr>
        <w:top w:val="none" w:sz="0" w:space="0" w:color="auto"/>
        <w:left w:val="none" w:sz="0" w:space="0" w:color="auto"/>
        <w:bottom w:val="none" w:sz="0" w:space="0" w:color="auto"/>
        <w:right w:val="none" w:sz="0" w:space="0" w:color="auto"/>
      </w:divBdr>
    </w:div>
    <w:div w:id="382870823">
      <w:bodyDiv w:val="1"/>
      <w:marLeft w:val="0"/>
      <w:marRight w:val="0"/>
      <w:marTop w:val="0"/>
      <w:marBottom w:val="0"/>
      <w:divBdr>
        <w:top w:val="none" w:sz="0" w:space="0" w:color="auto"/>
        <w:left w:val="none" w:sz="0" w:space="0" w:color="auto"/>
        <w:bottom w:val="none" w:sz="0" w:space="0" w:color="auto"/>
        <w:right w:val="none" w:sz="0" w:space="0" w:color="auto"/>
      </w:divBdr>
    </w:div>
    <w:div w:id="388308846">
      <w:bodyDiv w:val="1"/>
      <w:marLeft w:val="0"/>
      <w:marRight w:val="0"/>
      <w:marTop w:val="0"/>
      <w:marBottom w:val="0"/>
      <w:divBdr>
        <w:top w:val="none" w:sz="0" w:space="0" w:color="auto"/>
        <w:left w:val="none" w:sz="0" w:space="0" w:color="auto"/>
        <w:bottom w:val="none" w:sz="0" w:space="0" w:color="auto"/>
        <w:right w:val="none" w:sz="0" w:space="0" w:color="auto"/>
      </w:divBdr>
    </w:div>
    <w:div w:id="392198883">
      <w:bodyDiv w:val="1"/>
      <w:marLeft w:val="0"/>
      <w:marRight w:val="0"/>
      <w:marTop w:val="0"/>
      <w:marBottom w:val="0"/>
      <w:divBdr>
        <w:top w:val="none" w:sz="0" w:space="0" w:color="auto"/>
        <w:left w:val="none" w:sz="0" w:space="0" w:color="auto"/>
        <w:bottom w:val="none" w:sz="0" w:space="0" w:color="auto"/>
        <w:right w:val="none" w:sz="0" w:space="0" w:color="auto"/>
      </w:divBdr>
    </w:div>
    <w:div w:id="403452250">
      <w:bodyDiv w:val="1"/>
      <w:marLeft w:val="0"/>
      <w:marRight w:val="0"/>
      <w:marTop w:val="0"/>
      <w:marBottom w:val="0"/>
      <w:divBdr>
        <w:top w:val="none" w:sz="0" w:space="0" w:color="auto"/>
        <w:left w:val="none" w:sz="0" w:space="0" w:color="auto"/>
        <w:bottom w:val="none" w:sz="0" w:space="0" w:color="auto"/>
        <w:right w:val="none" w:sz="0" w:space="0" w:color="auto"/>
      </w:divBdr>
    </w:div>
    <w:div w:id="407192575">
      <w:bodyDiv w:val="1"/>
      <w:marLeft w:val="0"/>
      <w:marRight w:val="0"/>
      <w:marTop w:val="0"/>
      <w:marBottom w:val="0"/>
      <w:divBdr>
        <w:top w:val="none" w:sz="0" w:space="0" w:color="auto"/>
        <w:left w:val="none" w:sz="0" w:space="0" w:color="auto"/>
        <w:bottom w:val="none" w:sz="0" w:space="0" w:color="auto"/>
        <w:right w:val="none" w:sz="0" w:space="0" w:color="auto"/>
      </w:divBdr>
    </w:div>
    <w:div w:id="409697701">
      <w:bodyDiv w:val="1"/>
      <w:marLeft w:val="0"/>
      <w:marRight w:val="0"/>
      <w:marTop w:val="0"/>
      <w:marBottom w:val="0"/>
      <w:divBdr>
        <w:top w:val="none" w:sz="0" w:space="0" w:color="auto"/>
        <w:left w:val="none" w:sz="0" w:space="0" w:color="auto"/>
        <w:bottom w:val="none" w:sz="0" w:space="0" w:color="auto"/>
        <w:right w:val="none" w:sz="0" w:space="0" w:color="auto"/>
      </w:divBdr>
    </w:div>
    <w:div w:id="413167103">
      <w:bodyDiv w:val="1"/>
      <w:marLeft w:val="0"/>
      <w:marRight w:val="0"/>
      <w:marTop w:val="0"/>
      <w:marBottom w:val="0"/>
      <w:divBdr>
        <w:top w:val="none" w:sz="0" w:space="0" w:color="auto"/>
        <w:left w:val="none" w:sz="0" w:space="0" w:color="auto"/>
        <w:bottom w:val="none" w:sz="0" w:space="0" w:color="auto"/>
        <w:right w:val="none" w:sz="0" w:space="0" w:color="auto"/>
      </w:divBdr>
    </w:div>
    <w:div w:id="421337785">
      <w:bodyDiv w:val="1"/>
      <w:marLeft w:val="0"/>
      <w:marRight w:val="0"/>
      <w:marTop w:val="0"/>
      <w:marBottom w:val="0"/>
      <w:divBdr>
        <w:top w:val="none" w:sz="0" w:space="0" w:color="auto"/>
        <w:left w:val="none" w:sz="0" w:space="0" w:color="auto"/>
        <w:bottom w:val="none" w:sz="0" w:space="0" w:color="auto"/>
        <w:right w:val="none" w:sz="0" w:space="0" w:color="auto"/>
      </w:divBdr>
    </w:div>
    <w:div w:id="430703879">
      <w:bodyDiv w:val="1"/>
      <w:marLeft w:val="0"/>
      <w:marRight w:val="0"/>
      <w:marTop w:val="0"/>
      <w:marBottom w:val="0"/>
      <w:divBdr>
        <w:top w:val="none" w:sz="0" w:space="0" w:color="auto"/>
        <w:left w:val="none" w:sz="0" w:space="0" w:color="auto"/>
        <w:bottom w:val="none" w:sz="0" w:space="0" w:color="auto"/>
        <w:right w:val="none" w:sz="0" w:space="0" w:color="auto"/>
      </w:divBdr>
    </w:div>
    <w:div w:id="430854683">
      <w:bodyDiv w:val="1"/>
      <w:marLeft w:val="0"/>
      <w:marRight w:val="0"/>
      <w:marTop w:val="0"/>
      <w:marBottom w:val="0"/>
      <w:divBdr>
        <w:top w:val="none" w:sz="0" w:space="0" w:color="auto"/>
        <w:left w:val="none" w:sz="0" w:space="0" w:color="auto"/>
        <w:bottom w:val="none" w:sz="0" w:space="0" w:color="auto"/>
        <w:right w:val="none" w:sz="0" w:space="0" w:color="auto"/>
      </w:divBdr>
    </w:div>
    <w:div w:id="436946753">
      <w:bodyDiv w:val="1"/>
      <w:marLeft w:val="0"/>
      <w:marRight w:val="0"/>
      <w:marTop w:val="0"/>
      <w:marBottom w:val="0"/>
      <w:divBdr>
        <w:top w:val="none" w:sz="0" w:space="0" w:color="auto"/>
        <w:left w:val="none" w:sz="0" w:space="0" w:color="auto"/>
        <w:bottom w:val="none" w:sz="0" w:space="0" w:color="auto"/>
        <w:right w:val="none" w:sz="0" w:space="0" w:color="auto"/>
      </w:divBdr>
    </w:div>
    <w:div w:id="451562090">
      <w:bodyDiv w:val="1"/>
      <w:marLeft w:val="0"/>
      <w:marRight w:val="0"/>
      <w:marTop w:val="0"/>
      <w:marBottom w:val="0"/>
      <w:divBdr>
        <w:top w:val="none" w:sz="0" w:space="0" w:color="auto"/>
        <w:left w:val="none" w:sz="0" w:space="0" w:color="auto"/>
        <w:bottom w:val="none" w:sz="0" w:space="0" w:color="auto"/>
        <w:right w:val="none" w:sz="0" w:space="0" w:color="auto"/>
      </w:divBdr>
    </w:div>
    <w:div w:id="459149233">
      <w:bodyDiv w:val="1"/>
      <w:marLeft w:val="0"/>
      <w:marRight w:val="0"/>
      <w:marTop w:val="0"/>
      <w:marBottom w:val="0"/>
      <w:divBdr>
        <w:top w:val="none" w:sz="0" w:space="0" w:color="auto"/>
        <w:left w:val="none" w:sz="0" w:space="0" w:color="auto"/>
        <w:bottom w:val="none" w:sz="0" w:space="0" w:color="auto"/>
        <w:right w:val="none" w:sz="0" w:space="0" w:color="auto"/>
      </w:divBdr>
      <w:divsChild>
        <w:div w:id="1352875463">
          <w:marLeft w:val="0"/>
          <w:marRight w:val="0"/>
          <w:marTop w:val="0"/>
          <w:marBottom w:val="0"/>
          <w:divBdr>
            <w:top w:val="none" w:sz="0" w:space="0" w:color="auto"/>
            <w:left w:val="none" w:sz="0" w:space="0" w:color="auto"/>
            <w:bottom w:val="none" w:sz="0" w:space="0" w:color="auto"/>
            <w:right w:val="none" w:sz="0" w:space="0" w:color="auto"/>
          </w:divBdr>
        </w:div>
      </w:divsChild>
    </w:div>
    <w:div w:id="467431237">
      <w:bodyDiv w:val="1"/>
      <w:marLeft w:val="0"/>
      <w:marRight w:val="0"/>
      <w:marTop w:val="0"/>
      <w:marBottom w:val="0"/>
      <w:divBdr>
        <w:top w:val="none" w:sz="0" w:space="0" w:color="auto"/>
        <w:left w:val="none" w:sz="0" w:space="0" w:color="auto"/>
        <w:bottom w:val="none" w:sz="0" w:space="0" w:color="auto"/>
        <w:right w:val="none" w:sz="0" w:space="0" w:color="auto"/>
      </w:divBdr>
    </w:div>
    <w:div w:id="472529130">
      <w:bodyDiv w:val="1"/>
      <w:marLeft w:val="0"/>
      <w:marRight w:val="0"/>
      <w:marTop w:val="0"/>
      <w:marBottom w:val="0"/>
      <w:divBdr>
        <w:top w:val="none" w:sz="0" w:space="0" w:color="auto"/>
        <w:left w:val="none" w:sz="0" w:space="0" w:color="auto"/>
        <w:bottom w:val="none" w:sz="0" w:space="0" w:color="auto"/>
        <w:right w:val="none" w:sz="0" w:space="0" w:color="auto"/>
      </w:divBdr>
    </w:div>
    <w:div w:id="478621439">
      <w:bodyDiv w:val="1"/>
      <w:marLeft w:val="0"/>
      <w:marRight w:val="0"/>
      <w:marTop w:val="0"/>
      <w:marBottom w:val="0"/>
      <w:divBdr>
        <w:top w:val="none" w:sz="0" w:space="0" w:color="auto"/>
        <w:left w:val="none" w:sz="0" w:space="0" w:color="auto"/>
        <w:bottom w:val="none" w:sz="0" w:space="0" w:color="auto"/>
        <w:right w:val="none" w:sz="0" w:space="0" w:color="auto"/>
      </w:divBdr>
    </w:div>
    <w:div w:id="480343293">
      <w:bodyDiv w:val="1"/>
      <w:marLeft w:val="0"/>
      <w:marRight w:val="0"/>
      <w:marTop w:val="0"/>
      <w:marBottom w:val="0"/>
      <w:divBdr>
        <w:top w:val="none" w:sz="0" w:space="0" w:color="auto"/>
        <w:left w:val="none" w:sz="0" w:space="0" w:color="auto"/>
        <w:bottom w:val="none" w:sz="0" w:space="0" w:color="auto"/>
        <w:right w:val="none" w:sz="0" w:space="0" w:color="auto"/>
      </w:divBdr>
    </w:div>
    <w:div w:id="486940887">
      <w:bodyDiv w:val="1"/>
      <w:marLeft w:val="0"/>
      <w:marRight w:val="0"/>
      <w:marTop w:val="0"/>
      <w:marBottom w:val="0"/>
      <w:divBdr>
        <w:top w:val="none" w:sz="0" w:space="0" w:color="auto"/>
        <w:left w:val="none" w:sz="0" w:space="0" w:color="auto"/>
        <w:bottom w:val="none" w:sz="0" w:space="0" w:color="auto"/>
        <w:right w:val="none" w:sz="0" w:space="0" w:color="auto"/>
      </w:divBdr>
    </w:div>
    <w:div w:id="492717922">
      <w:bodyDiv w:val="1"/>
      <w:marLeft w:val="0"/>
      <w:marRight w:val="0"/>
      <w:marTop w:val="0"/>
      <w:marBottom w:val="0"/>
      <w:divBdr>
        <w:top w:val="none" w:sz="0" w:space="0" w:color="auto"/>
        <w:left w:val="none" w:sz="0" w:space="0" w:color="auto"/>
        <w:bottom w:val="none" w:sz="0" w:space="0" w:color="auto"/>
        <w:right w:val="none" w:sz="0" w:space="0" w:color="auto"/>
      </w:divBdr>
    </w:div>
    <w:div w:id="497041440">
      <w:bodyDiv w:val="1"/>
      <w:marLeft w:val="0"/>
      <w:marRight w:val="0"/>
      <w:marTop w:val="0"/>
      <w:marBottom w:val="0"/>
      <w:divBdr>
        <w:top w:val="none" w:sz="0" w:space="0" w:color="auto"/>
        <w:left w:val="none" w:sz="0" w:space="0" w:color="auto"/>
        <w:bottom w:val="none" w:sz="0" w:space="0" w:color="auto"/>
        <w:right w:val="none" w:sz="0" w:space="0" w:color="auto"/>
      </w:divBdr>
    </w:div>
    <w:div w:id="498034362">
      <w:bodyDiv w:val="1"/>
      <w:marLeft w:val="0"/>
      <w:marRight w:val="0"/>
      <w:marTop w:val="0"/>
      <w:marBottom w:val="0"/>
      <w:divBdr>
        <w:top w:val="none" w:sz="0" w:space="0" w:color="auto"/>
        <w:left w:val="none" w:sz="0" w:space="0" w:color="auto"/>
        <w:bottom w:val="none" w:sz="0" w:space="0" w:color="auto"/>
        <w:right w:val="none" w:sz="0" w:space="0" w:color="auto"/>
      </w:divBdr>
    </w:div>
    <w:div w:id="508495458">
      <w:bodyDiv w:val="1"/>
      <w:marLeft w:val="0"/>
      <w:marRight w:val="0"/>
      <w:marTop w:val="0"/>
      <w:marBottom w:val="0"/>
      <w:divBdr>
        <w:top w:val="none" w:sz="0" w:space="0" w:color="auto"/>
        <w:left w:val="none" w:sz="0" w:space="0" w:color="auto"/>
        <w:bottom w:val="none" w:sz="0" w:space="0" w:color="auto"/>
        <w:right w:val="none" w:sz="0" w:space="0" w:color="auto"/>
      </w:divBdr>
    </w:div>
    <w:div w:id="512039969">
      <w:bodyDiv w:val="1"/>
      <w:marLeft w:val="0"/>
      <w:marRight w:val="0"/>
      <w:marTop w:val="0"/>
      <w:marBottom w:val="0"/>
      <w:divBdr>
        <w:top w:val="none" w:sz="0" w:space="0" w:color="auto"/>
        <w:left w:val="none" w:sz="0" w:space="0" w:color="auto"/>
        <w:bottom w:val="none" w:sz="0" w:space="0" w:color="auto"/>
        <w:right w:val="none" w:sz="0" w:space="0" w:color="auto"/>
      </w:divBdr>
      <w:divsChild>
        <w:div w:id="1196885897">
          <w:marLeft w:val="0"/>
          <w:marRight w:val="0"/>
          <w:marTop w:val="0"/>
          <w:marBottom w:val="0"/>
          <w:divBdr>
            <w:top w:val="none" w:sz="0" w:space="0" w:color="auto"/>
            <w:left w:val="none" w:sz="0" w:space="0" w:color="auto"/>
            <w:bottom w:val="none" w:sz="0" w:space="0" w:color="auto"/>
            <w:right w:val="none" w:sz="0" w:space="0" w:color="auto"/>
          </w:divBdr>
          <w:divsChild>
            <w:div w:id="946081294">
              <w:marLeft w:val="0"/>
              <w:marRight w:val="0"/>
              <w:marTop w:val="0"/>
              <w:marBottom w:val="0"/>
              <w:divBdr>
                <w:top w:val="none" w:sz="0" w:space="0" w:color="auto"/>
                <w:left w:val="none" w:sz="0" w:space="0" w:color="auto"/>
                <w:bottom w:val="none" w:sz="0" w:space="0" w:color="auto"/>
                <w:right w:val="none" w:sz="0" w:space="0" w:color="auto"/>
              </w:divBdr>
              <w:divsChild>
                <w:div w:id="991569620">
                  <w:marLeft w:val="0"/>
                  <w:marRight w:val="0"/>
                  <w:marTop w:val="0"/>
                  <w:marBottom w:val="0"/>
                  <w:divBdr>
                    <w:top w:val="none" w:sz="0" w:space="0" w:color="auto"/>
                    <w:left w:val="none" w:sz="0" w:space="0" w:color="auto"/>
                    <w:bottom w:val="none" w:sz="0" w:space="0" w:color="auto"/>
                    <w:right w:val="none" w:sz="0" w:space="0" w:color="auto"/>
                  </w:divBdr>
                  <w:divsChild>
                    <w:div w:id="2066681808">
                      <w:marLeft w:val="0"/>
                      <w:marRight w:val="0"/>
                      <w:marTop w:val="0"/>
                      <w:marBottom w:val="0"/>
                      <w:divBdr>
                        <w:top w:val="none" w:sz="0" w:space="0" w:color="auto"/>
                        <w:left w:val="none" w:sz="0" w:space="0" w:color="auto"/>
                        <w:bottom w:val="none" w:sz="0" w:space="0" w:color="auto"/>
                        <w:right w:val="none" w:sz="0" w:space="0" w:color="auto"/>
                      </w:divBdr>
                      <w:divsChild>
                        <w:div w:id="5138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79880">
      <w:bodyDiv w:val="1"/>
      <w:marLeft w:val="0"/>
      <w:marRight w:val="0"/>
      <w:marTop w:val="0"/>
      <w:marBottom w:val="0"/>
      <w:divBdr>
        <w:top w:val="none" w:sz="0" w:space="0" w:color="auto"/>
        <w:left w:val="none" w:sz="0" w:space="0" w:color="auto"/>
        <w:bottom w:val="none" w:sz="0" w:space="0" w:color="auto"/>
        <w:right w:val="none" w:sz="0" w:space="0" w:color="auto"/>
      </w:divBdr>
    </w:div>
    <w:div w:id="525756291">
      <w:bodyDiv w:val="1"/>
      <w:marLeft w:val="0"/>
      <w:marRight w:val="0"/>
      <w:marTop w:val="0"/>
      <w:marBottom w:val="0"/>
      <w:divBdr>
        <w:top w:val="none" w:sz="0" w:space="0" w:color="auto"/>
        <w:left w:val="none" w:sz="0" w:space="0" w:color="auto"/>
        <w:bottom w:val="none" w:sz="0" w:space="0" w:color="auto"/>
        <w:right w:val="none" w:sz="0" w:space="0" w:color="auto"/>
      </w:divBdr>
    </w:div>
    <w:div w:id="526330191">
      <w:bodyDiv w:val="1"/>
      <w:marLeft w:val="0"/>
      <w:marRight w:val="0"/>
      <w:marTop w:val="0"/>
      <w:marBottom w:val="0"/>
      <w:divBdr>
        <w:top w:val="none" w:sz="0" w:space="0" w:color="auto"/>
        <w:left w:val="none" w:sz="0" w:space="0" w:color="auto"/>
        <w:bottom w:val="none" w:sz="0" w:space="0" w:color="auto"/>
        <w:right w:val="none" w:sz="0" w:space="0" w:color="auto"/>
      </w:divBdr>
    </w:div>
    <w:div w:id="526717753">
      <w:bodyDiv w:val="1"/>
      <w:marLeft w:val="0"/>
      <w:marRight w:val="0"/>
      <w:marTop w:val="0"/>
      <w:marBottom w:val="0"/>
      <w:divBdr>
        <w:top w:val="none" w:sz="0" w:space="0" w:color="auto"/>
        <w:left w:val="none" w:sz="0" w:space="0" w:color="auto"/>
        <w:bottom w:val="none" w:sz="0" w:space="0" w:color="auto"/>
        <w:right w:val="none" w:sz="0" w:space="0" w:color="auto"/>
      </w:divBdr>
    </w:div>
    <w:div w:id="541401632">
      <w:bodyDiv w:val="1"/>
      <w:marLeft w:val="0"/>
      <w:marRight w:val="0"/>
      <w:marTop w:val="0"/>
      <w:marBottom w:val="0"/>
      <w:divBdr>
        <w:top w:val="none" w:sz="0" w:space="0" w:color="auto"/>
        <w:left w:val="none" w:sz="0" w:space="0" w:color="auto"/>
        <w:bottom w:val="none" w:sz="0" w:space="0" w:color="auto"/>
        <w:right w:val="none" w:sz="0" w:space="0" w:color="auto"/>
      </w:divBdr>
    </w:div>
    <w:div w:id="544559046">
      <w:bodyDiv w:val="1"/>
      <w:marLeft w:val="0"/>
      <w:marRight w:val="0"/>
      <w:marTop w:val="0"/>
      <w:marBottom w:val="0"/>
      <w:divBdr>
        <w:top w:val="none" w:sz="0" w:space="0" w:color="auto"/>
        <w:left w:val="none" w:sz="0" w:space="0" w:color="auto"/>
        <w:bottom w:val="none" w:sz="0" w:space="0" w:color="auto"/>
        <w:right w:val="none" w:sz="0" w:space="0" w:color="auto"/>
      </w:divBdr>
    </w:div>
    <w:div w:id="545799209">
      <w:bodyDiv w:val="1"/>
      <w:marLeft w:val="0"/>
      <w:marRight w:val="0"/>
      <w:marTop w:val="0"/>
      <w:marBottom w:val="0"/>
      <w:divBdr>
        <w:top w:val="none" w:sz="0" w:space="0" w:color="auto"/>
        <w:left w:val="none" w:sz="0" w:space="0" w:color="auto"/>
        <w:bottom w:val="none" w:sz="0" w:space="0" w:color="auto"/>
        <w:right w:val="none" w:sz="0" w:space="0" w:color="auto"/>
      </w:divBdr>
    </w:div>
    <w:div w:id="548298776">
      <w:bodyDiv w:val="1"/>
      <w:marLeft w:val="0"/>
      <w:marRight w:val="0"/>
      <w:marTop w:val="0"/>
      <w:marBottom w:val="0"/>
      <w:divBdr>
        <w:top w:val="none" w:sz="0" w:space="0" w:color="auto"/>
        <w:left w:val="none" w:sz="0" w:space="0" w:color="auto"/>
        <w:bottom w:val="none" w:sz="0" w:space="0" w:color="auto"/>
        <w:right w:val="none" w:sz="0" w:space="0" w:color="auto"/>
      </w:divBdr>
    </w:div>
    <w:div w:id="554003563">
      <w:bodyDiv w:val="1"/>
      <w:marLeft w:val="0"/>
      <w:marRight w:val="0"/>
      <w:marTop w:val="0"/>
      <w:marBottom w:val="0"/>
      <w:divBdr>
        <w:top w:val="none" w:sz="0" w:space="0" w:color="auto"/>
        <w:left w:val="none" w:sz="0" w:space="0" w:color="auto"/>
        <w:bottom w:val="none" w:sz="0" w:space="0" w:color="auto"/>
        <w:right w:val="none" w:sz="0" w:space="0" w:color="auto"/>
      </w:divBdr>
    </w:div>
    <w:div w:id="563104146">
      <w:bodyDiv w:val="1"/>
      <w:marLeft w:val="0"/>
      <w:marRight w:val="0"/>
      <w:marTop w:val="0"/>
      <w:marBottom w:val="0"/>
      <w:divBdr>
        <w:top w:val="none" w:sz="0" w:space="0" w:color="auto"/>
        <w:left w:val="none" w:sz="0" w:space="0" w:color="auto"/>
        <w:bottom w:val="none" w:sz="0" w:space="0" w:color="auto"/>
        <w:right w:val="none" w:sz="0" w:space="0" w:color="auto"/>
      </w:divBdr>
    </w:div>
    <w:div w:id="576211135">
      <w:bodyDiv w:val="1"/>
      <w:marLeft w:val="0"/>
      <w:marRight w:val="0"/>
      <w:marTop w:val="0"/>
      <w:marBottom w:val="0"/>
      <w:divBdr>
        <w:top w:val="none" w:sz="0" w:space="0" w:color="auto"/>
        <w:left w:val="none" w:sz="0" w:space="0" w:color="auto"/>
        <w:bottom w:val="none" w:sz="0" w:space="0" w:color="auto"/>
        <w:right w:val="none" w:sz="0" w:space="0" w:color="auto"/>
      </w:divBdr>
    </w:div>
    <w:div w:id="577635202">
      <w:bodyDiv w:val="1"/>
      <w:marLeft w:val="0"/>
      <w:marRight w:val="0"/>
      <w:marTop w:val="0"/>
      <w:marBottom w:val="0"/>
      <w:divBdr>
        <w:top w:val="none" w:sz="0" w:space="0" w:color="auto"/>
        <w:left w:val="none" w:sz="0" w:space="0" w:color="auto"/>
        <w:bottom w:val="none" w:sz="0" w:space="0" w:color="auto"/>
        <w:right w:val="none" w:sz="0" w:space="0" w:color="auto"/>
      </w:divBdr>
    </w:div>
    <w:div w:id="596596919">
      <w:bodyDiv w:val="1"/>
      <w:marLeft w:val="0"/>
      <w:marRight w:val="0"/>
      <w:marTop w:val="0"/>
      <w:marBottom w:val="0"/>
      <w:divBdr>
        <w:top w:val="none" w:sz="0" w:space="0" w:color="auto"/>
        <w:left w:val="none" w:sz="0" w:space="0" w:color="auto"/>
        <w:bottom w:val="none" w:sz="0" w:space="0" w:color="auto"/>
        <w:right w:val="none" w:sz="0" w:space="0" w:color="auto"/>
      </w:divBdr>
    </w:div>
    <w:div w:id="602806401">
      <w:bodyDiv w:val="1"/>
      <w:marLeft w:val="0"/>
      <w:marRight w:val="0"/>
      <w:marTop w:val="0"/>
      <w:marBottom w:val="0"/>
      <w:divBdr>
        <w:top w:val="none" w:sz="0" w:space="0" w:color="auto"/>
        <w:left w:val="none" w:sz="0" w:space="0" w:color="auto"/>
        <w:bottom w:val="none" w:sz="0" w:space="0" w:color="auto"/>
        <w:right w:val="none" w:sz="0" w:space="0" w:color="auto"/>
      </w:divBdr>
    </w:div>
    <w:div w:id="617105741">
      <w:bodyDiv w:val="1"/>
      <w:marLeft w:val="0"/>
      <w:marRight w:val="0"/>
      <w:marTop w:val="0"/>
      <w:marBottom w:val="0"/>
      <w:divBdr>
        <w:top w:val="none" w:sz="0" w:space="0" w:color="auto"/>
        <w:left w:val="none" w:sz="0" w:space="0" w:color="auto"/>
        <w:bottom w:val="none" w:sz="0" w:space="0" w:color="auto"/>
        <w:right w:val="none" w:sz="0" w:space="0" w:color="auto"/>
      </w:divBdr>
    </w:div>
    <w:div w:id="627709917">
      <w:bodyDiv w:val="1"/>
      <w:marLeft w:val="0"/>
      <w:marRight w:val="0"/>
      <w:marTop w:val="0"/>
      <w:marBottom w:val="0"/>
      <w:divBdr>
        <w:top w:val="none" w:sz="0" w:space="0" w:color="auto"/>
        <w:left w:val="none" w:sz="0" w:space="0" w:color="auto"/>
        <w:bottom w:val="none" w:sz="0" w:space="0" w:color="auto"/>
        <w:right w:val="none" w:sz="0" w:space="0" w:color="auto"/>
      </w:divBdr>
    </w:div>
    <w:div w:id="632709642">
      <w:bodyDiv w:val="1"/>
      <w:marLeft w:val="0"/>
      <w:marRight w:val="0"/>
      <w:marTop w:val="0"/>
      <w:marBottom w:val="0"/>
      <w:divBdr>
        <w:top w:val="none" w:sz="0" w:space="0" w:color="auto"/>
        <w:left w:val="none" w:sz="0" w:space="0" w:color="auto"/>
        <w:bottom w:val="none" w:sz="0" w:space="0" w:color="auto"/>
        <w:right w:val="none" w:sz="0" w:space="0" w:color="auto"/>
      </w:divBdr>
    </w:div>
    <w:div w:id="638263744">
      <w:bodyDiv w:val="1"/>
      <w:marLeft w:val="0"/>
      <w:marRight w:val="0"/>
      <w:marTop w:val="0"/>
      <w:marBottom w:val="0"/>
      <w:divBdr>
        <w:top w:val="none" w:sz="0" w:space="0" w:color="auto"/>
        <w:left w:val="none" w:sz="0" w:space="0" w:color="auto"/>
        <w:bottom w:val="none" w:sz="0" w:space="0" w:color="auto"/>
        <w:right w:val="none" w:sz="0" w:space="0" w:color="auto"/>
      </w:divBdr>
    </w:div>
    <w:div w:id="640187082">
      <w:bodyDiv w:val="1"/>
      <w:marLeft w:val="0"/>
      <w:marRight w:val="0"/>
      <w:marTop w:val="0"/>
      <w:marBottom w:val="0"/>
      <w:divBdr>
        <w:top w:val="none" w:sz="0" w:space="0" w:color="auto"/>
        <w:left w:val="none" w:sz="0" w:space="0" w:color="auto"/>
        <w:bottom w:val="none" w:sz="0" w:space="0" w:color="auto"/>
        <w:right w:val="none" w:sz="0" w:space="0" w:color="auto"/>
      </w:divBdr>
    </w:div>
    <w:div w:id="640236389">
      <w:bodyDiv w:val="1"/>
      <w:marLeft w:val="0"/>
      <w:marRight w:val="0"/>
      <w:marTop w:val="0"/>
      <w:marBottom w:val="0"/>
      <w:divBdr>
        <w:top w:val="none" w:sz="0" w:space="0" w:color="auto"/>
        <w:left w:val="none" w:sz="0" w:space="0" w:color="auto"/>
        <w:bottom w:val="none" w:sz="0" w:space="0" w:color="auto"/>
        <w:right w:val="none" w:sz="0" w:space="0" w:color="auto"/>
      </w:divBdr>
    </w:div>
    <w:div w:id="649599281">
      <w:bodyDiv w:val="1"/>
      <w:marLeft w:val="0"/>
      <w:marRight w:val="0"/>
      <w:marTop w:val="0"/>
      <w:marBottom w:val="0"/>
      <w:divBdr>
        <w:top w:val="none" w:sz="0" w:space="0" w:color="auto"/>
        <w:left w:val="none" w:sz="0" w:space="0" w:color="auto"/>
        <w:bottom w:val="none" w:sz="0" w:space="0" w:color="auto"/>
        <w:right w:val="none" w:sz="0" w:space="0" w:color="auto"/>
      </w:divBdr>
    </w:div>
    <w:div w:id="650212703">
      <w:bodyDiv w:val="1"/>
      <w:marLeft w:val="0"/>
      <w:marRight w:val="0"/>
      <w:marTop w:val="0"/>
      <w:marBottom w:val="0"/>
      <w:divBdr>
        <w:top w:val="none" w:sz="0" w:space="0" w:color="auto"/>
        <w:left w:val="none" w:sz="0" w:space="0" w:color="auto"/>
        <w:bottom w:val="none" w:sz="0" w:space="0" w:color="auto"/>
        <w:right w:val="none" w:sz="0" w:space="0" w:color="auto"/>
      </w:divBdr>
    </w:div>
    <w:div w:id="659889238">
      <w:bodyDiv w:val="1"/>
      <w:marLeft w:val="0"/>
      <w:marRight w:val="0"/>
      <w:marTop w:val="0"/>
      <w:marBottom w:val="0"/>
      <w:divBdr>
        <w:top w:val="none" w:sz="0" w:space="0" w:color="auto"/>
        <w:left w:val="none" w:sz="0" w:space="0" w:color="auto"/>
        <w:bottom w:val="none" w:sz="0" w:space="0" w:color="auto"/>
        <w:right w:val="none" w:sz="0" w:space="0" w:color="auto"/>
      </w:divBdr>
    </w:div>
    <w:div w:id="668219870">
      <w:bodyDiv w:val="1"/>
      <w:marLeft w:val="0"/>
      <w:marRight w:val="0"/>
      <w:marTop w:val="0"/>
      <w:marBottom w:val="0"/>
      <w:divBdr>
        <w:top w:val="none" w:sz="0" w:space="0" w:color="auto"/>
        <w:left w:val="none" w:sz="0" w:space="0" w:color="auto"/>
        <w:bottom w:val="none" w:sz="0" w:space="0" w:color="auto"/>
        <w:right w:val="none" w:sz="0" w:space="0" w:color="auto"/>
      </w:divBdr>
    </w:div>
    <w:div w:id="687830468">
      <w:bodyDiv w:val="1"/>
      <w:marLeft w:val="0"/>
      <w:marRight w:val="0"/>
      <w:marTop w:val="0"/>
      <w:marBottom w:val="0"/>
      <w:divBdr>
        <w:top w:val="none" w:sz="0" w:space="0" w:color="auto"/>
        <w:left w:val="none" w:sz="0" w:space="0" w:color="auto"/>
        <w:bottom w:val="none" w:sz="0" w:space="0" w:color="auto"/>
        <w:right w:val="none" w:sz="0" w:space="0" w:color="auto"/>
      </w:divBdr>
    </w:div>
    <w:div w:id="688217149">
      <w:bodyDiv w:val="1"/>
      <w:marLeft w:val="0"/>
      <w:marRight w:val="0"/>
      <w:marTop w:val="0"/>
      <w:marBottom w:val="0"/>
      <w:divBdr>
        <w:top w:val="none" w:sz="0" w:space="0" w:color="auto"/>
        <w:left w:val="none" w:sz="0" w:space="0" w:color="auto"/>
        <w:bottom w:val="none" w:sz="0" w:space="0" w:color="auto"/>
        <w:right w:val="none" w:sz="0" w:space="0" w:color="auto"/>
      </w:divBdr>
    </w:div>
    <w:div w:id="691565396">
      <w:bodyDiv w:val="1"/>
      <w:marLeft w:val="0"/>
      <w:marRight w:val="0"/>
      <w:marTop w:val="0"/>
      <w:marBottom w:val="0"/>
      <w:divBdr>
        <w:top w:val="none" w:sz="0" w:space="0" w:color="auto"/>
        <w:left w:val="none" w:sz="0" w:space="0" w:color="auto"/>
        <w:bottom w:val="none" w:sz="0" w:space="0" w:color="auto"/>
        <w:right w:val="none" w:sz="0" w:space="0" w:color="auto"/>
      </w:divBdr>
    </w:div>
    <w:div w:id="697124810">
      <w:bodyDiv w:val="1"/>
      <w:marLeft w:val="0"/>
      <w:marRight w:val="0"/>
      <w:marTop w:val="0"/>
      <w:marBottom w:val="0"/>
      <w:divBdr>
        <w:top w:val="none" w:sz="0" w:space="0" w:color="auto"/>
        <w:left w:val="none" w:sz="0" w:space="0" w:color="auto"/>
        <w:bottom w:val="none" w:sz="0" w:space="0" w:color="auto"/>
        <w:right w:val="none" w:sz="0" w:space="0" w:color="auto"/>
      </w:divBdr>
    </w:div>
    <w:div w:id="704256593">
      <w:bodyDiv w:val="1"/>
      <w:marLeft w:val="0"/>
      <w:marRight w:val="0"/>
      <w:marTop w:val="0"/>
      <w:marBottom w:val="0"/>
      <w:divBdr>
        <w:top w:val="none" w:sz="0" w:space="0" w:color="auto"/>
        <w:left w:val="none" w:sz="0" w:space="0" w:color="auto"/>
        <w:bottom w:val="none" w:sz="0" w:space="0" w:color="auto"/>
        <w:right w:val="none" w:sz="0" w:space="0" w:color="auto"/>
      </w:divBdr>
    </w:div>
    <w:div w:id="726805457">
      <w:bodyDiv w:val="1"/>
      <w:marLeft w:val="0"/>
      <w:marRight w:val="0"/>
      <w:marTop w:val="0"/>
      <w:marBottom w:val="0"/>
      <w:divBdr>
        <w:top w:val="none" w:sz="0" w:space="0" w:color="auto"/>
        <w:left w:val="none" w:sz="0" w:space="0" w:color="auto"/>
        <w:bottom w:val="none" w:sz="0" w:space="0" w:color="auto"/>
        <w:right w:val="none" w:sz="0" w:space="0" w:color="auto"/>
      </w:divBdr>
    </w:div>
    <w:div w:id="740057195">
      <w:bodyDiv w:val="1"/>
      <w:marLeft w:val="0"/>
      <w:marRight w:val="0"/>
      <w:marTop w:val="0"/>
      <w:marBottom w:val="0"/>
      <w:divBdr>
        <w:top w:val="none" w:sz="0" w:space="0" w:color="auto"/>
        <w:left w:val="none" w:sz="0" w:space="0" w:color="auto"/>
        <w:bottom w:val="none" w:sz="0" w:space="0" w:color="auto"/>
        <w:right w:val="none" w:sz="0" w:space="0" w:color="auto"/>
      </w:divBdr>
    </w:div>
    <w:div w:id="744379323">
      <w:bodyDiv w:val="1"/>
      <w:marLeft w:val="0"/>
      <w:marRight w:val="0"/>
      <w:marTop w:val="0"/>
      <w:marBottom w:val="0"/>
      <w:divBdr>
        <w:top w:val="none" w:sz="0" w:space="0" w:color="auto"/>
        <w:left w:val="none" w:sz="0" w:space="0" w:color="auto"/>
        <w:bottom w:val="none" w:sz="0" w:space="0" w:color="auto"/>
        <w:right w:val="none" w:sz="0" w:space="0" w:color="auto"/>
      </w:divBdr>
    </w:div>
    <w:div w:id="758984250">
      <w:bodyDiv w:val="1"/>
      <w:marLeft w:val="0"/>
      <w:marRight w:val="0"/>
      <w:marTop w:val="0"/>
      <w:marBottom w:val="0"/>
      <w:divBdr>
        <w:top w:val="none" w:sz="0" w:space="0" w:color="auto"/>
        <w:left w:val="none" w:sz="0" w:space="0" w:color="auto"/>
        <w:bottom w:val="none" w:sz="0" w:space="0" w:color="auto"/>
        <w:right w:val="none" w:sz="0" w:space="0" w:color="auto"/>
      </w:divBdr>
    </w:div>
    <w:div w:id="767896654">
      <w:bodyDiv w:val="1"/>
      <w:marLeft w:val="0"/>
      <w:marRight w:val="0"/>
      <w:marTop w:val="0"/>
      <w:marBottom w:val="0"/>
      <w:divBdr>
        <w:top w:val="none" w:sz="0" w:space="0" w:color="auto"/>
        <w:left w:val="none" w:sz="0" w:space="0" w:color="auto"/>
        <w:bottom w:val="none" w:sz="0" w:space="0" w:color="auto"/>
        <w:right w:val="none" w:sz="0" w:space="0" w:color="auto"/>
      </w:divBdr>
    </w:div>
    <w:div w:id="792672186">
      <w:bodyDiv w:val="1"/>
      <w:marLeft w:val="0"/>
      <w:marRight w:val="0"/>
      <w:marTop w:val="0"/>
      <w:marBottom w:val="0"/>
      <w:divBdr>
        <w:top w:val="none" w:sz="0" w:space="0" w:color="auto"/>
        <w:left w:val="none" w:sz="0" w:space="0" w:color="auto"/>
        <w:bottom w:val="none" w:sz="0" w:space="0" w:color="auto"/>
        <w:right w:val="none" w:sz="0" w:space="0" w:color="auto"/>
      </w:divBdr>
    </w:div>
    <w:div w:id="793475545">
      <w:bodyDiv w:val="1"/>
      <w:marLeft w:val="0"/>
      <w:marRight w:val="0"/>
      <w:marTop w:val="0"/>
      <w:marBottom w:val="0"/>
      <w:divBdr>
        <w:top w:val="none" w:sz="0" w:space="0" w:color="auto"/>
        <w:left w:val="none" w:sz="0" w:space="0" w:color="auto"/>
        <w:bottom w:val="none" w:sz="0" w:space="0" w:color="auto"/>
        <w:right w:val="none" w:sz="0" w:space="0" w:color="auto"/>
      </w:divBdr>
    </w:div>
    <w:div w:id="799229986">
      <w:bodyDiv w:val="1"/>
      <w:marLeft w:val="0"/>
      <w:marRight w:val="0"/>
      <w:marTop w:val="0"/>
      <w:marBottom w:val="0"/>
      <w:divBdr>
        <w:top w:val="none" w:sz="0" w:space="0" w:color="auto"/>
        <w:left w:val="none" w:sz="0" w:space="0" w:color="auto"/>
        <w:bottom w:val="none" w:sz="0" w:space="0" w:color="auto"/>
        <w:right w:val="none" w:sz="0" w:space="0" w:color="auto"/>
      </w:divBdr>
    </w:div>
    <w:div w:id="800423167">
      <w:bodyDiv w:val="1"/>
      <w:marLeft w:val="0"/>
      <w:marRight w:val="0"/>
      <w:marTop w:val="0"/>
      <w:marBottom w:val="0"/>
      <w:divBdr>
        <w:top w:val="none" w:sz="0" w:space="0" w:color="auto"/>
        <w:left w:val="none" w:sz="0" w:space="0" w:color="auto"/>
        <w:bottom w:val="none" w:sz="0" w:space="0" w:color="auto"/>
        <w:right w:val="none" w:sz="0" w:space="0" w:color="auto"/>
      </w:divBdr>
    </w:div>
    <w:div w:id="805854058">
      <w:bodyDiv w:val="1"/>
      <w:marLeft w:val="0"/>
      <w:marRight w:val="0"/>
      <w:marTop w:val="0"/>
      <w:marBottom w:val="0"/>
      <w:divBdr>
        <w:top w:val="none" w:sz="0" w:space="0" w:color="auto"/>
        <w:left w:val="none" w:sz="0" w:space="0" w:color="auto"/>
        <w:bottom w:val="none" w:sz="0" w:space="0" w:color="auto"/>
        <w:right w:val="none" w:sz="0" w:space="0" w:color="auto"/>
      </w:divBdr>
    </w:div>
    <w:div w:id="810252330">
      <w:bodyDiv w:val="1"/>
      <w:marLeft w:val="0"/>
      <w:marRight w:val="0"/>
      <w:marTop w:val="0"/>
      <w:marBottom w:val="0"/>
      <w:divBdr>
        <w:top w:val="none" w:sz="0" w:space="0" w:color="auto"/>
        <w:left w:val="none" w:sz="0" w:space="0" w:color="auto"/>
        <w:bottom w:val="none" w:sz="0" w:space="0" w:color="auto"/>
        <w:right w:val="none" w:sz="0" w:space="0" w:color="auto"/>
      </w:divBdr>
    </w:div>
    <w:div w:id="821118554">
      <w:bodyDiv w:val="1"/>
      <w:marLeft w:val="0"/>
      <w:marRight w:val="0"/>
      <w:marTop w:val="0"/>
      <w:marBottom w:val="0"/>
      <w:divBdr>
        <w:top w:val="none" w:sz="0" w:space="0" w:color="auto"/>
        <w:left w:val="none" w:sz="0" w:space="0" w:color="auto"/>
        <w:bottom w:val="none" w:sz="0" w:space="0" w:color="auto"/>
        <w:right w:val="none" w:sz="0" w:space="0" w:color="auto"/>
      </w:divBdr>
    </w:div>
    <w:div w:id="832919003">
      <w:bodyDiv w:val="1"/>
      <w:marLeft w:val="0"/>
      <w:marRight w:val="0"/>
      <w:marTop w:val="0"/>
      <w:marBottom w:val="0"/>
      <w:divBdr>
        <w:top w:val="none" w:sz="0" w:space="0" w:color="auto"/>
        <w:left w:val="none" w:sz="0" w:space="0" w:color="auto"/>
        <w:bottom w:val="none" w:sz="0" w:space="0" w:color="auto"/>
        <w:right w:val="none" w:sz="0" w:space="0" w:color="auto"/>
      </w:divBdr>
    </w:div>
    <w:div w:id="839275261">
      <w:bodyDiv w:val="1"/>
      <w:marLeft w:val="0"/>
      <w:marRight w:val="0"/>
      <w:marTop w:val="0"/>
      <w:marBottom w:val="0"/>
      <w:divBdr>
        <w:top w:val="none" w:sz="0" w:space="0" w:color="auto"/>
        <w:left w:val="none" w:sz="0" w:space="0" w:color="auto"/>
        <w:bottom w:val="none" w:sz="0" w:space="0" w:color="auto"/>
        <w:right w:val="none" w:sz="0" w:space="0" w:color="auto"/>
      </w:divBdr>
    </w:div>
    <w:div w:id="849491826">
      <w:bodyDiv w:val="1"/>
      <w:marLeft w:val="0"/>
      <w:marRight w:val="0"/>
      <w:marTop w:val="0"/>
      <w:marBottom w:val="0"/>
      <w:divBdr>
        <w:top w:val="none" w:sz="0" w:space="0" w:color="auto"/>
        <w:left w:val="none" w:sz="0" w:space="0" w:color="auto"/>
        <w:bottom w:val="none" w:sz="0" w:space="0" w:color="auto"/>
        <w:right w:val="none" w:sz="0" w:space="0" w:color="auto"/>
      </w:divBdr>
    </w:div>
    <w:div w:id="850416977">
      <w:bodyDiv w:val="1"/>
      <w:marLeft w:val="0"/>
      <w:marRight w:val="0"/>
      <w:marTop w:val="0"/>
      <w:marBottom w:val="0"/>
      <w:divBdr>
        <w:top w:val="none" w:sz="0" w:space="0" w:color="auto"/>
        <w:left w:val="none" w:sz="0" w:space="0" w:color="auto"/>
        <w:bottom w:val="none" w:sz="0" w:space="0" w:color="auto"/>
        <w:right w:val="none" w:sz="0" w:space="0" w:color="auto"/>
      </w:divBdr>
    </w:div>
    <w:div w:id="852770172">
      <w:bodyDiv w:val="1"/>
      <w:marLeft w:val="0"/>
      <w:marRight w:val="0"/>
      <w:marTop w:val="0"/>
      <w:marBottom w:val="0"/>
      <w:divBdr>
        <w:top w:val="none" w:sz="0" w:space="0" w:color="auto"/>
        <w:left w:val="none" w:sz="0" w:space="0" w:color="auto"/>
        <w:bottom w:val="none" w:sz="0" w:space="0" w:color="auto"/>
        <w:right w:val="none" w:sz="0" w:space="0" w:color="auto"/>
      </w:divBdr>
    </w:div>
    <w:div w:id="856231515">
      <w:bodyDiv w:val="1"/>
      <w:marLeft w:val="0"/>
      <w:marRight w:val="0"/>
      <w:marTop w:val="0"/>
      <w:marBottom w:val="0"/>
      <w:divBdr>
        <w:top w:val="none" w:sz="0" w:space="0" w:color="auto"/>
        <w:left w:val="none" w:sz="0" w:space="0" w:color="auto"/>
        <w:bottom w:val="none" w:sz="0" w:space="0" w:color="auto"/>
        <w:right w:val="none" w:sz="0" w:space="0" w:color="auto"/>
      </w:divBdr>
    </w:div>
    <w:div w:id="870874739">
      <w:bodyDiv w:val="1"/>
      <w:marLeft w:val="0"/>
      <w:marRight w:val="0"/>
      <w:marTop w:val="0"/>
      <w:marBottom w:val="0"/>
      <w:divBdr>
        <w:top w:val="none" w:sz="0" w:space="0" w:color="auto"/>
        <w:left w:val="none" w:sz="0" w:space="0" w:color="auto"/>
        <w:bottom w:val="none" w:sz="0" w:space="0" w:color="auto"/>
        <w:right w:val="none" w:sz="0" w:space="0" w:color="auto"/>
      </w:divBdr>
    </w:div>
    <w:div w:id="872839977">
      <w:bodyDiv w:val="1"/>
      <w:marLeft w:val="0"/>
      <w:marRight w:val="0"/>
      <w:marTop w:val="0"/>
      <w:marBottom w:val="0"/>
      <w:divBdr>
        <w:top w:val="none" w:sz="0" w:space="0" w:color="auto"/>
        <w:left w:val="none" w:sz="0" w:space="0" w:color="auto"/>
        <w:bottom w:val="none" w:sz="0" w:space="0" w:color="auto"/>
        <w:right w:val="none" w:sz="0" w:space="0" w:color="auto"/>
      </w:divBdr>
    </w:div>
    <w:div w:id="875509032">
      <w:bodyDiv w:val="1"/>
      <w:marLeft w:val="0"/>
      <w:marRight w:val="0"/>
      <w:marTop w:val="0"/>
      <w:marBottom w:val="0"/>
      <w:divBdr>
        <w:top w:val="none" w:sz="0" w:space="0" w:color="auto"/>
        <w:left w:val="none" w:sz="0" w:space="0" w:color="auto"/>
        <w:bottom w:val="none" w:sz="0" w:space="0" w:color="auto"/>
        <w:right w:val="none" w:sz="0" w:space="0" w:color="auto"/>
      </w:divBdr>
    </w:div>
    <w:div w:id="881745465">
      <w:bodyDiv w:val="1"/>
      <w:marLeft w:val="0"/>
      <w:marRight w:val="0"/>
      <w:marTop w:val="0"/>
      <w:marBottom w:val="0"/>
      <w:divBdr>
        <w:top w:val="none" w:sz="0" w:space="0" w:color="auto"/>
        <w:left w:val="none" w:sz="0" w:space="0" w:color="auto"/>
        <w:bottom w:val="none" w:sz="0" w:space="0" w:color="auto"/>
        <w:right w:val="none" w:sz="0" w:space="0" w:color="auto"/>
      </w:divBdr>
    </w:div>
    <w:div w:id="882059437">
      <w:bodyDiv w:val="1"/>
      <w:marLeft w:val="0"/>
      <w:marRight w:val="0"/>
      <w:marTop w:val="0"/>
      <w:marBottom w:val="0"/>
      <w:divBdr>
        <w:top w:val="none" w:sz="0" w:space="0" w:color="auto"/>
        <w:left w:val="none" w:sz="0" w:space="0" w:color="auto"/>
        <w:bottom w:val="none" w:sz="0" w:space="0" w:color="auto"/>
        <w:right w:val="none" w:sz="0" w:space="0" w:color="auto"/>
      </w:divBdr>
    </w:div>
    <w:div w:id="893351621">
      <w:bodyDiv w:val="1"/>
      <w:marLeft w:val="0"/>
      <w:marRight w:val="0"/>
      <w:marTop w:val="0"/>
      <w:marBottom w:val="0"/>
      <w:divBdr>
        <w:top w:val="none" w:sz="0" w:space="0" w:color="auto"/>
        <w:left w:val="none" w:sz="0" w:space="0" w:color="auto"/>
        <w:bottom w:val="none" w:sz="0" w:space="0" w:color="auto"/>
        <w:right w:val="none" w:sz="0" w:space="0" w:color="auto"/>
      </w:divBdr>
    </w:div>
    <w:div w:id="913318868">
      <w:bodyDiv w:val="1"/>
      <w:marLeft w:val="0"/>
      <w:marRight w:val="0"/>
      <w:marTop w:val="0"/>
      <w:marBottom w:val="0"/>
      <w:divBdr>
        <w:top w:val="none" w:sz="0" w:space="0" w:color="auto"/>
        <w:left w:val="none" w:sz="0" w:space="0" w:color="auto"/>
        <w:bottom w:val="none" w:sz="0" w:space="0" w:color="auto"/>
        <w:right w:val="none" w:sz="0" w:space="0" w:color="auto"/>
      </w:divBdr>
    </w:div>
    <w:div w:id="915748076">
      <w:bodyDiv w:val="1"/>
      <w:marLeft w:val="0"/>
      <w:marRight w:val="0"/>
      <w:marTop w:val="0"/>
      <w:marBottom w:val="0"/>
      <w:divBdr>
        <w:top w:val="none" w:sz="0" w:space="0" w:color="auto"/>
        <w:left w:val="none" w:sz="0" w:space="0" w:color="auto"/>
        <w:bottom w:val="none" w:sz="0" w:space="0" w:color="auto"/>
        <w:right w:val="none" w:sz="0" w:space="0" w:color="auto"/>
      </w:divBdr>
    </w:div>
    <w:div w:id="916132457">
      <w:bodyDiv w:val="1"/>
      <w:marLeft w:val="0"/>
      <w:marRight w:val="0"/>
      <w:marTop w:val="0"/>
      <w:marBottom w:val="0"/>
      <w:divBdr>
        <w:top w:val="none" w:sz="0" w:space="0" w:color="auto"/>
        <w:left w:val="none" w:sz="0" w:space="0" w:color="auto"/>
        <w:bottom w:val="none" w:sz="0" w:space="0" w:color="auto"/>
        <w:right w:val="none" w:sz="0" w:space="0" w:color="auto"/>
      </w:divBdr>
    </w:div>
    <w:div w:id="920214391">
      <w:bodyDiv w:val="1"/>
      <w:marLeft w:val="0"/>
      <w:marRight w:val="0"/>
      <w:marTop w:val="0"/>
      <w:marBottom w:val="0"/>
      <w:divBdr>
        <w:top w:val="none" w:sz="0" w:space="0" w:color="auto"/>
        <w:left w:val="none" w:sz="0" w:space="0" w:color="auto"/>
        <w:bottom w:val="none" w:sz="0" w:space="0" w:color="auto"/>
        <w:right w:val="none" w:sz="0" w:space="0" w:color="auto"/>
      </w:divBdr>
    </w:div>
    <w:div w:id="924149745">
      <w:bodyDiv w:val="1"/>
      <w:marLeft w:val="0"/>
      <w:marRight w:val="0"/>
      <w:marTop w:val="0"/>
      <w:marBottom w:val="0"/>
      <w:divBdr>
        <w:top w:val="none" w:sz="0" w:space="0" w:color="auto"/>
        <w:left w:val="none" w:sz="0" w:space="0" w:color="auto"/>
        <w:bottom w:val="none" w:sz="0" w:space="0" w:color="auto"/>
        <w:right w:val="none" w:sz="0" w:space="0" w:color="auto"/>
      </w:divBdr>
    </w:div>
    <w:div w:id="927157117">
      <w:bodyDiv w:val="1"/>
      <w:marLeft w:val="0"/>
      <w:marRight w:val="0"/>
      <w:marTop w:val="0"/>
      <w:marBottom w:val="0"/>
      <w:divBdr>
        <w:top w:val="none" w:sz="0" w:space="0" w:color="auto"/>
        <w:left w:val="none" w:sz="0" w:space="0" w:color="auto"/>
        <w:bottom w:val="none" w:sz="0" w:space="0" w:color="auto"/>
        <w:right w:val="none" w:sz="0" w:space="0" w:color="auto"/>
      </w:divBdr>
    </w:div>
    <w:div w:id="930044685">
      <w:bodyDiv w:val="1"/>
      <w:marLeft w:val="0"/>
      <w:marRight w:val="0"/>
      <w:marTop w:val="0"/>
      <w:marBottom w:val="0"/>
      <w:divBdr>
        <w:top w:val="none" w:sz="0" w:space="0" w:color="auto"/>
        <w:left w:val="none" w:sz="0" w:space="0" w:color="auto"/>
        <w:bottom w:val="none" w:sz="0" w:space="0" w:color="auto"/>
        <w:right w:val="none" w:sz="0" w:space="0" w:color="auto"/>
      </w:divBdr>
    </w:div>
    <w:div w:id="936868879">
      <w:bodyDiv w:val="1"/>
      <w:marLeft w:val="0"/>
      <w:marRight w:val="0"/>
      <w:marTop w:val="0"/>
      <w:marBottom w:val="0"/>
      <w:divBdr>
        <w:top w:val="none" w:sz="0" w:space="0" w:color="auto"/>
        <w:left w:val="none" w:sz="0" w:space="0" w:color="auto"/>
        <w:bottom w:val="none" w:sz="0" w:space="0" w:color="auto"/>
        <w:right w:val="none" w:sz="0" w:space="0" w:color="auto"/>
      </w:divBdr>
    </w:div>
    <w:div w:id="936907383">
      <w:bodyDiv w:val="1"/>
      <w:marLeft w:val="0"/>
      <w:marRight w:val="0"/>
      <w:marTop w:val="0"/>
      <w:marBottom w:val="0"/>
      <w:divBdr>
        <w:top w:val="none" w:sz="0" w:space="0" w:color="auto"/>
        <w:left w:val="none" w:sz="0" w:space="0" w:color="auto"/>
        <w:bottom w:val="none" w:sz="0" w:space="0" w:color="auto"/>
        <w:right w:val="none" w:sz="0" w:space="0" w:color="auto"/>
      </w:divBdr>
    </w:div>
    <w:div w:id="939676408">
      <w:bodyDiv w:val="1"/>
      <w:marLeft w:val="0"/>
      <w:marRight w:val="0"/>
      <w:marTop w:val="0"/>
      <w:marBottom w:val="0"/>
      <w:divBdr>
        <w:top w:val="none" w:sz="0" w:space="0" w:color="auto"/>
        <w:left w:val="none" w:sz="0" w:space="0" w:color="auto"/>
        <w:bottom w:val="none" w:sz="0" w:space="0" w:color="auto"/>
        <w:right w:val="none" w:sz="0" w:space="0" w:color="auto"/>
      </w:divBdr>
    </w:div>
    <w:div w:id="951983350">
      <w:bodyDiv w:val="1"/>
      <w:marLeft w:val="0"/>
      <w:marRight w:val="0"/>
      <w:marTop w:val="0"/>
      <w:marBottom w:val="0"/>
      <w:divBdr>
        <w:top w:val="none" w:sz="0" w:space="0" w:color="auto"/>
        <w:left w:val="none" w:sz="0" w:space="0" w:color="auto"/>
        <w:bottom w:val="none" w:sz="0" w:space="0" w:color="auto"/>
        <w:right w:val="none" w:sz="0" w:space="0" w:color="auto"/>
      </w:divBdr>
    </w:div>
    <w:div w:id="956834748">
      <w:bodyDiv w:val="1"/>
      <w:marLeft w:val="0"/>
      <w:marRight w:val="0"/>
      <w:marTop w:val="0"/>
      <w:marBottom w:val="0"/>
      <w:divBdr>
        <w:top w:val="none" w:sz="0" w:space="0" w:color="auto"/>
        <w:left w:val="none" w:sz="0" w:space="0" w:color="auto"/>
        <w:bottom w:val="none" w:sz="0" w:space="0" w:color="auto"/>
        <w:right w:val="none" w:sz="0" w:space="0" w:color="auto"/>
      </w:divBdr>
    </w:div>
    <w:div w:id="966661936">
      <w:bodyDiv w:val="1"/>
      <w:marLeft w:val="0"/>
      <w:marRight w:val="0"/>
      <w:marTop w:val="0"/>
      <w:marBottom w:val="0"/>
      <w:divBdr>
        <w:top w:val="none" w:sz="0" w:space="0" w:color="auto"/>
        <w:left w:val="none" w:sz="0" w:space="0" w:color="auto"/>
        <w:bottom w:val="none" w:sz="0" w:space="0" w:color="auto"/>
        <w:right w:val="none" w:sz="0" w:space="0" w:color="auto"/>
      </w:divBdr>
    </w:div>
    <w:div w:id="998994095">
      <w:bodyDiv w:val="1"/>
      <w:marLeft w:val="0"/>
      <w:marRight w:val="0"/>
      <w:marTop w:val="0"/>
      <w:marBottom w:val="0"/>
      <w:divBdr>
        <w:top w:val="none" w:sz="0" w:space="0" w:color="auto"/>
        <w:left w:val="none" w:sz="0" w:space="0" w:color="auto"/>
        <w:bottom w:val="none" w:sz="0" w:space="0" w:color="auto"/>
        <w:right w:val="none" w:sz="0" w:space="0" w:color="auto"/>
      </w:divBdr>
    </w:div>
    <w:div w:id="1004937279">
      <w:bodyDiv w:val="1"/>
      <w:marLeft w:val="0"/>
      <w:marRight w:val="0"/>
      <w:marTop w:val="0"/>
      <w:marBottom w:val="0"/>
      <w:divBdr>
        <w:top w:val="none" w:sz="0" w:space="0" w:color="auto"/>
        <w:left w:val="none" w:sz="0" w:space="0" w:color="auto"/>
        <w:bottom w:val="none" w:sz="0" w:space="0" w:color="auto"/>
        <w:right w:val="none" w:sz="0" w:space="0" w:color="auto"/>
      </w:divBdr>
    </w:div>
    <w:div w:id="1013921159">
      <w:bodyDiv w:val="1"/>
      <w:marLeft w:val="0"/>
      <w:marRight w:val="0"/>
      <w:marTop w:val="0"/>
      <w:marBottom w:val="0"/>
      <w:divBdr>
        <w:top w:val="none" w:sz="0" w:space="0" w:color="auto"/>
        <w:left w:val="none" w:sz="0" w:space="0" w:color="auto"/>
        <w:bottom w:val="none" w:sz="0" w:space="0" w:color="auto"/>
        <w:right w:val="none" w:sz="0" w:space="0" w:color="auto"/>
      </w:divBdr>
    </w:div>
    <w:div w:id="1034648176">
      <w:bodyDiv w:val="1"/>
      <w:marLeft w:val="0"/>
      <w:marRight w:val="0"/>
      <w:marTop w:val="0"/>
      <w:marBottom w:val="0"/>
      <w:divBdr>
        <w:top w:val="none" w:sz="0" w:space="0" w:color="auto"/>
        <w:left w:val="none" w:sz="0" w:space="0" w:color="auto"/>
        <w:bottom w:val="none" w:sz="0" w:space="0" w:color="auto"/>
        <w:right w:val="none" w:sz="0" w:space="0" w:color="auto"/>
      </w:divBdr>
    </w:div>
    <w:div w:id="1034698088">
      <w:bodyDiv w:val="1"/>
      <w:marLeft w:val="0"/>
      <w:marRight w:val="0"/>
      <w:marTop w:val="0"/>
      <w:marBottom w:val="0"/>
      <w:divBdr>
        <w:top w:val="none" w:sz="0" w:space="0" w:color="auto"/>
        <w:left w:val="none" w:sz="0" w:space="0" w:color="auto"/>
        <w:bottom w:val="none" w:sz="0" w:space="0" w:color="auto"/>
        <w:right w:val="none" w:sz="0" w:space="0" w:color="auto"/>
      </w:divBdr>
    </w:div>
    <w:div w:id="1045175394">
      <w:bodyDiv w:val="1"/>
      <w:marLeft w:val="0"/>
      <w:marRight w:val="0"/>
      <w:marTop w:val="0"/>
      <w:marBottom w:val="0"/>
      <w:divBdr>
        <w:top w:val="none" w:sz="0" w:space="0" w:color="auto"/>
        <w:left w:val="none" w:sz="0" w:space="0" w:color="auto"/>
        <w:bottom w:val="none" w:sz="0" w:space="0" w:color="auto"/>
        <w:right w:val="none" w:sz="0" w:space="0" w:color="auto"/>
      </w:divBdr>
    </w:div>
    <w:div w:id="1054154805">
      <w:bodyDiv w:val="1"/>
      <w:marLeft w:val="0"/>
      <w:marRight w:val="0"/>
      <w:marTop w:val="0"/>
      <w:marBottom w:val="0"/>
      <w:divBdr>
        <w:top w:val="none" w:sz="0" w:space="0" w:color="auto"/>
        <w:left w:val="none" w:sz="0" w:space="0" w:color="auto"/>
        <w:bottom w:val="none" w:sz="0" w:space="0" w:color="auto"/>
        <w:right w:val="none" w:sz="0" w:space="0" w:color="auto"/>
      </w:divBdr>
    </w:div>
    <w:div w:id="1056245142">
      <w:bodyDiv w:val="1"/>
      <w:marLeft w:val="0"/>
      <w:marRight w:val="0"/>
      <w:marTop w:val="0"/>
      <w:marBottom w:val="0"/>
      <w:divBdr>
        <w:top w:val="none" w:sz="0" w:space="0" w:color="auto"/>
        <w:left w:val="none" w:sz="0" w:space="0" w:color="auto"/>
        <w:bottom w:val="none" w:sz="0" w:space="0" w:color="auto"/>
        <w:right w:val="none" w:sz="0" w:space="0" w:color="auto"/>
      </w:divBdr>
    </w:div>
    <w:div w:id="1061831596">
      <w:bodyDiv w:val="1"/>
      <w:marLeft w:val="0"/>
      <w:marRight w:val="0"/>
      <w:marTop w:val="0"/>
      <w:marBottom w:val="0"/>
      <w:divBdr>
        <w:top w:val="none" w:sz="0" w:space="0" w:color="auto"/>
        <w:left w:val="none" w:sz="0" w:space="0" w:color="auto"/>
        <w:bottom w:val="none" w:sz="0" w:space="0" w:color="auto"/>
        <w:right w:val="none" w:sz="0" w:space="0" w:color="auto"/>
      </w:divBdr>
    </w:div>
    <w:div w:id="1077362536">
      <w:bodyDiv w:val="1"/>
      <w:marLeft w:val="0"/>
      <w:marRight w:val="0"/>
      <w:marTop w:val="0"/>
      <w:marBottom w:val="0"/>
      <w:divBdr>
        <w:top w:val="none" w:sz="0" w:space="0" w:color="auto"/>
        <w:left w:val="none" w:sz="0" w:space="0" w:color="auto"/>
        <w:bottom w:val="none" w:sz="0" w:space="0" w:color="auto"/>
        <w:right w:val="none" w:sz="0" w:space="0" w:color="auto"/>
      </w:divBdr>
    </w:div>
    <w:div w:id="1083064560">
      <w:bodyDiv w:val="1"/>
      <w:marLeft w:val="0"/>
      <w:marRight w:val="0"/>
      <w:marTop w:val="0"/>
      <w:marBottom w:val="0"/>
      <w:divBdr>
        <w:top w:val="none" w:sz="0" w:space="0" w:color="auto"/>
        <w:left w:val="none" w:sz="0" w:space="0" w:color="auto"/>
        <w:bottom w:val="none" w:sz="0" w:space="0" w:color="auto"/>
        <w:right w:val="none" w:sz="0" w:space="0" w:color="auto"/>
      </w:divBdr>
    </w:div>
    <w:div w:id="1099368711">
      <w:bodyDiv w:val="1"/>
      <w:marLeft w:val="0"/>
      <w:marRight w:val="0"/>
      <w:marTop w:val="0"/>
      <w:marBottom w:val="0"/>
      <w:divBdr>
        <w:top w:val="none" w:sz="0" w:space="0" w:color="auto"/>
        <w:left w:val="none" w:sz="0" w:space="0" w:color="auto"/>
        <w:bottom w:val="none" w:sz="0" w:space="0" w:color="auto"/>
        <w:right w:val="none" w:sz="0" w:space="0" w:color="auto"/>
      </w:divBdr>
    </w:div>
    <w:div w:id="1111365819">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19648005">
      <w:bodyDiv w:val="1"/>
      <w:marLeft w:val="0"/>
      <w:marRight w:val="0"/>
      <w:marTop w:val="0"/>
      <w:marBottom w:val="0"/>
      <w:divBdr>
        <w:top w:val="none" w:sz="0" w:space="0" w:color="auto"/>
        <w:left w:val="none" w:sz="0" w:space="0" w:color="auto"/>
        <w:bottom w:val="none" w:sz="0" w:space="0" w:color="auto"/>
        <w:right w:val="none" w:sz="0" w:space="0" w:color="auto"/>
      </w:divBdr>
    </w:div>
    <w:div w:id="1124469570">
      <w:bodyDiv w:val="1"/>
      <w:marLeft w:val="0"/>
      <w:marRight w:val="0"/>
      <w:marTop w:val="0"/>
      <w:marBottom w:val="0"/>
      <w:divBdr>
        <w:top w:val="none" w:sz="0" w:space="0" w:color="auto"/>
        <w:left w:val="none" w:sz="0" w:space="0" w:color="auto"/>
        <w:bottom w:val="none" w:sz="0" w:space="0" w:color="auto"/>
        <w:right w:val="none" w:sz="0" w:space="0" w:color="auto"/>
      </w:divBdr>
    </w:div>
    <w:div w:id="1133061949">
      <w:bodyDiv w:val="1"/>
      <w:marLeft w:val="0"/>
      <w:marRight w:val="0"/>
      <w:marTop w:val="0"/>
      <w:marBottom w:val="0"/>
      <w:divBdr>
        <w:top w:val="none" w:sz="0" w:space="0" w:color="auto"/>
        <w:left w:val="none" w:sz="0" w:space="0" w:color="auto"/>
        <w:bottom w:val="none" w:sz="0" w:space="0" w:color="auto"/>
        <w:right w:val="none" w:sz="0" w:space="0" w:color="auto"/>
      </w:divBdr>
    </w:div>
    <w:div w:id="1133980831">
      <w:bodyDiv w:val="1"/>
      <w:marLeft w:val="0"/>
      <w:marRight w:val="0"/>
      <w:marTop w:val="0"/>
      <w:marBottom w:val="0"/>
      <w:divBdr>
        <w:top w:val="none" w:sz="0" w:space="0" w:color="auto"/>
        <w:left w:val="none" w:sz="0" w:space="0" w:color="auto"/>
        <w:bottom w:val="none" w:sz="0" w:space="0" w:color="auto"/>
        <w:right w:val="none" w:sz="0" w:space="0" w:color="auto"/>
      </w:divBdr>
    </w:div>
    <w:div w:id="1144856615">
      <w:bodyDiv w:val="1"/>
      <w:marLeft w:val="0"/>
      <w:marRight w:val="0"/>
      <w:marTop w:val="0"/>
      <w:marBottom w:val="0"/>
      <w:divBdr>
        <w:top w:val="none" w:sz="0" w:space="0" w:color="auto"/>
        <w:left w:val="none" w:sz="0" w:space="0" w:color="auto"/>
        <w:bottom w:val="none" w:sz="0" w:space="0" w:color="auto"/>
        <w:right w:val="none" w:sz="0" w:space="0" w:color="auto"/>
      </w:divBdr>
    </w:div>
    <w:div w:id="1145658081">
      <w:bodyDiv w:val="1"/>
      <w:marLeft w:val="0"/>
      <w:marRight w:val="0"/>
      <w:marTop w:val="0"/>
      <w:marBottom w:val="0"/>
      <w:divBdr>
        <w:top w:val="none" w:sz="0" w:space="0" w:color="auto"/>
        <w:left w:val="none" w:sz="0" w:space="0" w:color="auto"/>
        <w:bottom w:val="none" w:sz="0" w:space="0" w:color="auto"/>
        <w:right w:val="none" w:sz="0" w:space="0" w:color="auto"/>
      </w:divBdr>
    </w:div>
    <w:div w:id="1157653735">
      <w:bodyDiv w:val="1"/>
      <w:marLeft w:val="0"/>
      <w:marRight w:val="0"/>
      <w:marTop w:val="0"/>
      <w:marBottom w:val="0"/>
      <w:divBdr>
        <w:top w:val="none" w:sz="0" w:space="0" w:color="auto"/>
        <w:left w:val="none" w:sz="0" w:space="0" w:color="auto"/>
        <w:bottom w:val="none" w:sz="0" w:space="0" w:color="auto"/>
        <w:right w:val="none" w:sz="0" w:space="0" w:color="auto"/>
      </w:divBdr>
    </w:div>
    <w:div w:id="1158232022">
      <w:bodyDiv w:val="1"/>
      <w:marLeft w:val="0"/>
      <w:marRight w:val="0"/>
      <w:marTop w:val="0"/>
      <w:marBottom w:val="0"/>
      <w:divBdr>
        <w:top w:val="none" w:sz="0" w:space="0" w:color="auto"/>
        <w:left w:val="none" w:sz="0" w:space="0" w:color="auto"/>
        <w:bottom w:val="none" w:sz="0" w:space="0" w:color="auto"/>
        <w:right w:val="none" w:sz="0" w:space="0" w:color="auto"/>
      </w:divBdr>
    </w:div>
    <w:div w:id="1162350566">
      <w:bodyDiv w:val="1"/>
      <w:marLeft w:val="0"/>
      <w:marRight w:val="0"/>
      <w:marTop w:val="0"/>
      <w:marBottom w:val="0"/>
      <w:divBdr>
        <w:top w:val="none" w:sz="0" w:space="0" w:color="auto"/>
        <w:left w:val="none" w:sz="0" w:space="0" w:color="auto"/>
        <w:bottom w:val="none" w:sz="0" w:space="0" w:color="auto"/>
        <w:right w:val="none" w:sz="0" w:space="0" w:color="auto"/>
      </w:divBdr>
    </w:div>
    <w:div w:id="1185633836">
      <w:bodyDiv w:val="1"/>
      <w:marLeft w:val="0"/>
      <w:marRight w:val="0"/>
      <w:marTop w:val="0"/>
      <w:marBottom w:val="0"/>
      <w:divBdr>
        <w:top w:val="none" w:sz="0" w:space="0" w:color="auto"/>
        <w:left w:val="none" w:sz="0" w:space="0" w:color="auto"/>
        <w:bottom w:val="none" w:sz="0" w:space="0" w:color="auto"/>
        <w:right w:val="none" w:sz="0" w:space="0" w:color="auto"/>
      </w:divBdr>
    </w:div>
    <w:div w:id="1193615301">
      <w:bodyDiv w:val="1"/>
      <w:marLeft w:val="0"/>
      <w:marRight w:val="0"/>
      <w:marTop w:val="0"/>
      <w:marBottom w:val="0"/>
      <w:divBdr>
        <w:top w:val="none" w:sz="0" w:space="0" w:color="auto"/>
        <w:left w:val="none" w:sz="0" w:space="0" w:color="auto"/>
        <w:bottom w:val="none" w:sz="0" w:space="0" w:color="auto"/>
        <w:right w:val="none" w:sz="0" w:space="0" w:color="auto"/>
      </w:divBdr>
    </w:div>
    <w:div w:id="1203980197">
      <w:bodyDiv w:val="1"/>
      <w:marLeft w:val="0"/>
      <w:marRight w:val="0"/>
      <w:marTop w:val="0"/>
      <w:marBottom w:val="0"/>
      <w:divBdr>
        <w:top w:val="none" w:sz="0" w:space="0" w:color="auto"/>
        <w:left w:val="none" w:sz="0" w:space="0" w:color="auto"/>
        <w:bottom w:val="none" w:sz="0" w:space="0" w:color="auto"/>
        <w:right w:val="none" w:sz="0" w:space="0" w:color="auto"/>
      </w:divBdr>
    </w:div>
    <w:div w:id="1207134287">
      <w:bodyDiv w:val="1"/>
      <w:marLeft w:val="0"/>
      <w:marRight w:val="0"/>
      <w:marTop w:val="0"/>
      <w:marBottom w:val="0"/>
      <w:divBdr>
        <w:top w:val="none" w:sz="0" w:space="0" w:color="auto"/>
        <w:left w:val="none" w:sz="0" w:space="0" w:color="auto"/>
        <w:bottom w:val="none" w:sz="0" w:space="0" w:color="auto"/>
        <w:right w:val="none" w:sz="0" w:space="0" w:color="auto"/>
      </w:divBdr>
    </w:div>
    <w:div w:id="1209610436">
      <w:bodyDiv w:val="1"/>
      <w:marLeft w:val="0"/>
      <w:marRight w:val="0"/>
      <w:marTop w:val="0"/>
      <w:marBottom w:val="0"/>
      <w:divBdr>
        <w:top w:val="none" w:sz="0" w:space="0" w:color="auto"/>
        <w:left w:val="none" w:sz="0" w:space="0" w:color="auto"/>
        <w:bottom w:val="none" w:sz="0" w:space="0" w:color="auto"/>
        <w:right w:val="none" w:sz="0" w:space="0" w:color="auto"/>
      </w:divBdr>
    </w:div>
    <w:div w:id="1218588035">
      <w:bodyDiv w:val="1"/>
      <w:marLeft w:val="0"/>
      <w:marRight w:val="0"/>
      <w:marTop w:val="0"/>
      <w:marBottom w:val="0"/>
      <w:divBdr>
        <w:top w:val="none" w:sz="0" w:space="0" w:color="auto"/>
        <w:left w:val="none" w:sz="0" w:space="0" w:color="auto"/>
        <w:bottom w:val="none" w:sz="0" w:space="0" w:color="auto"/>
        <w:right w:val="none" w:sz="0" w:space="0" w:color="auto"/>
      </w:divBdr>
    </w:div>
    <w:div w:id="1221358371">
      <w:bodyDiv w:val="1"/>
      <w:marLeft w:val="0"/>
      <w:marRight w:val="0"/>
      <w:marTop w:val="0"/>
      <w:marBottom w:val="0"/>
      <w:divBdr>
        <w:top w:val="none" w:sz="0" w:space="0" w:color="auto"/>
        <w:left w:val="none" w:sz="0" w:space="0" w:color="auto"/>
        <w:bottom w:val="none" w:sz="0" w:space="0" w:color="auto"/>
        <w:right w:val="none" w:sz="0" w:space="0" w:color="auto"/>
      </w:divBdr>
    </w:div>
    <w:div w:id="1222443522">
      <w:bodyDiv w:val="1"/>
      <w:marLeft w:val="0"/>
      <w:marRight w:val="0"/>
      <w:marTop w:val="0"/>
      <w:marBottom w:val="0"/>
      <w:divBdr>
        <w:top w:val="none" w:sz="0" w:space="0" w:color="auto"/>
        <w:left w:val="none" w:sz="0" w:space="0" w:color="auto"/>
        <w:bottom w:val="none" w:sz="0" w:space="0" w:color="auto"/>
        <w:right w:val="none" w:sz="0" w:space="0" w:color="auto"/>
      </w:divBdr>
    </w:div>
    <w:div w:id="1225873400">
      <w:bodyDiv w:val="1"/>
      <w:marLeft w:val="0"/>
      <w:marRight w:val="0"/>
      <w:marTop w:val="0"/>
      <w:marBottom w:val="0"/>
      <w:divBdr>
        <w:top w:val="none" w:sz="0" w:space="0" w:color="auto"/>
        <w:left w:val="none" w:sz="0" w:space="0" w:color="auto"/>
        <w:bottom w:val="none" w:sz="0" w:space="0" w:color="auto"/>
        <w:right w:val="none" w:sz="0" w:space="0" w:color="auto"/>
      </w:divBdr>
    </w:div>
    <w:div w:id="1227304260">
      <w:bodyDiv w:val="1"/>
      <w:marLeft w:val="0"/>
      <w:marRight w:val="0"/>
      <w:marTop w:val="0"/>
      <w:marBottom w:val="0"/>
      <w:divBdr>
        <w:top w:val="none" w:sz="0" w:space="0" w:color="auto"/>
        <w:left w:val="none" w:sz="0" w:space="0" w:color="auto"/>
        <w:bottom w:val="none" w:sz="0" w:space="0" w:color="auto"/>
        <w:right w:val="none" w:sz="0" w:space="0" w:color="auto"/>
      </w:divBdr>
    </w:div>
    <w:div w:id="1247304633">
      <w:bodyDiv w:val="1"/>
      <w:marLeft w:val="0"/>
      <w:marRight w:val="0"/>
      <w:marTop w:val="0"/>
      <w:marBottom w:val="0"/>
      <w:divBdr>
        <w:top w:val="none" w:sz="0" w:space="0" w:color="auto"/>
        <w:left w:val="none" w:sz="0" w:space="0" w:color="auto"/>
        <w:bottom w:val="none" w:sz="0" w:space="0" w:color="auto"/>
        <w:right w:val="none" w:sz="0" w:space="0" w:color="auto"/>
      </w:divBdr>
    </w:div>
    <w:div w:id="1248730119">
      <w:bodyDiv w:val="1"/>
      <w:marLeft w:val="0"/>
      <w:marRight w:val="0"/>
      <w:marTop w:val="0"/>
      <w:marBottom w:val="0"/>
      <w:divBdr>
        <w:top w:val="none" w:sz="0" w:space="0" w:color="auto"/>
        <w:left w:val="none" w:sz="0" w:space="0" w:color="auto"/>
        <w:bottom w:val="none" w:sz="0" w:space="0" w:color="auto"/>
        <w:right w:val="none" w:sz="0" w:space="0" w:color="auto"/>
      </w:divBdr>
    </w:div>
    <w:div w:id="1260408333">
      <w:bodyDiv w:val="1"/>
      <w:marLeft w:val="0"/>
      <w:marRight w:val="0"/>
      <w:marTop w:val="0"/>
      <w:marBottom w:val="0"/>
      <w:divBdr>
        <w:top w:val="none" w:sz="0" w:space="0" w:color="auto"/>
        <w:left w:val="none" w:sz="0" w:space="0" w:color="auto"/>
        <w:bottom w:val="none" w:sz="0" w:space="0" w:color="auto"/>
        <w:right w:val="none" w:sz="0" w:space="0" w:color="auto"/>
      </w:divBdr>
    </w:div>
    <w:div w:id="1276474736">
      <w:bodyDiv w:val="1"/>
      <w:marLeft w:val="0"/>
      <w:marRight w:val="0"/>
      <w:marTop w:val="0"/>
      <w:marBottom w:val="0"/>
      <w:divBdr>
        <w:top w:val="none" w:sz="0" w:space="0" w:color="auto"/>
        <w:left w:val="none" w:sz="0" w:space="0" w:color="auto"/>
        <w:bottom w:val="none" w:sz="0" w:space="0" w:color="auto"/>
        <w:right w:val="none" w:sz="0" w:space="0" w:color="auto"/>
      </w:divBdr>
    </w:div>
    <w:div w:id="1278368414">
      <w:bodyDiv w:val="1"/>
      <w:marLeft w:val="0"/>
      <w:marRight w:val="0"/>
      <w:marTop w:val="0"/>
      <w:marBottom w:val="0"/>
      <w:divBdr>
        <w:top w:val="none" w:sz="0" w:space="0" w:color="auto"/>
        <w:left w:val="none" w:sz="0" w:space="0" w:color="auto"/>
        <w:bottom w:val="none" w:sz="0" w:space="0" w:color="auto"/>
        <w:right w:val="none" w:sz="0" w:space="0" w:color="auto"/>
      </w:divBdr>
    </w:div>
    <w:div w:id="1287273813">
      <w:bodyDiv w:val="1"/>
      <w:marLeft w:val="0"/>
      <w:marRight w:val="0"/>
      <w:marTop w:val="0"/>
      <w:marBottom w:val="0"/>
      <w:divBdr>
        <w:top w:val="none" w:sz="0" w:space="0" w:color="auto"/>
        <w:left w:val="none" w:sz="0" w:space="0" w:color="auto"/>
        <w:bottom w:val="none" w:sz="0" w:space="0" w:color="auto"/>
        <w:right w:val="none" w:sz="0" w:space="0" w:color="auto"/>
      </w:divBdr>
    </w:div>
    <w:div w:id="1289124733">
      <w:bodyDiv w:val="1"/>
      <w:marLeft w:val="0"/>
      <w:marRight w:val="0"/>
      <w:marTop w:val="0"/>
      <w:marBottom w:val="0"/>
      <w:divBdr>
        <w:top w:val="none" w:sz="0" w:space="0" w:color="auto"/>
        <w:left w:val="none" w:sz="0" w:space="0" w:color="auto"/>
        <w:bottom w:val="none" w:sz="0" w:space="0" w:color="auto"/>
        <w:right w:val="none" w:sz="0" w:space="0" w:color="auto"/>
      </w:divBdr>
    </w:div>
    <w:div w:id="1289625775">
      <w:bodyDiv w:val="1"/>
      <w:marLeft w:val="0"/>
      <w:marRight w:val="0"/>
      <w:marTop w:val="0"/>
      <w:marBottom w:val="0"/>
      <w:divBdr>
        <w:top w:val="none" w:sz="0" w:space="0" w:color="auto"/>
        <w:left w:val="none" w:sz="0" w:space="0" w:color="auto"/>
        <w:bottom w:val="none" w:sz="0" w:space="0" w:color="auto"/>
        <w:right w:val="none" w:sz="0" w:space="0" w:color="auto"/>
      </w:divBdr>
    </w:div>
    <w:div w:id="1307592696">
      <w:bodyDiv w:val="1"/>
      <w:marLeft w:val="0"/>
      <w:marRight w:val="0"/>
      <w:marTop w:val="0"/>
      <w:marBottom w:val="0"/>
      <w:divBdr>
        <w:top w:val="none" w:sz="0" w:space="0" w:color="auto"/>
        <w:left w:val="none" w:sz="0" w:space="0" w:color="auto"/>
        <w:bottom w:val="none" w:sz="0" w:space="0" w:color="auto"/>
        <w:right w:val="none" w:sz="0" w:space="0" w:color="auto"/>
      </w:divBdr>
    </w:div>
    <w:div w:id="1313484862">
      <w:bodyDiv w:val="1"/>
      <w:marLeft w:val="0"/>
      <w:marRight w:val="0"/>
      <w:marTop w:val="0"/>
      <w:marBottom w:val="0"/>
      <w:divBdr>
        <w:top w:val="none" w:sz="0" w:space="0" w:color="auto"/>
        <w:left w:val="none" w:sz="0" w:space="0" w:color="auto"/>
        <w:bottom w:val="none" w:sz="0" w:space="0" w:color="auto"/>
        <w:right w:val="none" w:sz="0" w:space="0" w:color="auto"/>
      </w:divBdr>
    </w:div>
    <w:div w:id="1316566604">
      <w:bodyDiv w:val="1"/>
      <w:marLeft w:val="0"/>
      <w:marRight w:val="0"/>
      <w:marTop w:val="0"/>
      <w:marBottom w:val="0"/>
      <w:divBdr>
        <w:top w:val="none" w:sz="0" w:space="0" w:color="auto"/>
        <w:left w:val="none" w:sz="0" w:space="0" w:color="auto"/>
        <w:bottom w:val="none" w:sz="0" w:space="0" w:color="auto"/>
        <w:right w:val="none" w:sz="0" w:space="0" w:color="auto"/>
      </w:divBdr>
    </w:div>
    <w:div w:id="1326205560">
      <w:bodyDiv w:val="1"/>
      <w:marLeft w:val="0"/>
      <w:marRight w:val="0"/>
      <w:marTop w:val="0"/>
      <w:marBottom w:val="0"/>
      <w:divBdr>
        <w:top w:val="none" w:sz="0" w:space="0" w:color="auto"/>
        <w:left w:val="none" w:sz="0" w:space="0" w:color="auto"/>
        <w:bottom w:val="none" w:sz="0" w:space="0" w:color="auto"/>
        <w:right w:val="none" w:sz="0" w:space="0" w:color="auto"/>
      </w:divBdr>
    </w:div>
    <w:div w:id="1331828312">
      <w:bodyDiv w:val="1"/>
      <w:marLeft w:val="0"/>
      <w:marRight w:val="0"/>
      <w:marTop w:val="0"/>
      <w:marBottom w:val="0"/>
      <w:divBdr>
        <w:top w:val="none" w:sz="0" w:space="0" w:color="auto"/>
        <w:left w:val="none" w:sz="0" w:space="0" w:color="auto"/>
        <w:bottom w:val="none" w:sz="0" w:space="0" w:color="auto"/>
        <w:right w:val="none" w:sz="0" w:space="0" w:color="auto"/>
      </w:divBdr>
    </w:div>
    <w:div w:id="1336029646">
      <w:bodyDiv w:val="1"/>
      <w:marLeft w:val="0"/>
      <w:marRight w:val="0"/>
      <w:marTop w:val="0"/>
      <w:marBottom w:val="0"/>
      <w:divBdr>
        <w:top w:val="none" w:sz="0" w:space="0" w:color="auto"/>
        <w:left w:val="none" w:sz="0" w:space="0" w:color="auto"/>
        <w:bottom w:val="none" w:sz="0" w:space="0" w:color="auto"/>
        <w:right w:val="none" w:sz="0" w:space="0" w:color="auto"/>
      </w:divBdr>
    </w:div>
    <w:div w:id="1336226748">
      <w:bodyDiv w:val="1"/>
      <w:marLeft w:val="0"/>
      <w:marRight w:val="0"/>
      <w:marTop w:val="0"/>
      <w:marBottom w:val="0"/>
      <w:divBdr>
        <w:top w:val="none" w:sz="0" w:space="0" w:color="auto"/>
        <w:left w:val="none" w:sz="0" w:space="0" w:color="auto"/>
        <w:bottom w:val="none" w:sz="0" w:space="0" w:color="auto"/>
        <w:right w:val="none" w:sz="0" w:space="0" w:color="auto"/>
      </w:divBdr>
    </w:div>
    <w:div w:id="1339383565">
      <w:bodyDiv w:val="1"/>
      <w:marLeft w:val="0"/>
      <w:marRight w:val="0"/>
      <w:marTop w:val="0"/>
      <w:marBottom w:val="0"/>
      <w:divBdr>
        <w:top w:val="none" w:sz="0" w:space="0" w:color="auto"/>
        <w:left w:val="none" w:sz="0" w:space="0" w:color="auto"/>
        <w:bottom w:val="none" w:sz="0" w:space="0" w:color="auto"/>
        <w:right w:val="none" w:sz="0" w:space="0" w:color="auto"/>
      </w:divBdr>
    </w:div>
    <w:div w:id="1343431872">
      <w:bodyDiv w:val="1"/>
      <w:marLeft w:val="0"/>
      <w:marRight w:val="0"/>
      <w:marTop w:val="0"/>
      <w:marBottom w:val="0"/>
      <w:divBdr>
        <w:top w:val="none" w:sz="0" w:space="0" w:color="auto"/>
        <w:left w:val="none" w:sz="0" w:space="0" w:color="auto"/>
        <w:bottom w:val="none" w:sz="0" w:space="0" w:color="auto"/>
        <w:right w:val="none" w:sz="0" w:space="0" w:color="auto"/>
      </w:divBdr>
    </w:div>
    <w:div w:id="1345589447">
      <w:bodyDiv w:val="1"/>
      <w:marLeft w:val="0"/>
      <w:marRight w:val="0"/>
      <w:marTop w:val="0"/>
      <w:marBottom w:val="0"/>
      <w:divBdr>
        <w:top w:val="none" w:sz="0" w:space="0" w:color="auto"/>
        <w:left w:val="none" w:sz="0" w:space="0" w:color="auto"/>
        <w:bottom w:val="none" w:sz="0" w:space="0" w:color="auto"/>
        <w:right w:val="none" w:sz="0" w:space="0" w:color="auto"/>
      </w:divBdr>
    </w:div>
    <w:div w:id="1374036051">
      <w:bodyDiv w:val="1"/>
      <w:marLeft w:val="0"/>
      <w:marRight w:val="0"/>
      <w:marTop w:val="0"/>
      <w:marBottom w:val="0"/>
      <w:divBdr>
        <w:top w:val="none" w:sz="0" w:space="0" w:color="auto"/>
        <w:left w:val="none" w:sz="0" w:space="0" w:color="auto"/>
        <w:bottom w:val="none" w:sz="0" w:space="0" w:color="auto"/>
        <w:right w:val="none" w:sz="0" w:space="0" w:color="auto"/>
      </w:divBdr>
    </w:div>
    <w:div w:id="1377585038">
      <w:bodyDiv w:val="1"/>
      <w:marLeft w:val="0"/>
      <w:marRight w:val="0"/>
      <w:marTop w:val="0"/>
      <w:marBottom w:val="0"/>
      <w:divBdr>
        <w:top w:val="none" w:sz="0" w:space="0" w:color="auto"/>
        <w:left w:val="none" w:sz="0" w:space="0" w:color="auto"/>
        <w:bottom w:val="none" w:sz="0" w:space="0" w:color="auto"/>
        <w:right w:val="none" w:sz="0" w:space="0" w:color="auto"/>
      </w:divBdr>
    </w:div>
    <w:div w:id="1379428777">
      <w:bodyDiv w:val="1"/>
      <w:marLeft w:val="0"/>
      <w:marRight w:val="0"/>
      <w:marTop w:val="0"/>
      <w:marBottom w:val="0"/>
      <w:divBdr>
        <w:top w:val="none" w:sz="0" w:space="0" w:color="auto"/>
        <w:left w:val="none" w:sz="0" w:space="0" w:color="auto"/>
        <w:bottom w:val="none" w:sz="0" w:space="0" w:color="auto"/>
        <w:right w:val="none" w:sz="0" w:space="0" w:color="auto"/>
      </w:divBdr>
    </w:div>
    <w:div w:id="1384522706">
      <w:bodyDiv w:val="1"/>
      <w:marLeft w:val="0"/>
      <w:marRight w:val="0"/>
      <w:marTop w:val="0"/>
      <w:marBottom w:val="0"/>
      <w:divBdr>
        <w:top w:val="none" w:sz="0" w:space="0" w:color="auto"/>
        <w:left w:val="none" w:sz="0" w:space="0" w:color="auto"/>
        <w:bottom w:val="none" w:sz="0" w:space="0" w:color="auto"/>
        <w:right w:val="none" w:sz="0" w:space="0" w:color="auto"/>
      </w:divBdr>
    </w:div>
    <w:div w:id="1395856978">
      <w:bodyDiv w:val="1"/>
      <w:marLeft w:val="0"/>
      <w:marRight w:val="0"/>
      <w:marTop w:val="0"/>
      <w:marBottom w:val="0"/>
      <w:divBdr>
        <w:top w:val="none" w:sz="0" w:space="0" w:color="auto"/>
        <w:left w:val="none" w:sz="0" w:space="0" w:color="auto"/>
        <w:bottom w:val="none" w:sz="0" w:space="0" w:color="auto"/>
        <w:right w:val="none" w:sz="0" w:space="0" w:color="auto"/>
      </w:divBdr>
    </w:div>
    <w:div w:id="1401441314">
      <w:bodyDiv w:val="1"/>
      <w:marLeft w:val="0"/>
      <w:marRight w:val="0"/>
      <w:marTop w:val="0"/>
      <w:marBottom w:val="0"/>
      <w:divBdr>
        <w:top w:val="none" w:sz="0" w:space="0" w:color="auto"/>
        <w:left w:val="none" w:sz="0" w:space="0" w:color="auto"/>
        <w:bottom w:val="none" w:sz="0" w:space="0" w:color="auto"/>
        <w:right w:val="none" w:sz="0" w:space="0" w:color="auto"/>
      </w:divBdr>
    </w:div>
    <w:div w:id="1402674426">
      <w:bodyDiv w:val="1"/>
      <w:marLeft w:val="0"/>
      <w:marRight w:val="0"/>
      <w:marTop w:val="0"/>
      <w:marBottom w:val="0"/>
      <w:divBdr>
        <w:top w:val="none" w:sz="0" w:space="0" w:color="auto"/>
        <w:left w:val="none" w:sz="0" w:space="0" w:color="auto"/>
        <w:bottom w:val="none" w:sz="0" w:space="0" w:color="auto"/>
        <w:right w:val="none" w:sz="0" w:space="0" w:color="auto"/>
      </w:divBdr>
    </w:div>
    <w:div w:id="1406337898">
      <w:bodyDiv w:val="1"/>
      <w:marLeft w:val="0"/>
      <w:marRight w:val="0"/>
      <w:marTop w:val="0"/>
      <w:marBottom w:val="0"/>
      <w:divBdr>
        <w:top w:val="none" w:sz="0" w:space="0" w:color="auto"/>
        <w:left w:val="none" w:sz="0" w:space="0" w:color="auto"/>
        <w:bottom w:val="none" w:sz="0" w:space="0" w:color="auto"/>
        <w:right w:val="none" w:sz="0" w:space="0" w:color="auto"/>
      </w:divBdr>
    </w:div>
    <w:div w:id="1407416254">
      <w:bodyDiv w:val="1"/>
      <w:marLeft w:val="0"/>
      <w:marRight w:val="0"/>
      <w:marTop w:val="0"/>
      <w:marBottom w:val="0"/>
      <w:divBdr>
        <w:top w:val="none" w:sz="0" w:space="0" w:color="auto"/>
        <w:left w:val="none" w:sz="0" w:space="0" w:color="auto"/>
        <w:bottom w:val="none" w:sz="0" w:space="0" w:color="auto"/>
        <w:right w:val="none" w:sz="0" w:space="0" w:color="auto"/>
      </w:divBdr>
    </w:div>
    <w:div w:id="1414358997">
      <w:bodyDiv w:val="1"/>
      <w:marLeft w:val="0"/>
      <w:marRight w:val="0"/>
      <w:marTop w:val="0"/>
      <w:marBottom w:val="0"/>
      <w:divBdr>
        <w:top w:val="none" w:sz="0" w:space="0" w:color="auto"/>
        <w:left w:val="none" w:sz="0" w:space="0" w:color="auto"/>
        <w:bottom w:val="none" w:sz="0" w:space="0" w:color="auto"/>
        <w:right w:val="none" w:sz="0" w:space="0" w:color="auto"/>
      </w:divBdr>
    </w:div>
    <w:div w:id="1444618920">
      <w:bodyDiv w:val="1"/>
      <w:marLeft w:val="0"/>
      <w:marRight w:val="0"/>
      <w:marTop w:val="0"/>
      <w:marBottom w:val="0"/>
      <w:divBdr>
        <w:top w:val="none" w:sz="0" w:space="0" w:color="auto"/>
        <w:left w:val="none" w:sz="0" w:space="0" w:color="auto"/>
        <w:bottom w:val="none" w:sz="0" w:space="0" w:color="auto"/>
        <w:right w:val="none" w:sz="0" w:space="0" w:color="auto"/>
      </w:divBdr>
    </w:div>
    <w:div w:id="1459178501">
      <w:bodyDiv w:val="1"/>
      <w:marLeft w:val="0"/>
      <w:marRight w:val="0"/>
      <w:marTop w:val="0"/>
      <w:marBottom w:val="0"/>
      <w:divBdr>
        <w:top w:val="none" w:sz="0" w:space="0" w:color="auto"/>
        <w:left w:val="none" w:sz="0" w:space="0" w:color="auto"/>
        <w:bottom w:val="none" w:sz="0" w:space="0" w:color="auto"/>
        <w:right w:val="none" w:sz="0" w:space="0" w:color="auto"/>
      </w:divBdr>
    </w:div>
    <w:div w:id="1461453871">
      <w:bodyDiv w:val="1"/>
      <w:marLeft w:val="0"/>
      <w:marRight w:val="0"/>
      <w:marTop w:val="0"/>
      <w:marBottom w:val="0"/>
      <w:divBdr>
        <w:top w:val="none" w:sz="0" w:space="0" w:color="auto"/>
        <w:left w:val="none" w:sz="0" w:space="0" w:color="auto"/>
        <w:bottom w:val="none" w:sz="0" w:space="0" w:color="auto"/>
        <w:right w:val="none" w:sz="0" w:space="0" w:color="auto"/>
      </w:divBdr>
    </w:div>
    <w:div w:id="1462261233">
      <w:bodyDiv w:val="1"/>
      <w:marLeft w:val="0"/>
      <w:marRight w:val="0"/>
      <w:marTop w:val="0"/>
      <w:marBottom w:val="0"/>
      <w:divBdr>
        <w:top w:val="none" w:sz="0" w:space="0" w:color="auto"/>
        <w:left w:val="none" w:sz="0" w:space="0" w:color="auto"/>
        <w:bottom w:val="none" w:sz="0" w:space="0" w:color="auto"/>
        <w:right w:val="none" w:sz="0" w:space="0" w:color="auto"/>
      </w:divBdr>
    </w:div>
    <w:div w:id="1467964999">
      <w:bodyDiv w:val="1"/>
      <w:marLeft w:val="0"/>
      <w:marRight w:val="0"/>
      <w:marTop w:val="0"/>
      <w:marBottom w:val="0"/>
      <w:divBdr>
        <w:top w:val="none" w:sz="0" w:space="0" w:color="auto"/>
        <w:left w:val="none" w:sz="0" w:space="0" w:color="auto"/>
        <w:bottom w:val="none" w:sz="0" w:space="0" w:color="auto"/>
        <w:right w:val="none" w:sz="0" w:space="0" w:color="auto"/>
      </w:divBdr>
    </w:div>
    <w:div w:id="1477455065">
      <w:bodyDiv w:val="1"/>
      <w:marLeft w:val="0"/>
      <w:marRight w:val="0"/>
      <w:marTop w:val="0"/>
      <w:marBottom w:val="0"/>
      <w:divBdr>
        <w:top w:val="none" w:sz="0" w:space="0" w:color="auto"/>
        <w:left w:val="none" w:sz="0" w:space="0" w:color="auto"/>
        <w:bottom w:val="none" w:sz="0" w:space="0" w:color="auto"/>
        <w:right w:val="none" w:sz="0" w:space="0" w:color="auto"/>
      </w:divBdr>
    </w:div>
    <w:div w:id="1482573531">
      <w:bodyDiv w:val="1"/>
      <w:marLeft w:val="0"/>
      <w:marRight w:val="0"/>
      <w:marTop w:val="0"/>
      <w:marBottom w:val="0"/>
      <w:divBdr>
        <w:top w:val="none" w:sz="0" w:space="0" w:color="auto"/>
        <w:left w:val="none" w:sz="0" w:space="0" w:color="auto"/>
        <w:bottom w:val="none" w:sz="0" w:space="0" w:color="auto"/>
        <w:right w:val="none" w:sz="0" w:space="0" w:color="auto"/>
      </w:divBdr>
    </w:div>
    <w:div w:id="1487208630">
      <w:bodyDiv w:val="1"/>
      <w:marLeft w:val="0"/>
      <w:marRight w:val="0"/>
      <w:marTop w:val="0"/>
      <w:marBottom w:val="0"/>
      <w:divBdr>
        <w:top w:val="none" w:sz="0" w:space="0" w:color="auto"/>
        <w:left w:val="none" w:sz="0" w:space="0" w:color="auto"/>
        <w:bottom w:val="none" w:sz="0" w:space="0" w:color="auto"/>
        <w:right w:val="none" w:sz="0" w:space="0" w:color="auto"/>
      </w:divBdr>
    </w:div>
    <w:div w:id="1489857182">
      <w:bodyDiv w:val="1"/>
      <w:marLeft w:val="0"/>
      <w:marRight w:val="0"/>
      <w:marTop w:val="0"/>
      <w:marBottom w:val="0"/>
      <w:divBdr>
        <w:top w:val="none" w:sz="0" w:space="0" w:color="auto"/>
        <w:left w:val="none" w:sz="0" w:space="0" w:color="auto"/>
        <w:bottom w:val="none" w:sz="0" w:space="0" w:color="auto"/>
        <w:right w:val="none" w:sz="0" w:space="0" w:color="auto"/>
      </w:divBdr>
    </w:div>
    <w:div w:id="1490243149">
      <w:bodyDiv w:val="1"/>
      <w:marLeft w:val="0"/>
      <w:marRight w:val="0"/>
      <w:marTop w:val="0"/>
      <w:marBottom w:val="0"/>
      <w:divBdr>
        <w:top w:val="none" w:sz="0" w:space="0" w:color="auto"/>
        <w:left w:val="none" w:sz="0" w:space="0" w:color="auto"/>
        <w:bottom w:val="none" w:sz="0" w:space="0" w:color="auto"/>
        <w:right w:val="none" w:sz="0" w:space="0" w:color="auto"/>
      </w:divBdr>
    </w:div>
    <w:div w:id="1497844200">
      <w:bodyDiv w:val="1"/>
      <w:marLeft w:val="0"/>
      <w:marRight w:val="0"/>
      <w:marTop w:val="0"/>
      <w:marBottom w:val="0"/>
      <w:divBdr>
        <w:top w:val="none" w:sz="0" w:space="0" w:color="auto"/>
        <w:left w:val="none" w:sz="0" w:space="0" w:color="auto"/>
        <w:bottom w:val="none" w:sz="0" w:space="0" w:color="auto"/>
        <w:right w:val="none" w:sz="0" w:space="0" w:color="auto"/>
      </w:divBdr>
    </w:div>
    <w:div w:id="1501849839">
      <w:bodyDiv w:val="1"/>
      <w:marLeft w:val="0"/>
      <w:marRight w:val="0"/>
      <w:marTop w:val="0"/>
      <w:marBottom w:val="0"/>
      <w:divBdr>
        <w:top w:val="none" w:sz="0" w:space="0" w:color="auto"/>
        <w:left w:val="none" w:sz="0" w:space="0" w:color="auto"/>
        <w:bottom w:val="none" w:sz="0" w:space="0" w:color="auto"/>
        <w:right w:val="none" w:sz="0" w:space="0" w:color="auto"/>
      </w:divBdr>
    </w:div>
    <w:div w:id="1501890927">
      <w:bodyDiv w:val="1"/>
      <w:marLeft w:val="0"/>
      <w:marRight w:val="0"/>
      <w:marTop w:val="0"/>
      <w:marBottom w:val="0"/>
      <w:divBdr>
        <w:top w:val="none" w:sz="0" w:space="0" w:color="auto"/>
        <w:left w:val="none" w:sz="0" w:space="0" w:color="auto"/>
        <w:bottom w:val="none" w:sz="0" w:space="0" w:color="auto"/>
        <w:right w:val="none" w:sz="0" w:space="0" w:color="auto"/>
      </w:divBdr>
    </w:div>
    <w:div w:id="1523010603">
      <w:bodyDiv w:val="1"/>
      <w:marLeft w:val="0"/>
      <w:marRight w:val="0"/>
      <w:marTop w:val="0"/>
      <w:marBottom w:val="0"/>
      <w:divBdr>
        <w:top w:val="none" w:sz="0" w:space="0" w:color="auto"/>
        <w:left w:val="none" w:sz="0" w:space="0" w:color="auto"/>
        <w:bottom w:val="none" w:sz="0" w:space="0" w:color="auto"/>
        <w:right w:val="none" w:sz="0" w:space="0" w:color="auto"/>
      </w:divBdr>
    </w:div>
    <w:div w:id="1528060653">
      <w:bodyDiv w:val="1"/>
      <w:marLeft w:val="0"/>
      <w:marRight w:val="0"/>
      <w:marTop w:val="0"/>
      <w:marBottom w:val="0"/>
      <w:divBdr>
        <w:top w:val="none" w:sz="0" w:space="0" w:color="auto"/>
        <w:left w:val="none" w:sz="0" w:space="0" w:color="auto"/>
        <w:bottom w:val="none" w:sz="0" w:space="0" w:color="auto"/>
        <w:right w:val="none" w:sz="0" w:space="0" w:color="auto"/>
      </w:divBdr>
    </w:div>
    <w:div w:id="1531988327">
      <w:bodyDiv w:val="1"/>
      <w:marLeft w:val="0"/>
      <w:marRight w:val="0"/>
      <w:marTop w:val="0"/>
      <w:marBottom w:val="0"/>
      <w:divBdr>
        <w:top w:val="none" w:sz="0" w:space="0" w:color="auto"/>
        <w:left w:val="none" w:sz="0" w:space="0" w:color="auto"/>
        <w:bottom w:val="none" w:sz="0" w:space="0" w:color="auto"/>
        <w:right w:val="none" w:sz="0" w:space="0" w:color="auto"/>
      </w:divBdr>
    </w:div>
    <w:div w:id="1532526017">
      <w:bodyDiv w:val="1"/>
      <w:marLeft w:val="0"/>
      <w:marRight w:val="0"/>
      <w:marTop w:val="0"/>
      <w:marBottom w:val="0"/>
      <w:divBdr>
        <w:top w:val="none" w:sz="0" w:space="0" w:color="auto"/>
        <w:left w:val="none" w:sz="0" w:space="0" w:color="auto"/>
        <w:bottom w:val="none" w:sz="0" w:space="0" w:color="auto"/>
        <w:right w:val="none" w:sz="0" w:space="0" w:color="auto"/>
      </w:divBdr>
    </w:div>
    <w:div w:id="1537350915">
      <w:bodyDiv w:val="1"/>
      <w:marLeft w:val="0"/>
      <w:marRight w:val="0"/>
      <w:marTop w:val="0"/>
      <w:marBottom w:val="0"/>
      <w:divBdr>
        <w:top w:val="none" w:sz="0" w:space="0" w:color="auto"/>
        <w:left w:val="none" w:sz="0" w:space="0" w:color="auto"/>
        <w:bottom w:val="none" w:sz="0" w:space="0" w:color="auto"/>
        <w:right w:val="none" w:sz="0" w:space="0" w:color="auto"/>
      </w:divBdr>
    </w:div>
    <w:div w:id="1539391013">
      <w:bodyDiv w:val="1"/>
      <w:marLeft w:val="0"/>
      <w:marRight w:val="0"/>
      <w:marTop w:val="0"/>
      <w:marBottom w:val="0"/>
      <w:divBdr>
        <w:top w:val="none" w:sz="0" w:space="0" w:color="auto"/>
        <w:left w:val="none" w:sz="0" w:space="0" w:color="auto"/>
        <w:bottom w:val="none" w:sz="0" w:space="0" w:color="auto"/>
        <w:right w:val="none" w:sz="0" w:space="0" w:color="auto"/>
      </w:divBdr>
    </w:div>
    <w:div w:id="1541674578">
      <w:bodyDiv w:val="1"/>
      <w:marLeft w:val="0"/>
      <w:marRight w:val="0"/>
      <w:marTop w:val="0"/>
      <w:marBottom w:val="0"/>
      <w:divBdr>
        <w:top w:val="none" w:sz="0" w:space="0" w:color="auto"/>
        <w:left w:val="none" w:sz="0" w:space="0" w:color="auto"/>
        <w:bottom w:val="none" w:sz="0" w:space="0" w:color="auto"/>
        <w:right w:val="none" w:sz="0" w:space="0" w:color="auto"/>
      </w:divBdr>
    </w:div>
    <w:div w:id="1561552970">
      <w:bodyDiv w:val="1"/>
      <w:marLeft w:val="0"/>
      <w:marRight w:val="0"/>
      <w:marTop w:val="0"/>
      <w:marBottom w:val="0"/>
      <w:divBdr>
        <w:top w:val="none" w:sz="0" w:space="0" w:color="auto"/>
        <w:left w:val="none" w:sz="0" w:space="0" w:color="auto"/>
        <w:bottom w:val="none" w:sz="0" w:space="0" w:color="auto"/>
        <w:right w:val="none" w:sz="0" w:space="0" w:color="auto"/>
      </w:divBdr>
    </w:div>
    <w:div w:id="1563131870">
      <w:bodyDiv w:val="1"/>
      <w:marLeft w:val="0"/>
      <w:marRight w:val="0"/>
      <w:marTop w:val="0"/>
      <w:marBottom w:val="0"/>
      <w:divBdr>
        <w:top w:val="none" w:sz="0" w:space="0" w:color="auto"/>
        <w:left w:val="none" w:sz="0" w:space="0" w:color="auto"/>
        <w:bottom w:val="none" w:sz="0" w:space="0" w:color="auto"/>
        <w:right w:val="none" w:sz="0" w:space="0" w:color="auto"/>
      </w:divBdr>
    </w:div>
    <w:div w:id="1567062651">
      <w:bodyDiv w:val="1"/>
      <w:marLeft w:val="0"/>
      <w:marRight w:val="0"/>
      <w:marTop w:val="0"/>
      <w:marBottom w:val="0"/>
      <w:divBdr>
        <w:top w:val="none" w:sz="0" w:space="0" w:color="auto"/>
        <w:left w:val="none" w:sz="0" w:space="0" w:color="auto"/>
        <w:bottom w:val="none" w:sz="0" w:space="0" w:color="auto"/>
        <w:right w:val="none" w:sz="0" w:space="0" w:color="auto"/>
      </w:divBdr>
    </w:div>
    <w:div w:id="1567715845">
      <w:bodyDiv w:val="1"/>
      <w:marLeft w:val="0"/>
      <w:marRight w:val="0"/>
      <w:marTop w:val="0"/>
      <w:marBottom w:val="0"/>
      <w:divBdr>
        <w:top w:val="none" w:sz="0" w:space="0" w:color="auto"/>
        <w:left w:val="none" w:sz="0" w:space="0" w:color="auto"/>
        <w:bottom w:val="none" w:sz="0" w:space="0" w:color="auto"/>
        <w:right w:val="none" w:sz="0" w:space="0" w:color="auto"/>
      </w:divBdr>
    </w:div>
    <w:div w:id="1569922481">
      <w:bodyDiv w:val="1"/>
      <w:marLeft w:val="0"/>
      <w:marRight w:val="0"/>
      <w:marTop w:val="0"/>
      <w:marBottom w:val="0"/>
      <w:divBdr>
        <w:top w:val="none" w:sz="0" w:space="0" w:color="auto"/>
        <w:left w:val="none" w:sz="0" w:space="0" w:color="auto"/>
        <w:bottom w:val="none" w:sz="0" w:space="0" w:color="auto"/>
        <w:right w:val="none" w:sz="0" w:space="0" w:color="auto"/>
      </w:divBdr>
    </w:div>
    <w:div w:id="1582986247">
      <w:bodyDiv w:val="1"/>
      <w:marLeft w:val="0"/>
      <w:marRight w:val="0"/>
      <w:marTop w:val="0"/>
      <w:marBottom w:val="0"/>
      <w:divBdr>
        <w:top w:val="none" w:sz="0" w:space="0" w:color="auto"/>
        <w:left w:val="none" w:sz="0" w:space="0" w:color="auto"/>
        <w:bottom w:val="none" w:sz="0" w:space="0" w:color="auto"/>
        <w:right w:val="none" w:sz="0" w:space="0" w:color="auto"/>
      </w:divBdr>
    </w:div>
    <w:div w:id="1583487378">
      <w:bodyDiv w:val="1"/>
      <w:marLeft w:val="0"/>
      <w:marRight w:val="0"/>
      <w:marTop w:val="0"/>
      <w:marBottom w:val="0"/>
      <w:divBdr>
        <w:top w:val="none" w:sz="0" w:space="0" w:color="auto"/>
        <w:left w:val="none" w:sz="0" w:space="0" w:color="auto"/>
        <w:bottom w:val="none" w:sz="0" w:space="0" w:color="auto"/>
        <w:right w:val="none" w:sz="0" w:space="0" w:color="auto"/>
      </w:divBdr>
    </w:div>
    <w:div w:id="1587379221">
      <w:bodyDiv w:val="1"/>
      <w:marLeft w:val="0"/>
      <w:marRight w:val="0"/>
      <w:marTop w:val="0"/>
      <w:marBottom w:val="0"/>
      <w:divBdr>
        <w:top w:val="none" w:sz="0" w:space="0" w:color="auto"/>
        <w:left w:val="none" w:sz="0" w:space="0" w:color="auto"/>
        <w:bottom w:val="none" w:sz="0" w:space="0" w:color="auto"/>
        <w:right w:val="none" w:sz="0" w:space="0" w:color="auto"/>
      </w:divBdr>
    </w:div>
    <w:div w:id="1591111714">
      <w:bodyDiv w:val="1"/>
      <w:marLeft w:val="0"/>
      <w:marRight w:val="0"/>
      <w:marTop w:val="0"/>
      <w:marBottom w:val="0"/>
      <w:divBdr>
        <w:top w:val="none" w:sz="0" w:space="0" w:color="auto"/>
        <w:left w:val="none" w:sz="0" w:space="0" w:color="auto"/>
        <w:bottom w:val="none" w:sz="0" w:space="0" w:color="auto"/>
        <w:right w:val="none" w:sz="0" w:space="0" w:color="auto"/>
      </w:divBdr>
    </w:div>
    <w:div w:id="1597320339">
      <w:bodyDiv w:val="1"/>
      <w:marLeft w:val="0"/>
      <w:marRight w:val="0"/>
      <w:marTop w:val="0"/>
      <w:marBottom w:val="0"/>
      <w:divBdr>
        <w:top w:val="none" w:sz="0" w:space="0" w:color="auto"/>
        <w:left w:val="none" w:sz="0" w:space="0" w:color="auto"/>
        <w:bottom w:val="none" w:sz="0" w:space="0" w:color="auto"/>
        <w:right w:val="none" w:sz="0" w:space="0" w:color="auto"/>
      </w:divBdr>
    </w:div>
    <w:div w:id="1619413789">
      <w:bodyDiv w:val="1"/>
      <w:marLeft w:val="0"/>
      <w:marRight w:val="0"/>
      <w:marTop w:val="0"/>
      <w:marBottom w:val="0"/>
      <w:divBdr>
        <w:top w:val="none" w:sz="0" w:space="0" w:color="auto"/>
        <w:left w:val="none" w:sz="0" w:space="0" w:color="auto"/>
        <w:bottom w:val="none" w:sz="0" w:space="0" w:color="auto"/>
        <w:right w:val="none" w:sz="0" w:space="0" w:color="auto"/>
      </w:divBdr>
    </w:div>
    <w:div w:id="1621646522">
      <w:bodyDiv w:val="1"/>
      <w:marLeft w:val="0"/>
      <w:marRight w:val="0"/>
      <w:marTop w:val="0"/>
      <w:marBottom w:val="0"/>
      <w:divBdr>
        <w:top w:val="none" w:sz="0" w:space="0" w:color="auto"/>
        <w:left w:val="none" w:sz="0" w:space="0" w:color="auto"/>
        <w:bottom w:val="none" w:sz="0" w:space="0" w:color="auto"/>
        <w:right w:val="none" w:sz="0" w:space="0" w:color="auto"/>
      </w:divBdr>
    </w:div>
    <w:div w:id="1633711875">
      <w:bodyDiv w:val="1"/>
      <w:marLeft w:val="0"/>
      <w:marRight w:val="0"/>
      <w:marTop w:val="0"/>
      <w:marBottom w:val="0"/>
      <w:divBdr>
        <w:top w:val="none" w:sz="0" w:space="0" w:color="auto"/>
        <w:left w:val="none" w:sz="0" w:space="0" w:color="auto"/>
        <w:bottom w:val="none" w:sz="0" w:space="0" w:color="auto"/>
        <w:right w:val="none" w:sz="0" w:space="0" w:color="auto"/>
      </w:divBdr>
    </w:div>
    <w:div w:id="1635132609">
      <w:bodyDiv w:val="1"/>
      <w:marLeft w:val="0"/>
      <w:marRight w:val="0"/>
      <w:marTop w:val="0"/>
      <w:marBottom w:val="0"/>
      <w:divBdr>
        <w:top w:val="none" w:sz="0" w:space="0" w:color="auto"/>
        <w:left w:val="none" w:sz="0" w:space="0" w:color="auto"/>
        <w:bottom w:val="none" w:sz="0" w:space="0" w:color="auto"/>
        <w:right w:val="none" w:sz="0" w:space="0" w:color="auto"/>
      </w:divBdr>
    </w:div>
    <w:div w:id="1636910852">
      <w:bodyDiv w:val="1"/>
      <w:marLeft w:val="0"/>
      <w:marRight w:val="0"/>
      <w:marTop w:val="0"/>
      <w:marBottom w:val="0"/>
      <w:divBdr>
        <w:top w:val="none" w:sz="0" w:space="0" w:color="auto"/>
        <w:left w:val="none" w:sz="0" w:space="0" w:color="auto"/>
        <w:bottom w:val="none" w:sz="0" w:space="0" w:color="auto"/>
        <w:right w:val="none" w:sz="0" w:space="0" w:color="auto"/>
      </w:divBdr>
    </w:div>
    <w:div w:id="1641887040">
      <w:bodyDiv w:val="1"/>
      <w:marLeft w:val="0"/>
      <w:marRight w:val="0"/>
      <w:marTop w:val="0"/>
      <w:marBottom w:val="0"/>
      <w:divBdr>
        <w:top w:val="none" w:sz="0" w:space="0" w:color="auto"/>
        <w:left w:val="none" w:sz="0" w:space="0" w:color="auto"/>
        <w:bottom w:val="none" w:sz="0" w:space="0" w:color="auto"/>
        <w:right w:val="none" w:sz="0" w:space="0" w:color="auto"/>
      </w:divBdr>
    </w:div>
    <w:div w:id="1647054191">
      <w:bodyDiv w:val="1"/>
      <w:marLeft w:val="0"/>
      <w:marRight w:val="0"/>
      <w:marTop w:val="0"/>
      <w:marBottom w:val="0"/>
      <w:divBdr>
        <w:top w:val="none" w:sz="0" w:space="0" w:color="auto"/>
        <w:left w:val="none" w:sz="0" w:space="0" w:color="auto"/>
        <w:bottom w:val="none" w:sz="0" w:space="0" w:color="auto"/>
        <w:right w:val="none" w:sz="0" w:space="0" w:color="auto"/>
      </w:divBdr>
    </w:div>
    <w:div w:id="1657952974">
      <w:bodyDiv w:val="1"/>
      <w:marLeft w:val="0"/>
      <w:marRight w:val="0"/>
      <w:marTop w:val="0"/>
      <w:marBottom w:val="0"/>
      <w:divBdr>
        <w:top w:val="none" w:sz="0" w:space="0" w:color="auto"/>
        <w:left w:val="none" w:sz="0" w:space="0" w:color="auto"/>
        <w:bottom w:val="none" w:sz="0" w:space="0" w:color="auto"/>
        <w:right w:val="none" w:sz="0" w:space="0" w:color="auto"/>
      </w:divBdr>
    </w:div>
    <w:div w:id="1662196549">
      <w:bodyDiv w:val="1"/>
      <w:marLeft w:val="0"/>
      <w:marRight w:val="0"/>
      <w:marTop w:val="0"/>
      <w:marBottom w:val="0"/>
      <w:divBdr>
        <w:top w:val="none" w:sz="0" w:space="0" w:color="auto"/>
        <w:left w:val="none" w:sz="0" w:space="0" w:color="auto"/>
        <w:bottom w:val="none" w:sz="0" w:space="0" w:color="auto"/>
        <w:right w:val="none" w:sz="0" w:space="0" w:color="auto"/>
      </w:divBdr>
    </w:div>
    <w:div w:id="1663703048">
      <w:bodyDiv w:val="1"/>
      <w:marLeft w:val="0"/>
      <w:marRight w:val="0"/>
      <w:marTop w:val="0"/>
      <w:marBottom w:val="0"/>
      <w:divBdr>
        <w:top w:val="none" w:sz="0" w:space="0" w:color="auto"/>
        <w:left w:val="none" w:sz="0" w:space="0" w:color="auto"/>
        <w:bottom w:val="none" w:sz="0" w:space="0" w:color="auto"/>
        <w:right w:val="none" w:sz="0" w:space="0" w:color="auto"/>
      </w:divBdr>
    </w:div>
    <w:div w:id="1668248136">
      <w:bodyDiv w:val="1"/>
      <w:marLeft w:val="0"/>
      <w:marRight w:val="0"/>
      <w:marTop w:val="0"/>
      <w:marBottom w:val="0"/>
      <w:divBdr>
        <w:top w:val="none" w:sz="0" w:space="0" w:color="auto"/>
        <w:left w:val="none" w:sz="0" w:space="0" w:color="auto"/>
        <w:bottom w:val="none" w:sz="0" w:space="0" w:color="auto"/>
        <w:right w:val="none" w:sz="0" w:space="0" w:color="auto"/>
      </w:divBdr>
    </w:div>
    <w:div w:id="1679380374">
      <w:bodyDiv w:val="1"/>
      <w:marLeft w:val="0"/>
      <w:marRight w:val="0"/>
      <w:marTop w:val="0"/>
      <w:marBottom w:val="0"/>
      <w:divBdr>
        <w:top w:val="none" w:sz="0" w:space="0" w:color="auto"/>
        <w:left w:val="none" w:sz="0" w:space="0" w:color="auto"/>
        <w:bottom w:val="none" w:sz="0" w:space="0" w:color="auto"/>
        <w:right w:val="none" w:sz="0" w:space="0" w:color="auto"/>
      </w:divBdr>
    </w:div>
    <w:div w:id="1684284300">
      <w:bodyDiv w:val="1"/>
      <w:marLeft w:val="0"/>
      <w:marRight w:val="0"/>
      <w:marTop w:val="0"/>
      <w:marBottom w:val="0"/>
      <w:divBdr>
        <w:top w:val="none" w:sz="0" w:space="0" w:color="auto"/>
        <w:left w:val="none" w:sz="0" w:space="0" w:color="auto"/>
        <w:bottom w:val="none" w:sz="0" w:space="0" w:color="auto"/>
        <w:right w:val="none" w:sz="0" w:space="0" w:color="auto"/>
      </w:divBdr>
    </w:div>
    <w:div w:id="1685784506">
      <w:bodyDiv w:val="1"/>
      <w:marLeft w:val="0"/>
      <w:marRight w:val="0"/>
      <w:marTop w:val="0"/>
      <w:marBottom w:val="0"/>
      <w:divBdr>
        <w:top w:val="none" w:sz="0" w:space="0" w:color="auto"/>
        <w:left w:val="none" w:sz="0" w:space="0" w:color="auto"/>
        <w:bottom w:val="none" w:sz="0" w:space="0" w:color="auto"/>
        <w:right w:val="none" w:sz="0" w:space="0" w:color="auto"/>
      </w:divBdr>
    </w:div>
    <w:div w:id="1695644345">
      <w:bodyDiv w:val="1"/>
      <w:marLeft w:val="0"/>
      <w:marRight w:val="0"/>
      <w:marTop w:val="0"/>
      <w:marBottom w:val="0"/>
      <w:divBdr>
        <w:top w:val="none" w:sz="0" w:space="0" w:color="auto"/>
        <w:left w:val="none" w:sz="0" w:space="0" w:color="auto"/>
        <w:bottom w:val="none" w:sz="0" w:space="0" w:color="auto"/>
        <w:right w:val="none" w:sz="0" w:space="0" w:color="auto"/>
      </w:divBdr>
    </w:div>
    <w:div w:id="1696154472">
      <w:bodyDiv w:val="1"/>
      <w:marLeft w:val="0"/>
      <w:marRight w:val="0"/>
      <w:marTop w:val="0"/>
      <w:marBottom w:val="0"/>
      <w:divBdr>
        <w:top w:val="none" w:sz="0" w:space="0" w:color="auto"/>
        <w:left w:val="none" w:sz="0" w:space="0" w:color="auto"/>
        <w:bottom w:val="none" w:sz="0" w:space="0" w:color="auto"/>
        <w:right w:val="none" w:sz="0" w:space="0" w:color="auto"/>
      </w:divBdr>
    </w:div>
    <w:div w:id="1705252995">
      <w:bodyDiv w:val="1"/>
      <w:marLeft w:val="0"/>
      <w:marRight w:val="0"/>
      <w:marTop w:val="0"/>
      <w:marBottom w:val="0"/>
      <w:divBdr>
        <w:top w:val="none" w:sz="0" w:space="0" w:color="auto"/>
        <w:left w:val="none" w:sz="0" w:space="0" w:color="auto"/>
        <w:bottom w:val="none" w:sz="0" w:space="0" w:color="auto"/>
        <w:right w:val="none" w:sz="0" w:space="0" w:color="auto"/>
      </w:divBdr>
    </w:div>
    <w:div w:id="1716345190">
      <w:bodyDiv w:val="1"/>
      <w:marLeft w:val="0"/>
      <w:marRight w:val="0"/>
      <w:marTop w:val="0"/>
      <w:marBottom w:val="0"/>
      <w:divBdr>
        <w:top w:val="none" w:sz="0" w:space="0" w:color="auto"/>
        <w:left w:val="none" w:sz="0" w:space="0" w:color="auto"/>
        <w:bottom w:val="none" w:sz="0" w:space="0" w:color="auto"/>
        <w:right w:val="none" w:sz="0" w:space="0" w:color="auto"/>
      </w:divBdr>
    </w:div>
    <w:div w:id="1720591525">
      <w:bodyDiv w:val="1"/>
      <w:marLeft w:val="0"/>
      <w:marRight w:val="0"/>
      <w:marTop w:val="0"/>
      <w:marBottom w:val="0"/>
      <w:divBdr>
        <w:top w:val="none" w:sz="0" w:space="0" w:color="auto"/>
        <w:left w:val="none" w:sz="0" w:space="0" w:color="auto"/>
        <w:bottom w:val="none" w:sz="0" w:space="0" w:color="auto"/>
        <w:right w:val="none" w:sz="0" w:space="0" w:color="auto"/>
      </w:divBdr>
    </w:div>
    <w:div w:id="1724597357">
      <w:bodyDiv w:val="1"/>
      <w:marLeft w:val="0"/>
      <w:marRight w:val="0"/>
      <w:marTop w:val="0"/>
      <w:marBottom w:val="0"/>
      <w:divBdr>
        <w:top w:val="none" w:sz="0" w:space="0" w:color="auto"/>
        <w:left w:val="none" w:sz="0" w:space="0" w:color="auto"/>
        <w:bottom w:val="none" w:sz="0" w:space="0" w:color="auto"/>
        <w:right w:val="none" w:sz="0" w:space="0" w:color="auto"/>
      </w:divBdr>
    </w:div>
    <w:div w:id="1727218815">
      <w:bodyDiv w:val="1"/>
      <w:marLeft w:val="0"/>
      <w:marRight w:val="0"/>
      <w:marTop w:val="0"/>
      <w:marBottom w:val="0"/>
      <w:divBdr>
        <w:top w:val="none" w:sz="0" w:space="0" w:color="auto"/>
        <w:left w:val="none" w:sz="0" w:space="0" w:color="auto"/>
        <w:bottom w:val="none" w:sz="0" w:space="0" w:color="auto"/>
        <w:right w:val="none" w:sz="0" w:space="0" w:color="auto"/>
      </w:divBdr>
    </w:div>
    <w:div w:id="1729499714">
      <w:bodyDiv w:val="1"/>
      <w:marLeft w:val="0"/>
      <w:marRight w:val="0"/>
      <w:marTop w:val="0"/>
      <w:marBottom w:val="0"/>
      <w:divBdr>
        <w:top w:val="none" w:sz="0" w:space="0" w:color="auto"/>
        <w:left w:val="none" w:sz="0" w:space="0" w:color="auto"/>
        <w:bottom w:val="none" w:sz="0" w:space="0" w:color="auto"/>
        <w:right w:val="none" w:sz="0" w:space="0" w:color="auto"/>
      </w:divBdr>
    </w:div>
    <w:div w:id="1750886300">
      <w:bodyDiv w:val="1"/>
      <w:marLeft w:val="0"/>
      <w:marRight w:val="0"/>
      <w:marTop w:val="0"/>
      <w:marBottom w:val="0"/>
      <w:divBdr>
        <w:top w:val="none" w:sz="0" w:space="0" w:color="auto"/>
        <w:left w:val="none" w:sz="0" w:space="0" w:color="auto"/>
        <w:bottom w:val="none" w:sz="0" w:space="0" w:color="auto"/>
        <w:right w:val="none" w:sz="0" w:space="0" w:color="auto"/>
      </w:divBdr>
    </w:div>
    <w:div w:id="1752580245">
      <w:bodyDiv w:val="1"/>
      <w:marLeft w:val="0"/>
      <w:marRight w:val="0"/>
      <w:marTop w:val="0"/>
      <w:marBottom w:val="0"/>
      <w:divBdr>
        <w:top w:val="none" w:sz="0" w:space="0" w:color="auto"/>
        <w:left w:val="none" w:sz="0" w:space="0" w:color="auto"/>
        <w:bottom w:val="none" w:sz="0" w:space="0" w:color="auto"/>
        <w:right w:val="none" w:sz="0" w:space="0" w:color="auto"/>
      </w:divBdr>
    </w:div>
    <w:div w:id="1758746422">
      <w:bodyDiv w:val="1"/>
      <w:marLeft w:val="0"/>
      <w:marRight w:val="0"/>
      <w:marTop w:val="0"/>
      <w:marBottom w:val="0"/>
      <w:divBdr>
        <w:top w:val="none" w:sz="0" w:space="0" w:color="auto"/>
        <w:left w:val="none" w:sz="0" w:space="0" w:color="auto"/>
        <w:bottom w:val="none" w:sz="0" w:space="0" w:color="auto"/>
        <w:right w:val="none" w:sz="0" w:space="0" w:color="auto"/>
      </w:divBdr>
    </w:div>
    <w:div w:id="1759865463">
      <w:bodyDiv w:val="1"/>
      <w:marLeft w:val="0"/>
      <w:marRight w:val="0"/>
      <w:marTop w:val="0"/>
      <w:marBottom w:val="0"/>
      <w:divBdr>
        <w:top w:val="none" w:sz="0" w:space="0" w:color="auto"/>
        <w:left w:val="none" w:sz="0" w:space="0" w:color="auto"/>
        <w:bottom w:val="none" w:sz="0" w:space="0" w:color="auto"/>
        <w:right w:val="none" w:sz="0" w:space="0" w:color="auto"/>
      </w:divBdr>
    </w:div>
    <w:div w:id="1762603007">
      <w:bodyDiv w:val="1"/>
      <w:marLeft w:val="0"/>
      <w:marRight w:val="0"/>
      <w:marTop w:val="0"/>
      <w:marBottom w:val="0"/>
      <w:divBdr>
        <w:top w:val="none" w:sz="0" w:space="0" w:color="auto"/>
        <w:left w:val="none" w:sz="0" w:space="0" w:color="auto"/>
        <w:bottom w:val="none" w:sz="0" w:space="0" w:color="auto"/>
        <w:right w:val="none" w:sz="0" w:space="0" w:color="auto"/>
      </w:divBdr>
    </w:div>
    <w:div w:id="1763842833">
      <w:bodyDiv w:val="1"/>
      <w:marLeft w:val="0"/>
      <w:marRight w:val="0"/>
      <w:marTop w:val="0"/>
      <w:marBottom w:val="0"/>
      <w:divBdr>
        <w:top w:val="none" w:sz="0" w:space="0" w:color="auto"/>
        <w:left w:val="none" w:sz="0" w:space="0" w:color="auto"/>
        <w:bottom w:val="none" w:sz="0" w:space="0" w:color="auto"/>
        <w:right w:val="none" w:sz="0" w:space="0" w:color="auto"/>
      </w:divBdr>
    </w:div>
    <w:div w:id="1764109930">
      <w:bodyDiv w:val="1"/>
      <w:marLeft w:val="0"/>
      <w:marRight w:val="0"/>
      <w:marTop w:val="0"/>
      <w:marBottom w:val="0"/>
      <w:divBdr>
        <w:top w:val="none" w:sz="0" w:space="0" w:color="auto"/>
        <w:left w:val="none" w:sz="0" w:space="0" w:color="auto"/>
        <w:bottom w:val="none" w:sz="0" w:space="0" w:color="auto"/>
        <w:right w:val="none" w:sz="0" w:space="0" w:color="auto"/>
      </w:divBdr>
    </w:div>
    <w:div w:id="1765102676">
      <w:bodyDiv w:val="1"/>
      <w:marLeft w:val="0"/>
      <w:marRight w:val="0"/>
      <w:marTop w:val="0"/>
      <w:marBottom w:val="0"/>
      <w:divBdr>
        <w:top w:val="none" w:sz="0" w:space="0" w:color="auto"/>
        <w:left w:val="none" w:sz="0" w:space="0" w:color="auto"/>
        <w:bottom w:val="none" w:sz="0" w:space="0" w:color="auto"/>
        <w:right w:val="none" w:sz="0" w:space="0" w:color="auto"/>
      </w:divBdr>
    </w:div>
    <w:div w:id="1765803812">
      <w:bodyDiv w:val="1"/>
      <w:marLeft w:val="0"/>
      <w:marRight w:val="0"/>
      <w:marTop w:val="0"/>
      <w:marBottom w:val="0"/>
      <w:divBdr>
        <w:top w:val="none" w:sz="0" w:space="0" w:color="auto"/>
        <w:left w:val="none" w:sz="0" w:space="0" w:color="auto"/>
        <w:bottom w:val="none" w:sz="0" w:space="0" w:color="auto"/>
        <w:right w:val="none" w:sz="0" w:space="0" w:color="auto"/>
      </w:divBdr>
    </w:div>
    <w:div w:id="1775664258">
      <w:bodyDiv w:val="1"/>
      <w:marLeft w:val="0"/>
      <w:marRight w:val="0"/>
      <w:marTop w:val="0"/>
      <w:marBottom w:val="0"/>
      <w:divBdr>
        <w:top w:val="none" w:sz="0" w:space="0" w:color="auto"/>
        <w:left w:val="none" w:sz="0" w:space="0" w:color="auto"/>
        <w:bottom w:val="none" w:sz="0" w:space="0" w:color="auto"/>
        <w:right w:val="none" w:sz="0" w:space="0" w:color="auto"/>
      </w:divBdr>
    </w:div>
    <w:div w:id="1776437943">
      <w:bodyDiv w:val="1"/>
      <w:marLeft w:val="0"/>
      <w:marRight w:val="0"/>
      <w:marTop w:val="0"/>
      <w:marBottom w:val="0"/>
      <w:divBdr>
        <w:top w:val="none" w:sz="0" w:space="0" w:color="auto"/>
        <w:left w:val="none" w:sz="0" w:space="0" w:color="auto"/>
        <w:bottom w:val="none" w:sz="0" w:space="0" w:color="auto"/>
        <w:right w:val="none" w:sz="0" w:space="0" w:color="auto"/>
      </w:divBdr>
    </w:div>
    <w:div w:id="1778863876">
      <w:bodyDiv w:val="1"/>
      <w:marLeft w:val="0"/>
      <w:marRight w:val="0"/>
      <w:marTop w:val="0"/>
      <w:marBottom w:val="0"/>
      <w:divBdr>
        <w:top w:val="none" w:sz="0" w:space="0" w:color="auto"/>
        <w:left w:val="none" w:sz="0" w:space="0" w:color="auto"/>
        <w:bottom w:val="none" w:sz="0" w:space="0" w:color="auto"/>
        <w:right w:val="none" w:sz="0" w:space="0" w:color="auto"/>
      </w:divBdr>
    </w:div>
    <w:div w:id="1793984598">
      <w:bodyDiv w:val="1"/>
      <w:marLeft w:val="0"/>
      <w:marRight w:val="0"/>
      <w:marTop w:val="0"/>
      <w:marBottom w:val="0"/>
      <w:divBdr>
        <w:top w:val="none" w:sz="0" w:space="0" w:color="auto"/>
        <w:left w:val="none" w:sz="0" w:space="0" w:color="auto"/>
        <w:bottom w:val="none" w:sz="0" w:space="0" w:color="auto"/>
        <w:right w:val="none" w:sz="0" w:space="0" w:color="auto"/>
      </w:divBdr>
    </w:div>
    <w:div w:id="1833712409">
      <w:bodyDiv w:val="1"/>
      <w:marLeft w:val="0"/>
      <w:marRight w:val="0"/>
      <w:marTop w:val="0"/>
      <w:marBottom w:val="0"/>
      <w:divBdr>
        <w:top w:val="none" w:sz="0" w:space="0" w:color="auto"/>
        <w:left w:val="none" w:sz="0" w:space="0" w:color="auto"/>
        <w:bottom w:val="none" w:sz="0" w:space="0" w:color="auto"/>
        <w:right w:val="none" w:sz="0" w:space="0" w:color="auto"/>
      </w:divBdr>
    </w:div>
    <w:div w:id="1838230965">
      <w:bodyDiv w:val="1"/>
      <w:marLeft w:val="0"/>
      <w:marRight w:val="0"/>
      <w:marTop w:val="0"/>
      <w:marBottom w:val="0"/>
      <w:divBdr>
        <w:top w:val="none" w:sz="0" w:space="0" w:color="auto"/>
        <w:left w:val="none" w:sz="0" w:space="0" w:color="auto"/>
        <w:bottom w:val="none" w:sz="0" w:space="0" w:color="auto"/>
        <w:right w:val="none" w:sz="0" w:space="0" w:color="auto"/>
      </w:divBdr>
    </w:div>
    <w:div w:id="1840196443">
      <w:bodyDiv w:val="1"/>
      <w:marLeft w:val="0"/>
      <w:marRight w:val="0"/>
      <w:marTop w:val="0"/>
      <w:marBottom w:val="0"/>
      <w:divBdr>
        <w:top w:val="none" w:sz="0" w:space="0" w:color="auto"/>
        <w:left w:val="none" w:sz="0" w:space="0" w:color="auto"/>
        <w:bottom w:val="none" w:sz="0" w:space="0" w:color="auto"/>
        <w:right w:val="none" w:sz="0" w:space="0" w:color="auto"/>
      </w:divBdr>
    </w:div>
    <w:div w:id="1841579447">
      <w:bodyDiv w:val="1"/>
      <w:marLeft w:val="0"/>
      <w:marRight w:val="0"/>
      <w:marTop w:val="0"/>
      <w:marBottom w:val="0"/>
      <w:divBdr>
        <w:top w:val="none" w:sz="0" w:space="0" w:color="auto"/>
        <w:left w:val="none" w:sz="0" w:space="0" w:color="auto"/>
        <w:bottom w:val="none" w:sz="0" w:space="0" w:color="auto"/>
        <w:right w:val="none" w:sz="0" w:space="0" w:color="auto"/>
      </w:divBdr>
    </w:div>
    <w:div w:id="1848401866">
      <w:bodyDiv w:val="1"/>
      <w:marLeft w:val="0"/>
      <w:marRight w:val="0"/>
      <w:marTop w:val="0"/>
      <w:marBottom w:val="0"/>
      <w:divBdr>
        <w:top w:val="none" w:sz="0" w:space="0" w:color="auto"/>
        <w:left w:val="none" w:sz="0" w:space="0" w:color="auto"/>
        <w:bottom w:val="none" w:sz="0" w:space="0" w:color="auto"/>
        <w:right w:val="none" w:sz="0" w:space="0" w:color="auto"/>
      </w:divBdr>
    </w:div>
    <w:div w:id="1851872723">
      <w:bodyDiv w:val="1"/>
      <w:marLeft w:val="0"/>
      <w:marRight w:val="0"/>
      <w:marTop w:val="0"/>
      <w:marBottom w:val="0"/>
      <w:divBdr>
        <w:top w:val="none" w:sz="0" w:space="0" w:color="auto"/>
        <w:left w:val="none" w:sz="0" w:space="0" w:color="auto"/>
        <w:bottom w:val="none" w:sz="0" w:space="0" w:color="auto"/>
        <w:right w:val="none" w:sz="0" w:space="0" w:color="auto"/>
      </w:divBdr>
    </w:div>
    <w:div w:id="1869487748">
      <w:bodyDiv w:val="1"/>
      <w:marLeft w:val="0"/>
      <w:marRight w:val="0"/>
      <w:marTop w:val="0"/>
      <w:marBottom w:val="0"/>
      <w:divBdr>
        <w:top w:val="none" w:sz="0" w:space="0" w:color="auto"/>
        <w:left w:val="none" w:sz="0" w:space="0" w:color="auto"/>
        <w:bottom w:val="none" w:sz="0" w:space="0" w:color="auto"/>
        <w:right w:val="none" w:sz="0" w:space="0" w:color="auto"/>
      </w:divBdr>
    </w:div>
    <w:div w:id="1890259239">
      <w:bodyDiv w:val="1"/>
      <w:marLeft w:val="0"/>
      <w:marRight w:val="0"/>
      <w:marTop w:val="0"/>
      <w:marBottom w:val="0"/>
      <w:divBdr>
        <w:top w:val="none" w:sz="0" w:space="0" w:color="auto"/>
        <w:left w:val="none" w:sz="0" w:space="0" w:color="auto"/>
        <w:bottom w:val="none" w:sz="0" w:space="0" w:color="auto"/>
        <w:right w:val="none" w:sz="0" w:space="0" w:color="auto"/>
      </w:divBdr>
    </w:div>
    <w:div w:id="1901213099">
      <w:bodyDiv w:val="1"/>
      <w:marLeft w:val="0"/>
      <w:marRight w:val="0"/>
      <w:marTop w:val="0"/>
      <w:marBottom w:val="0"/>
      <w:divBdr>
        <w:top w:val="none" w:sz="0" w:space="0" w:color="auto"/>
        <w:left w:val="none" w:sz="0" w:space="0" w:color="auto"/>
        <w:bottom w:val="none" w:sz="0" w:space="0" w:color="auto"/>
        <w:right w:val="none" w:sz="0" w:space="0" w:color="auto"/>
      </w:divBdr>
    </w:div>
    <w:div w:id="1906448659">
      <w:bodyDiv w:val="1"/>
      <w:marLeft w:val="0"/>
      <w:marRight w:val="0"/>
      <w:marTop w:val="0"/>
      <w:marBottom w:val="0"/>
      <w:divBdr>
        <w:top w:val="none" w:sz="0" w:space="0" w:color="auto"/>
        <w:left w:val="none" w:sz="0" w:space="0" w:color="auto"/>
        <w:bottom w:val="none" w:sz="0" w:space="0" w:color="auto"/>
        <w:right w:val="none" w:sz="0" w:space="0" w:color="auto"/>
      </w:divBdr>
    </w:div>
    <w:div w:id="1911189519">
      <w:bodyDiv w:val="1"/>
      <w:marLeft w:val="0"/>
      <w:marRight w:val="0"/>
      <w:marTop w:val="0"/>
      <w:marBottom w:val="0"/>
      <w:divBdr>
        <w:top w:val="none" w:sz="0" w:space="0" w:color="auto"/>
        <w:left w:val="none" w:sz="0" w:space="0" w:color="auto"/>
        <w:bottom w:val="none" w:sz="0" w:space="0" w:color="auto"/>
        <w:right w:val="none" w:sz="0" w:space="0" w:color="auto"/>
      </w:divBdr>
    </w:div>
    <w:div w:id="1913613229">
      <w:bodyDiv w:val="1"/>
      <w:marLeft w:val="0"/>
      <w:marRight w:val="0"/>
      <w:marTop w:val="0"/>
      <w:marBottom w:val="0"/>
      <w:divBdr>
        <w:top w:val="none" w:sz="0" w:space="0" w:color="auto"/>
        <w:left w:val="none" w:sz="0" w:space="0" w:color="auto"/>
        <w:bottom w:val="none" w:sz="0" w:space="0" w:color="auto"/>
        <w:right w:val="none" w:sz="0" w:space="0" w:color="auto"/>
      </w:divBdr>
    </w:div>
    <w:div w:id="1920094955">
      <w:bodyDiv w:val="1"/>
      <w:marLeft w:val="0"/>
      <w:marRight w:val="0"/>
      <w:marTop w:val="0"/>
      <w:marBottom w:val="0"/>
      <w:divBdr>
        <w:top w:val="none" w:sz="0" w:space="0" w:color="auto"/>
        <w:left w:val="none" w:sz="0" w:space="0" w:color="auto"/>
        <w:bottom w:val="none" w:sz="0" w:space="0" w:color="auto"/>
        <w:right w:val="none" w:sz="0" w:space="0" w:color="auto"/>
      </w:divBdr>
    </w:div>
    <w:div w:id="1925725113">
      <w:bodyDiv w:val="1"/>
      <w:marLeft w:val="0"/>
      <w:marRight w:val="0"/>
      <w:marTop w:val="0"/>
      <w:marBottom w:val="0"/>
      <w:divBdr>
        <w:top w:val="none" w:sz="0" w:space="0" w:color="auto"/>
        <w:left w:val="none" w:sz="0" w:space="0" w:color="auto"/>
        <w:bottom w:val="none" w:sz="0" w:space="0" w:color="auto"/>
        <w:right w:val="none" w:sz="0" w:space="0" w:color="auto"/>
      </w:divBdr>
    </w:div>
    <w:div w:id="1934587504">
      <w:bodyDiv w:val="1"/>
      <w:marLeft w:val="0"/>
      <w:marRight w:val="0"/>
      <w:marTop w:val="0"/>
      <w:marBottom w:val="0"/>
      <w:divBdr>
        <w:top w:val="none" w:sz="0" w:space="0" w:color="auto"/>
        <w:left w:val="none" w:sz="0" w:space="0" w:color="auto"/>
        <w:bottom w:val="none" w:sz="0" w:space="0" w:color="auto"/>
        <w:right w:val="none" w:sz="0" w:space="0" w:color="auto"/>
      </w:divBdr>
    </w:div>
    <w:div w:id="1937055929">
      <w:bodyDiv w:val="1"/>
      <w:marLeft w:val="0"/>
      <w:marRight w:val="0"/>
      <w:marTop w:val="0"/>
      <w:marBottom w:val="0"/>
      <w:divBdr>
        <w:top w:val="none" w:sz="0" w:space="0" w:color="auto"/>
        <w:left w:val="none" w:sz="0" w:space="0" w:color="auto"/>
        <w:bottom w:val="none" w:sz="0" w:space="0" w:color="auto"/>
        <w:right w:val="none" w:sz="0" w:space="0" w:color="auto"/>
      </w:divBdr>
    </w:div>
    <w:div w:id="1941602097">
      <w:bodyDiv w:val="1"/>
      <w:marLeft w:val="0"/>
      <w:marRight w:val="0"/>
      <w:marTop w:val="0"/>
      <w:marBottom w:val="0"/>
      <w:divBdr>
        <w:top w:val="none" w:sz="0" w:space="0" w:color="auto"/>
        <w:left w:val="none" w:sz="0" w:space="0" w:color="auto"/>
        <w:bottom w:val="none" w:sz="0" w:space="0" w:color="auto"/>
        <w:right w:val="none" w:sz="0" w:space="0" w:color="auto"/>
      </w:divBdr>
    </w:div>
    <w:div w:id="1952201669">
      <w:bodyDiv w:val="1"/>
      <w:marLeft w:val="0"/>
      <w:marRight w:val="0"/>
      <w:marTop w:val="0"/>
      <w:marBottom w:val="0"/>
      <w:divBdr>
        <w:top w:val="none" w:sz="0" w:space="0" w:color="auto"/>
        <w:left w:val="none" w:sz="0" w:space="0" w:color="auto"/>
        <w:bottom w:val="none" w:sz="0" w:space="0" w:color="auto"/>
        <w:right w:val="none" w:sz="0" w:space="0" w:color="auto"/>
      </w:divBdr>
    </w:div>
    <w:div w:id="1955286610">
      <w:bodyDiv w:val="1"/>
      <w:marLeft w:val="0"/>
      <w:marRight w:val="0"/>
      <w:marTop w:val="0"/>
      <w:marBottom w:val="0"/>
      <w:divBdr>
        <w:top w:val="none" w:sz="0" w:space="0" w:color="auto"/>
        <w:left w:val="none" w:sz="0" w:space="0" w:color="auto"/>
        <w:bottom w:val="none" w:sz="0" w:space="0" w:color="auto"/>
        <w:right w:val="none" w:sz="0" w:space="0" w:color="auto"/>
      </w:divBdr>
    </w:div>
    <w:div w:id="1964266217">
      <w:bodyDiv w:val="1"/>
      <w:marLeft w:val="0"/>
      <w:marRight w:val="0"/>
      <w:marTop w:val="0"/>
      <w:marBottom w:val="0"/>
      <w:divBdr>
        <w:top w:val="none" w:sz="0" w:space="0" w:color="auto"/>
        <w:left w:val="none" w:sz="0" w:space="0" w:color="auto"/>
        <w:bottom w:val="none" w:sz="0" w:space="0" w:color="auto"/>
        <w:right w:val="none" w:sz="0" w:space="0" w:color="auto"/>
      </w:divBdr>
    </w:div>
    <w:div w:id="2000116751">
      <w:bodyDiv w:val="1"/>
      <w:marLeft w:val="0"/>
      <w:marRight w:val="0"/>
      <w:marTop w:val="0"/>
      <w:marBottom w:val="0"/>
      <w:divBdr>
        <w:top w:val="none" w:sz="0" w:space="0" w:color="auto"/>
        <w:left w:val="none" w:sz="0" w:space="0" w:color="auto"/>
        <w:bottom w:val="none" w:sz="0" w:space="0" w:color="auto"/>
        <w:right w:val="none" w:sz="0" w:space="0" w:color="auto"/>
      </w:divBdr>
    </w:div>
    <w:div w:id="2005011403">
      <w:bodyDiv w:val="1"/>
      <w:marLeft w:val="0"/>
      <w:marRight w:val="0"/>
      <w:marTop w:val="0"/>
      <w:marBottom w:val="0"/>
      <w:divBdr>
        <w:top w:val="none" w:sz="0" w:space="0" w:color="auto"/>
        <w:left w:val="none" w:sz="0" w:space="0" w:color="auto"/>
        <w:bottom w:val="none" w:sz="0" w:space="0" w:color="auto"/>
        <w:right w:val="none" w:sz="0" w:space="0" w:color="auto"/>
      </w:divBdr>
    </w:div>
    <w:div w:id="2010402422">
      <w:bodyDiv w:val="1"/>
      <w:marLeft w:val="0"/>
      <w:marRight w:val="0"/>
      <w:marTop w:val="0"/>
      <w:marBottom w:val="0"/>
      <w:divBdr>
        <w:top w:val="none" w:sz="0" w:space="0" w:color="auto"/>
        <w:left w:val="none" w:sz="0" w:space="0" w:color="auto"/>
        <w:bottom w:val="none" w:sz="0" w:space="0" w:color="auto"/>
        <w:right w:val="none" w:sz="0" w:space="0" w:color="auto"/>
      </w:divBdr>
    </w:div>
    <w:div w:id="2016883595">
      <w:bodyDiv w:val="1"/>
      <w:marLeft w:val="0"/>
      <w:marRight w:val="0"/>
      <w:marTop w:val="0"/>
      <w:marBottom w:val="0"/>
      <w:divBdr>
        <w:top w:val="none" w:sz="0" w:space="0" w:color="auto"/>
        <w:left w:val="none" w:sz="0" w:space="0" w:color="auto"/>
        <w:bottom w:val="none" w:sz="0" w:space="0" w:color="auto"/>
        <w:right w:val="none" w:sz="0" w:space="0" w:color="auto"/>
      </w:divBdr>
    </w:div>
    <w:div w:id="2026783658">
      <w:bodyDiv w:val="1"/>
      <w:marLeft w:val="0"/>
      <w:marRight w:val="0"/>
      <w:marTop w:val="0"/>
      <w:marBottom w:val="0"/>
      <w:divBdr>
        <w:top w:val="none" w:sz="0" w:space="0" w:color="auto"/>
        <w:left w:val="none" w:sz="0" w:space="0" w:color="auto"/>
        <w:bottom w:val="none" w:sz="0" w:space="0" w:color="auto"/>
        <w:right w:val="none" w:sz="0" w:space="0" w:color="auto"/>
      </w:divBdr>
    </w:div>
    <w:div w:id="2030832061">
      <w:bodyDiv w:val="1"/>
      <w:marLeft w:val="0"/>
      <w:marRight w:val="0"/>
      <w:marTop w:val="0"/>
      <w:marBottom w:val="0"/>
      <w:divBdr>
        <w:top w:val="none" w:sz="0" w:space="0" w:color="auto"/>
        <w:left w:val="none" w:sz="0" w:space="0" w:color="auto"/>
        <w:bottom w:val="none" w:sz="0" w:space="0" w:color="auto"/>
        <w:right w:val="none" w:sz="0" w:space="0" w:color="auto"/>
      </w:divBdr>
    </w:div>
    <w:div w:id="2052419780">
      <w:bodyDiv w:val="1"/>
      <w:marLeft w:val="0"/>
      <w:marRight w:val="0"/>
      <w:marTop w:val="0"/>
      <w:marBottom w:val="0"/>
      <w:divBdr>
        <w:top w:val="none" w:sz="0" w:space="0" w:color="auto"/>
        <w:left w:val="none" w:sz="0" w:space="0" w:color="auto"/>
        <w:bottom w:val="none" w:sz="0" w:space="0" w:color="auto"/>
        <w:right w:val="none" w:sz="0" w:space="0" w:color="auto"/>
      </w:divBdr>
    </w:div>
    <w:div w:id="2063014915">
      <w:bodyDiv w:val="1"/>
      <w:marLeft w:val="0"/>
      <w:marRight w:val="0"/>
      <w:marTop w:val="0"/>
      <w:marBottom w:val="0"/>
      <w:divBdr>
        <w:top w:val="none" w:sz="0" w:space="0" w:color="auto"/>
        <w:left w:val="none" w:sz="0" w:space="0" w:color="auto"/>
        <w:bottom w:val="none" w:sz="0" w:space="0" w:color="auto"/>
        <w:right w:val="none" w:sz="0" w:space="0" w:color="auto"/>
      </w:divBdr>
    </w:div>
    <w:div w:id="2071152837">
      <w:bodyDiv w:val="1"/>
      <w:marLeft w:val="0"/>
      <w:marRight w:val="0"/>
      <w:marTop w:val="0"/>
      <w:marBottom w:val="0"/>
      <w:divBdr>
        <w:top w:val="none" w:sz="0" w:space="0" w:color="auto"/>
        <w:left w:val="none" w:sz="0" w:space="0" w:color="auto"/>
        <w:bottom w:val="none" w:sz="0" w:space="0" w:color="auto"/>
        <w:right w:val="none" w:sz="0" w:space="0" w:color="auto"/>
      </w:divBdr>
    </w:div>
    <w:div w:id="2075153158">
      <w:bodyDiv w:val="1"/>
      <w:marLeft w:val="0"/>
      <w:marRight w:val="0"/>
      <w:marTop w:val="0"/>
      <w:marBottom w:val="0"/>
      <w:divBdr>
        <w:top w:val="none" w:sz="0" w:space="0" w:color="auto"/>
        <w:left w:val="none" w:sz="0" w:space="0" w:color="auto"/>
        <w:bottom w:val="none" w:sz="0" w:space="0" w:color="auto"/>
        <w:right w:val="none" w:sz="0" w:space="0" w:color="auto"/>
      </w:divBdr>
    </w:div>
    <w:div w:id="2078702713">
      <w:bodyDiv w:val="1"/>
      <w:marLeft w:val="0"/>
      <w:marRight w:val="0"/>
      <w:marTop w:val="0"/>
      <w:marBottom w:val="0"/>
      <w:divBdr>
        <w:top w:val="none" w:sz="0" w:space="0" w:color="auto"/>
        <w:left w:val="none" w:sz="0" w:space="0" w:color="auto"/>
        <w:bottom w:val="none" w:sz="0" w:space="0" w:color="auto"/>
        <w:right w:val="none" w:sz="0" w:space="0" w:color="auto"/>
      </w:divBdr>
    </w:div>
    <w:div w:id="2102144136">
      <w:bodyDiv w:val="1"/>
      <w:marLeft w:val="0"/>
      <w:marRight w:val="0"/>
      <w:marTop w:val="0"/>
      <w:marBottom w:val="0"/>
      <w:divBdr>
        <w:top w:val="none" w:sz="0" w:space="0" w:color="auto"/>
        <w:left w:val="none" w:sz="0" w:space="0" w:color="auto"/>
        <w:bottom w:val="none" w:sz="0" w:space="0" w:color="auto"/>
        <w:right w:val="none" w:sz="0" w:space="0" w:color="auto"/>
      </w:divBdr>
    </w:div>
    <w:div w:id="2103793375">
      <w:bodyDiv w:val="1"/>
      <w:marLeft w:val="0"/>
      <w:marRight w:val="0"/>
      <w:marTop w:val="0"/>
      <w:marBottom w:val="0"/>
      <w:divBdr>
        <w:top w:val="none" w:sz="0" w:space="0" w:color="auto"/>
        <w:left w:val="none" w:sz="0" w:space="0" w:color="auto"/>
        <w:bottom w:val="none" w:sz="0" w:space="0" w:color="auto"/>
        <w:right w:val="none" w:sz="0" w:space="0" w:color="auto"/>
      </w:divBdr>
    </w:div>
    <w:div w:id="2108310151">
      <w:bodyDiv w:val="1"/>
      <w:marLeft w:val="0"/>
      <w:marRight w:val="0"/>
      <w:marTop w:val="0"/>
      <w:marBottom w:val="0"/>
      <w:divBdr>
        <w:top w:val="none" w:sz="0" w:space="0" w:color="auto"/>
        <w:left w:val="none" w:sz="0" w:space="0" w:color="auto"/>
        <w:bottom w:val="none" w:sz="0" w:space="0" w:color="auto"/>
        <w:right w:val="none" w:sz="0" w:space="0" w:color="auto"/>
      </w:divBdr>
    </w:div>
    <w:div w:id="2109811670">
      <w:bodyDiv w:val="1"/>
      <w:marLeft w:val="0"/>
      <w:marRight w:val="0"/>
      <w:marTop w:val="0"/>
      <w:marBottom w:val="0"/>
      <w:divBdr>
        <w:top w:val="none" w:sz="0" w:space="0" w:color="auto"/>
        <w:left w:val="none" w:sz="0" w:space="0" w:color="auto"/>
        <w:bottom w:val="none" w:sz="0" w:space="0" w:color="auto"/>
        <w:right w:val="none" w:sz="0" w:space="0" w:color="auto"/>
      </w:divBdr>
    </w:div>
    <w:div w:id="2116749009">
      <w:bodyDiv w:val="1"/>
      <w:marLeft w:val="0"/>
      <w:marRight w:val="0"/>
      <w:marTop w:val="0"/>
      <w:marBottom w:val="0"/>
      <w:divBdr>
        <w:top w:val="none" w:sz="0" w:space="0" w:color="auto"/>
        <w:left w:val="none" w:sz="0" w:space="0" w:color="auto"/>
        <w:bottom w:val="none" w:sz="0" w:space="0" w:color="auto"/>
        <w:right w:val="none" w:sz="0" w:space="0" w:color="auto"/>
      </w:divBdr>
    </w:div>
    <w:div w:id="2119520891">
      <w:bodyDiv w:val="1"/>
      <w:marLeft w:val="0"/>
      <w:marRight w:val="0"/>
      <w:marTop w:val="0"/>
      <w:marBottom w:val="0"/>
      <w:divBdr>
        <w:top w:val="none" w:sz="0" w:space="0" w:color="auto"/>
        <w:left w:val="none" w:sz="0" w:space="0" w:color="auto"/>
        <w:bottom w:val="none" w:sz="0" w:space="0" w:color="auto"/>
        <w:right w:val="none" w:sz="0" w:space="0" w:color="auto"/>
      </w:divBdr>
    </w:div>
    <w:div w:id="21221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CDF1BD466E83E842902559549E0F08F2" ma:contentTypeVersion="4" ma:contentTypeDescription="Új dokumentum létrehozása." ma:contentTypeScope="" ma:versionID="16794f1c5dc5a5f944faa50fcdca828a">
  <xsd:schema xmlns:xsd="http://www.w3.org/2001/XMLSchema" xmlns:xs="http://www.w3.org/2001/XMLSchema" xmlns:p="http://schemas.microsoft.com/office/2006/metadata/properties" xmlns:ns2="cb7eed14-1ed6-4f4f-9464-e9d73fc2f8e9" xmlns:ns3="9669010e-b829-4d86-87dd-cdce11b02043" targetNamespace="http://schemas.microsoft.com/office/2006/metadata/properties" ma:root="true" ma:fieldsID="269cfdae86c7a6b2550243d47e1e7c24" ns2:_="" ns3:_="">
    <xsd:import namespace="cb7eed14-1ed6-4f4f-9464-e9d73fc2f8e9"/>
    <xsd:import namespace="9669010e-b829-4d86-87dd-cdce11b02043"/>
    <xsd:element name="properties">
      <xsd:complexType>
        <xsd:sequence>
          <xsd:element name="documentManagement">
            <xsd:complexType>
              <xsd:all>
                <xsd:element ref="ns2:T_x00e9_ma" minOccurs="0"/>
                <xsd:element ref="ns2:_x00c9_v"/>
                <xsd:element ref="ns2:L_x00e1_that_x00f3_s_x00e1_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eed14-1ed6-4f4f-9464-e9d73fc2f8e9" elementFormDefault="qualified">
    <xsd:import namespace="http://schemas.microsoft.com/office/2006/documentManagement/types"/>
    <xsd:import namespace="http://schemas.microsoft.com/office/infopath/2007/PartnerControls"/>
    <xsd:element name="T_x00e9_ma" ma:index="2" nillable="true" ma:displayName="Téma" ma:format="Dropdown" ma:internalName="T_x00e9_ma">
      <xsd:simpleType>
        <xsd:restriction base="dms:Choice">
          <xsd:enumeration value="Tervezés"/>
          <xsd:enumeration value="Zárszámadás"/>
          <xsd:enumeration value="Törvénymódosítás"/>
          <xsd:enumeration value="ÁSZ ellenőrzés"/>
          <xsd:enumeration value="Gyorsjelentés"/>
          <xsd:enumeration value="Monitoring"/>
          <xsd:enumeration value="Tervezési tájékoztató"/>
          <xsd:enumeration value="Útmutató"/>
          <xsd:enumeration value="Munkaprogram"/>
          <xsd:enumeration value="Ütemterv"/>
          <xsd:enumeration value="Módosító"/>
          <xsd:enumeration value="Kormányülés"/>
          <xsd:enumeration value="Gazdasági kabinet"/>
          <xsd:enumeration value="Stratégiai kabinet"/>
          <xsd:enumeration value="IFMIS"/>
          <xsd:enumeration value="Fejezeten belüli átcsoportosítás"/>
          <xsd:enumeration value="Címlista"/>
          <xsd:enumeration value="BEÜ"/>
          <xsd:enumeration value="Koronavírus"/>
        </xsd:restriction>
      </xsd:simpleType>
    </xsd:element>
    <xsd:element name="_x00c9_v" ma:index="3" ma:displayName="Év" ma:default="2018" ma:format="Dropdown" ma:internalName="_x00c9_v">
      <xsd:simpleType>
        <xsd:restriction base="dms:Choice">
          <xsd:enumeration value="2021"/>
          <xsd:enumeration value="2020"/>
          <xsd:enumeration value="2019"/>
          <xsd:enumeration value="2018"/>
          <xsd:enumeration value="2017"/>
          <xsd:enumeration value="2016"/>
          <xsd:enumeration value="2015"/>
        </xsd:restriction>
      </xsd:simpleType>
    </xsd:element>
    <xsd:element name="L_x00e1_that_x00f3_s_x00e1_g" ma:index="4" nillable="true" ma:displayName="Láthatóság" ma:default="Publikus" ma:format="Dropdown" ma:internalName="L_x00e1_that_x00f3_s_x00e1_g">
      <xsd:simpleType>
        <xsd:restriction base="dms:Choice">
          <xsd:enumeration value="Publikus"/>
          <xsd:enumeration value="Csak admin látja (verziókat tartalmaz)"/>
        </xsd:restriction>
      </xsd:simpleType>
    </xsd:element>
  </xsd:schema>
  <xsd:schema xmlns:xsd="http://www.w3.org/2001/XMLSchema" xmlns:xs="http://www.w3.org/2001/XMLSchema" xmlns:dms="http://schemas.microsoft.com/office/2006/documentManagement/types" xmlns:pc="http://schemas.microsoft.com/office/infopath/2007/PartnerControls" targetNamespace="9669010e-b829-4d86-87dd-cdce11b0204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9_v xmlns="cb7eed14-1ed6-4f4f-9464-e9d73fc2f8e9">2020</_x00c9_v>
    <T_x00e9_ma xmlns="cb7eed14-1ed6-4f4f-9464-e9d73fc2f8e9">Monitoring</T_x00e9_ma>
    <L_x00e1_that_x00f3_s_x00e1_g xmlns="cb7eed14-1ed6-4f4f-9464-e9d73fc2f8e9">Publikus</L_x00e1_that_x00f3_s_x00e1_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A8B7-2573-454A-A554-B10E2C8AB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eed14-1ed6-4f4f-9464-e9d73fc2f8e9"/>
    <ds:schemaRef ds:uri="9669010e-b829-4d86-87dd-cdce11b02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78AD5-6B76-4533-9306-00D2F12000D1}">
  <ds:schemaRefs>
    <ds:schemaRef ds:uri="http://schemas.microsoft.com/sharepoint/v3/contenttype/forms"/>
  </ds:schemaRefs>
</ds:datastoreItem>
</file>

<file path=customXml/itemProps3.xml><?xml version="1.0" encoding="utf-8"?>
<ds:datastoreItem xmlns:ds="http://schemas.openxmlformats.org/officeDocument/2006/customXml" ds:itemID="{BFB480CA-BC7A-45F3-A224-17837488D9B2}">
  <ds:schemaRefs>
    <ds:schemaRef ds:uri="http://schemas.microsoft.com/office/2006/metadata/properties"/>
    <ds:schemaRef ds:uri="http://schemas.microsoft.com/office/infopath/2007/PartnerControls"/>
    <ds:schemaRef ds:uri="cb7eed14-1ed6-4f4f-9464-e9d73fc2f8e9"/>
  </ds:schemaRefs>
</ds:datastoreItem>
</file>

<file path=customXml/itemProps4.xml><?xml version="1.0" encoding="utf-8"?>
<ds:datastoreItem xmlns:ds="http://schemas.openxmlformats.org/officeDocument/2006/customXml" ds:itemID="{64BA45FA-8587-4912-B446-3B57C280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5143</Words>
  <Characters>35494</Characters>
  <Application>Microsoft Office Word</Application>
  <DocSecurity>0</DocSecurity>
  <Lines>295</Lines>
  <Paragraphs>81</Paragraphs>
  <ScaleCrop>false</ScaleCrop>
  <HeadingPairs>
    <vt:vector size="2" baseType="variant">
      <vt:variant>
        <vt:lpstr>Cím</vt:lpstr>
      </vt:variant>
      <vt:variant>
        <vt:i4>1</vt:i4>
      </vt:variant>
    </vt:vector>
  </HeadingPairs>
  <TitlesOfParts>
    <vt:vector size="1" baseType="lpstr">
      <vt:lpstr>Tájékoztató az államháztartás központi alrendszerének 2020. május havi helyzetéről</vt:lpstr>
    </vt:vector>
  </TitlesOfParts>
  <LinksUpToDate>false</LinksUpToDate>
  <CharactersWithSpaces>40556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az államháztartás központi alrendszerének 2020. május havi helyzetéről</dc:title>
  <dc:creator/>
  <cp:lastModifiedBy/>
  <cp:revision>1</cp:revision>
  <dcterms:created xsi:type="dcterms:W3CDTF">2020-06-22T06:58:00Z</dcterms:created>
  <dcterms:modified xsi:type="dcterms:W3CDTF">2020-06-22T06:58:00Z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0x010100CDF1BD466E83E842902559549E0F08F2</vt:lpwstr>
  </property>
</Properties>
</file>