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0192" w14:textId="397AE22B" w:rsidR="005E3DB1" w:rsidRPr="00CC0016" w:rsidRDefault="60A05D1C" w:rsidP="60A05D1C">
      <w:pPr>
        <w:tabs>
          <w:tab w:val="left" w:pos="6379"/>
        </w:tabs>
        <w:ind w:left="-142" w:right="-1" w:firstLine="142"/>
        <w:jc w:val="left"/>
        <w:rPr>
          <w:b/>
          <w:bCs/>
          <w:smallCaps/>
          <w:sz w:val="32"/>
          <w:szCs w:val="32"/>
        </w:rPr>
      </w:pPr>
      <w:bookmarkStart w:id="0" w:name="_GoBack"/>
      <w:bookmarkEnd w:id="0"/>
      <w:r w:rsidRPr="60A05D1C">
        <w:rPr>
          <w:b/>
          <w:bCs/>
          <w:smallCaps/>
          <w:sz w:val="32"/>
          <w:szCs w:val="32"/>
        </w:rPr>
        <w:t>Pénzügyminisztérium</w:t>
      </w:r>
    </w:p>
    <w:p w14:paraId="5D4F0193" w14:textId="77777777" w:rsidR="005E3DB1" w:rsidRPr="00CC0016" w:rsidRDefault="005E3DB1" w:rsidP="00BD2597">
      <w:pPr>
        <w:ind w:left="-142" w:firstLine="142"/>
      </w:pPr>
    </w:p>
    <w:p w14:paraId="5D4F0194" w14:textId="77777777" w:rsidR="005E3DB1" w:rsidRPr="00CC0016" w:rsidRDefault="005E3DB1" w:rsidP="000556FC">
      <w:pPr>
        <w:pStyle w:val="Cm"/>
        <w:ind w:right="0"/>
      </w:pPr>
    </w:p>
    <w:p w14:paraId="5D4F0195" w14:textId="77777777" w:rsidR="005E3DB1" w:rsidRPr="00CC0016" w:rsidRDefault="005E3DB1" w:rsidP="000556FC">
      <w:pPr>
        <w:pStyle w:val="Cm"/>
        <w:ind w:right="0"/>
      </w:pPr>
    </w:p>
    <w:p w14:paraId="5D4F0197" w14:textId="77777777" w:rsidR="005E3DB1" w:rsidRDefault="005E3DB1" w:rsidP="000556FC">
      <w:pPr>
        <w:pStyle w:val="Cm"/>
        <w:ind w:right="0"/>
      </w:pPr>
    </w:p>
    <w:p w14:paraId="79075E45" w14:textId="77777777" w:rsidR="00171DAF" w:rsidRPr="00CC0016" w:rsidRDefault="00171DAF" w:rsidP="000556FC">
      <w:pPr>
        <w:pStyle w:val="Cm"/>
        <w:ind w:right="0"/>
      </w:pPr>
    </w:p>
    <w:p w14:paraId="5D4F0198" w14:textId="77777777" w:rsidR="005E3DB1" w:rsidRPr="00CC0016" w:rsidRDefault="005E3DB1" w:rsidP="000556FC">
      <w:pPr>
        <w:pStyle w:val="Cm"/>
        <w:ind w:right="0"/>
      </w:pPr>
    </w:p>
    <w:p w14:paraId="5D4F0199" w14:textId="77777777" w:rsidR="008D430E" w:rsidRPr="00BE0A0E" w:rsidRDefault="008D430E" w:rsidP="000556FC">
      <w:pPr>
        <w:pStyle w:val="Cm"/>
        <w:ind w:right="0"/>
        <w:rPr>
          <w:sz w:val="26"/>
          <w:szCs w:val="26"/>
        </w:rPr>
      </w:pPr>
    </w:p>
    <w:p w14:paraId="5D4F019A" w14:textId="77777777" w:rsidR="005E3DB1" w:rsidRPr="00CC0016" w:rsidRDefault="005E3DB1" w:rsidP="000556FC">
      <w:pPr>
        <w:pStyle w:val="Cm"/>
        <w:ind w:right="0"/>
      </w:pPr>
    </w:p>
    <w:p w14:paraId="5D4F019B" w14:textId="77777777" w:rsidR="005E3DB1" w:rsidRPr="00CC0016" w:rsidRDefault="005E3DB1" w:rsidP="000556FC">
      <w:pPr>
        <w:pStyle w:val="Cm"/>
        <w:ind w:right="0"/>
      </w:pPr>
    </w:p>
    <w:p w14:paraId="5D4F019C" w14:textId="77777777" w:rsidR="005E3DB1" w:rsidRPr="00CC0016" w:rsidRDefault="005E3DB1" w:rsidP="000556FC">
      <w:pPr>
        <w:pStyle w:val="Cm"/>
        <w:ind w:right="0"/>
      </w:pPr>
    </w:p>
    <w:p w14:paraId="5D4F019D" w14:textId="77777777" w:rsidR="00F630A3" w:rsidRPr="00CC0016" w:rsidRDefault="00F630A3" w:rsidP="000556FC">
      <w:pPr>
        <w:pStyle w:val="Cm"/>
        <w:ind w:right="0"/>
      </w:pPr>
    </w:p>
    <w:p w14:paraId="5D4F019E" w14:textId="77777777" w:rsidR="000C5968" w:rsidRPr="00CC0016" w:rsidRDefault="000C5968" w:rsidP="000556FC">
      <w:pPr>
        <w:pStyle w:val="Cm"/>
        <w:ind w:right="0"/>
      </w:pPr>
    </w:p>
    <w:p w14:paraId="5D4F019F" w14:textId="77777777" w:rsidR="005E3DB1" w:rsidRPr="00CC0016" w:rsidRDefault="005E3DB1" w:rsidP="000556FC">
      <w:pPr>
        <w:pStyle w:val="Cm"/>
        <w:ind w:right="0"/>
      </w:pPr>
      <w:r w:rsidRPr="00CC0016">
        <w:t>Tájékoztató</w:t>
      </w:r>
      <w:r w:rsidRPr="00164FAC">
        <w:footnoteReference w:customMarkFollows="1" w:id="2"/>
        <w:t>*</w:t>
      </w:r>
    </w:p>
    <w:p w14:paraId="10F9DBE6" w14:textId="56BB77B1" w:rsidR="0083067D" w:rsidRPr="008E426A" w:rsidRDefault="60A05D1C" w:rsidP="60A05D1C">
      <w:pPr>
        <w:pStyle w:val="Cmsor2"/>
        <w:tabs>
          <w:tab w:val="left" w:pos="2694"/>
        </w:tabs>
        <w:spacing w:before="0" w:after="120"/>
        <w:ind w:right="-1"/>
        <w:rPr>
          <w:i/>
          <w:caps w:val="0"/>
          <w:szCs w:val="26"/>
        </w:rPr>
      </w:pPr>
      <w:proofErr w:type="gramStart"/>
      <w:r w:rsidRPr="008E426A">
        <w:rPr>
          <w:i/>
          <w:caps w:val="0"/>
          <w:szCs w:val="26"/>
        </w:rPr>
        <w:t>az</w:t>
      </w:r>
      <w:proofErr w:type="gramEnd"/>
      <w:r w:rsidRPr="008E426A">
        <w:rPr>
          <w:i/>
          <w:caps w:val="0"/>
          <w:szCs w:val="26"/>
        </w:rPr>
        <w:t xml:space="preserve"> államháztartás központi alrendszerének</w:t>
      </w:r>
      <w:r w:rsidR="25153DD4" w:rsidRPr="008E426A">
        <w:rPr>
          <w:i/>
          <w:caps w:val="0"/>
          <w:szCs w:val="26"/>
        </w:rPr>
        <w:br/>
      </w:r>
      <w:r w:rsidRPr="008E426A">
        <w:rPr>
          <w:i/>
          <w:caps w:val="0"/>
          <w:szCs w:val="26"/>
        </w:rPr>
        <w:t>2020. április végi helyzetéről</w:t>
      </w:r>
    </w:p>
    <w:p w14:paraId="5D4F01A0" w14:textId="31227DFC" w:rsidR="00B93477" w:rsidRPr="00623930" w:rsidRDefault="00B93477" w:rsidP="7710508F">
      <w:pPr>
        <w:pStyle w:val="Cmsor2"/>
        <w:tabs>
          <w:tab w:val="left" w:pos="2694"/>
        </w:tabs>
        <w:spacing w:before="0" w:after="120"/>
        <w:ind w:right="-1"/>
        <w:rPr>
          <w:i/>
        </w:rPr>
      </w:pPr>
    </w:p>
    <w:p w14:paraId="5D4F01A1" w14:textId="77777777" w:rsidR="005E3DB1" w:rsidRPr="00275D19" w:rsidRDefault="005E3DB1" w:rsidP="00275D19">
      <w:pPr>
        <w:pStyle w:val="Cmsor2"/>
        <w:tabs>
          <w:tab w:val="left" w:pos="2694"/>
        </w:tabs>
        <w:spacing w:before="0" w:after="120"/>
        <w:ind w:right="-1"/>
        <w:rPr>
          <w:i/>
          <w:caps w:val="0"/>
          <w:szCs w:val="26"/>
        </w:rPr>
      </w:pPr>
    </w:p>
    <w:p w14:paraId="5D4F01A2" w14:textId="77777777" w:rsidR="005E3DB1" w:rsidRPr="00CC0016" w:rsidRDefault="005E3DB1" w:rsidP="000556FC">
      <w:pPr>
        <w:tabs>
          <w:tab w:val="left" w:pos="2694"/>
        </w:tabs>
      </w:pPr>
    </w:p>
    <w:p w14:paraId="5D4F01A3" w14:textId="77777777" w:rsidR="005E3DB1" w:rsidRPr="00CC0016" w:rsidRDefault="005E3DB1" w:rsidP="000556FC">
      <w:pPr>
        <w:pStyle w:val="lfej"/>
        <w:tabs>
          <w:tab w:val="clear" w:pos="4153"/>
          <w:tab w:val="clear" w:pos="8306"/>
          <w:tab w:val="left" w:pos="2694"/>
        </w:tabs>
      </w:pPr>
    </w:p>
    <w:p w14:paraId="5D4F01A4" w14:textId="77777777" w:rsidR="005E3DB1" w:rsidRPr="00CC0016" w:rsidRDefault="005E3DB1" w:rsidP="000556FC">
      <w:pPr>
        <w:tabs>
          <w:tab w:val="left" w:pos="2694"/>
        </w:tabs>
      </w:pPr>
    </w:p>
    <w:p w14:paraId="5D4F01A5" w14:textId="77777777" w:rsidR="005E3DB1" w:rsidRPr="00CC0016" w:rsidRDefault="005E3DB1" w:rsidP="000556FC">
      <w:pPr>
        <w:tabs>
          <w:tab w:val="left" w:pos="2694"/>
        </w:tabs>
      </w:pPr>
    </w:p>
    <w:p w14:paraId="5D4F01A6" w14:textId="77777777" w:rsidR="005E3DB1" w:rsidRPr="00CC0016" w:rsidRDefault="005E3DB1" w:rsidP="000556FC">
      <w:pPr>
        <w:tabs>
          <w:tab w:val="left" w:pos="2694"/>
        </w:tabs>
      </w:pPr>
    </w:p>
    <w:p w14:paraId="5D4F01A7" w14:textId="77777777" w:rsidR="005E3DB1" w:rsidRPr="00CC0016" w:rsidRDefault="005E3DB1" w:rsidP="000556FC"/>
    <w:p w14:paraId="5D4F01A8" w14:textId="77777777" w:rsidR="00771455" w:rsidRPr="00CC0016" w:rsidRDefault="00771455" w:rsidP="000556FC"/>
    <w:p w14:paraId="5D4F01A9" w14:textId="77777777" w:rsidR="00C37774" w:rsidRPr="00CC0016" w:rsidRDefault="00C37774" w:rsidP="000556FC"/>
    <w:p w14:paraId="5D4F01AB" w14:textId="77777777" w:rsidR="00C37774" w:rsidRPr="00CC0016" w:rsidRDefault="00C37774" w:rsidP="000556FC"/>
    <w:p w14:paraId="5D4F01AD" w14:textId="727AD177" w:rsidR="007E4053" w:rsidRDefault="00FA7AFF" w:rsidP="60A05D1C">
      <w:pPr>
        <w:tabs>
          <w:tab w:val="left" w:pos="2694"/>
        </w:tabs>
        <w:jc w:val="center"/>
        <w:rPr>
          <w:b/>
          <w:bCs/>
          <w:sz w:val="22"/>
          <w:szCs w:val="22"/>
        </w:rPr>
      </w:pPr>
      <w:r w:rsidRPr="00994A5F">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C7FCA2F">
              <v:rect id="Rectangle 2"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w:pict>
          </mc:Fallback>
        </mc:AlternateContent>
      </w:r>
      <w:r w:rsidR="00A67C37" w:rsidRPr="00994A5F">
        <w:rPr>
          <w:b/>
          <w:bCs/>
          <w:sz w:val="22"/>
          <w:szCs w:val="22"/>
        </w:rPr>
        <w:t>20</w:t>
      </w:r>
      <w:r w:rsidR="00C90993">
        <w:rPr>
          <w:b/>
          <w:bCs/>
          <w:sz w:val="22"/>
          <w:szCs w:val="22"/>
        </w:rPr>
        <w:t>20</w:t>
      </w:r>
      <w:r w:rsidR="007E4053" w:rsidRPr="00994A5F">
        <w:rPr>
          <w:b/>
          <w:bCs/>
          <w:sz w:val="22"/>
          <w:szCs w:val="22"/>
        </w:rPr>
        <w:t>.</w:t>
      </w:r>
      <w:r w:rsidR="00F30C75">
        <w:rPr>
          <w:b/>
          <w:bCs/>
          <w:sz w:val="22"/>
          <w:szCs w:val="22"/>
        </w:rPr>
        <w:t xml:space="preserve"> </w:t>
      </w:r>
      <w:r w:rsidR="0067235E">
        <w:rPr>
          <w:b/>
          <w:bCs/>
          <w:sz w:val="22"/>
          <w:szCs w:val="22"/>
        </w:rPr>
        <w:t>május</w:t>
      </w:r>
    </w:p>
    <w:p w14:paraId="5839958A" w14:textId="77777777" w:rsidR="00552E0E" w:rsidRPr="00CC0016" w:rsidRDefault="00552E0E" w:rsidP="000556FC">
      <w:pPr>
        <w:tabs>
          <w:tab w:val="left" w:pos="2694"/>
        </w:tabs>
        <w:jc w:val="center"/>
        <w:rPr>
          <w:b/>
          <w:bCs/>
          <w:szCs w:val="28"/>
        </w:rPr>
        <w:sectPr w:rsidR="00552E0E" w:rsidRPr="00CC0016" w:rsidSect="00D46179">
          <w:footerReference w:type="default" r:id="rId12"/>
          <w:footerReference w:type="first" r:id="rId13"/>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Default="60A05D1C" w:rsidP="60A05D1C">
      <w:pPr>
        <w:pStyle w:val="Cmsor4"/>
        <w:jc w:val="center"/>
        <w:rPr>
          <w:caps/>
        </w:rPr>
      </w:pPr>
      <w:r w:rsidRPr="60A05D1C">
        <w:rPr>
          <w:caps/>
        </w:rPr>
        <w:lastRenderedPageBreak/>
        <w:t>Összefoglalás</w:t>
      </w:r>
    </w:p>
    <w:p w14:paraId="5D4F01AF" w14:textId="77777777" w:rsidR="00841735" w:rsidRPr="00841735" w:rsidRDefault="00841735" w:rsidP="00841735">
      <w:pPr>
        <w:spacing w:after="0"/>
      </w:pPr>
    </w:p>
    <w:p w14:paraId="1F8BE3CD" w14:textId="77777777" w:rsidR="00697670" w:rsidRPr="00697670" w:rsidRDefault="60A05D1C" w:rsidP="60A05D1C">
      <w:pPr>
        <w:spacing w:before="100" w:beforeAutospacing="1" w:after="100" w:afterAutospacing="1"/>
        <w:rPr>
          <w:rFonts w:cs="Tahoma"/>
          <w:color w:val="000000" w:themeColor="text1"/>
        </w:rPr>
      </w:pPr>
      <w:r w:rsidRPr="60A05D1C">
        <w:rPr>
          <w:rFonts w:cs="Tahoma"/>
          <w:color w:val="000000" w:themeColor="text1"/>
        </w:rPr>
        <w:t xml:space="preserve">A kormány célja, hogy a magyar gazdaság eredményeit a koronavírus-járvány hatásaitól megvédje, az ehhez szükséges forrásokat maradéktalanul biztosítsa. </w:t>
      </w:r>
    </w:p>
    <w:p w14:paraId="54AEF8C0" w14:textId="77777777" w:rsidR="00697670" w:rsidRPr="00697670" w:rsidRDefault="60A05D1C" w:rsidP="60A05D1C">
      <w:pPr>
        <w:spacing w:before="100" w:beforeAutospacing="1" w:after="100" w:afterAutospacing="1"/>
        <w:rPr>
          <w:rFonts w:cs="Tahoma"/>
          <w:color w:val="000000" w:themeColor="text1"/>
        </w:rPr>
      </w:pPr>
      <w:r w:rsidRPr="60A05D1C">
        <w:rPr>
          <w:rFonts w:cs="Tahoma"/>
          <w:color w:val="000000" w:themeColor="text1"/>
        </w:rPr>
        <w:t xml:space="preserve">A járvány elleni védekezés és a gazdaságvédelmi intézkedések, így például a bértámogatási program és az adócsökkentések eredményeként az államháztartás központi alrendszere az év első négy hónapjában 727,4 milliárd forintos hiánnyal zárt. Ezen belül a központi költségvetés 610,6 milliárd forintos </w:t>
      </w:r>
      <w:proofErr w:type="gramStart"/>
      <w:r w:rsidRPr="60A05D1C">
        <w:rPr>
          <w:rFonts w:cs="Tahoma"/>
          <w:color w:val="000000" w:themeColor="text1"/>
        </w:rPr>
        <w:t>deficitet</w:t>
      </w:r>
      <w:proofErr w:type="gramEnd"/>
      <w:r w:rsidRPr="60A05D1C">
        <w:rPr>
          <w:rFonts w:cs="Tahoma"/>
          <w:color w:val="000000" w:themeColor="text1"/>
        </w:rPr>
        <w:t>, az elkülönített állami pénzalapok 6,2 milliárd forintos többletet, a társadalombiztosítás pénzügyi alapjai pedig 123,0 milliárd forintos hiányt értek el. Az előző év azonos időszakában a központi alrendszer hiánya 39,0 milliárd forintot tett ki.</w:t>
      </w:r>
    </w:p>
    <w:p w14:paraId="5789D050" w14:textId="77777777" w:rsidR="00697670" w:rsidRPr="00697670" w:rsidRDefault="60A05D1C" w:rsidP="60A05D1C">
      <w:pPr>
        <w:spacing w:before="100" w:beforeAutospacing="1" w:after="100" w:afterAutospacing="1"/>
        <w:rPr>
          <w:rFonts w:cs="Tahoma"/>
          <w:color w:val="000000" w:themeColor="text1"/>
        </w:rPr>
      </w:pPr>
      <w:r w:rsidRPr="60A05D1C">
        <w:rPr>
          <w:rFonts w:cs="Tahoma"/>
          <w:color w:val="000000" w:themeColor="text1"/>
        </w:rPr>
        <w:t>2020 áprilisában a központi alrendszer 104,5 milliárd forintos többlettel zárt, mely az uniós programok 249,8 milliárd forintot kitevő bevételeinek köszönhető.</w:t>
      </w:r>
    </w:p>
    <w:p w14:paraId="5D0982D9" w14:textId="77777777" w:rsidR="00697670" w:rsidRPr="00697670" w:rsidRDefault="60A05D1C" w:rsidP="60A05D1C">
      <w:pPr>
        <w:spacing w:before="100" w:beforeAutospacing="1" w:after="100" w:afterAutospacing="1"/>
        <w:rPr>
          <w:rFonts w:cs="Tahoma"/>
          <w:color w:val="000000" w:themeColor="text1"/>
        </w:rPr>
      </w:pPr>
      <w:r w:rsidRPr="60A05D1C">
        <w:rPr>
          <w:rFonts w:cs="Tahoma"/>
          <w:color w:val="000000" w:themeColor="text1"/>
        </w:rPr>
        <w:t xml:space="preserve">Idén április végéig közel 400 milliárd forintot tett ki a koronavírus-járványhoz kapcsolódó egészségügyi eszközbeszerzések, így például védőmaszkok, védőeszközök, </w:t>
      </w:r>
      <w:proofErr w:type="spellStart"/>
      <w:r w:rsidRPr="60A05D1C">
        <w:rPr>
          <w:rFonts w:cs="Tahoma"/>
          <w:color w:val="000000" w:themeColor="text1"/>
        </w:rPr>
        <w:t>lélegeztetőgépek</w:t>
      </w:r>
      <w:proofErr w:type="spellEnd"/>
      <w:r w:rsidRPr="60A05D1C">
        <w:rPr>
          <w:rFonts w:cs="Tahoma"/>
          <w:color w:val="000000" w:themeColor="text1"/>
        </w:rPr>
        <w:t xml:space="preserve"> beszerzésének kiadása. 2020 első négy hónapjában összesen 313,2 milliárd forint uniós bevétel érkezett a költségvetésbe, a 2020. évi április végi uniós kiadások ugyanakkor megközelítették a 842 milliárd forintot.</w:t>
      </w:r>
    </w:p>
    <w:p w14:paraId="50EDAD5A" w14:textId="77777777" w:rsidR="00697670" w:rsidRPr="00697670" w:rsidRDefault="60A05D1C" w:rsidP="60A05D1C">
      <w:pPr>
        <w:spacing w:before="100" w:beforeAutospacing="1" w:after="100" w:afterAutospacing="1"/>
        <w:rPr>
          <w:rFonts w:cs="Tahoma"/>
          <w:color w:val="000000" w:themeColor="text1"/>
        </w:rPr>
      </w:pPr>
      <w:r w:rsidRPr="60A05D1C">
        <w:rPr>
          <w:rFonts w:cs="Tahoma"/>
          <w:color w:val="000000" w:themeColor="text1"/>
        </w:rPr>
        <w:t>Emellett a hazai kiadások közül 2020. április végéig kiemelhetők a közúthálózat fenntartására és működtetésére (49,7 milliárd forint), a Modern Városok Program terhére (29,1 milliárd forint), a beruházás-ösztönzési célelőirányzatból (19,8 milliárd forint) kifizetett összegek, továbbá jelentős összeget fordítottak a nagycsaládosok személygépkocsi-szerzési támogatására (19,3 milliárd forint) is.</w:t>
      </w:r>
    </w:p>
    <w:p w14:paraId="49202C76" w14:textId="77777777" w:rsidR="00697670" w:rsidRDefault="60A05D1C" w:rsidP="60A05D1C">
      <w:pPr>
        <w:spacing w:before="100" w:beforeAutospacing="1" w:after="100" w:afterAutospacing="1"/>
        <w:rPr>
          <w:rFonts w:cs="Tahoma"/>
          <w:color w:val="000000" w:themeColor="text1"/>
        </w:rPr>
      </w:pPr>
      <w:r w:rsidRPr="60A05D1C">
        <w:rPr>
          <w:rFonts w:cs="Tahoma"/>
          <w:color w:val="000000" w:themeColor="text1"/>
        </w:rPr>
        <w:t>A koronavírus-járvány hatásából következően a központi alrendszer idei évre tervezett pénzforgalmi hiánya magasabb szinten teljesül.</w:t>
      </w:r>
    </w:p>
    <w:p w14:paraId="1BB3859B" w14:textId="550842F6" w:rsidR="00661B90" w:rsidRPr="00697670" w:rsidRDefault="00661B90" w:rsidP="60A05D1C">
      <w:pPr>
        <w:spacing w:before="100" w:beforeAutospacing="1" w:after="100" w:afterAutospacing="1"/>
        <w:rPr>
          <w:rFonts w:cs="Tahoma"/>
          <w:color w:val="000000" w:themeColor="text1"/>
        </w:rPr>
      </w:pPr>
      <w:r>
        <w:rPr>
          <w:rFonts w:cs="Tahoma"/>
          <w:noProof/>
          <w:color w:val="000000" w:themeColor="text1"/>
        </w:rPr>
        <w:lastRenderedPageBreak/>
        <w:drawing>
          <wp:inline distT="0" distB="0" distL="0" distR="0" wp14:anchorId="38FDB1F5" wp14:editId="513D3BBD">
            <wp:extent cx="5940425" cy="4106545"/>
            <wp:effectExtent l="0" t="0" r="3175" b="825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nleg.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4106545"/>
                    </a:xfrm>
                    <a:prstGeom prst="rect">
                      <a:avLst/>
                    </a:prstGeom>
                  </pic:spPr>
                </pic:pic>
              </a:graphicData>
            </a:graphic>
          </wp:inline>
        </w:drawing>
      </w:r>
    </w:p>
    <w:p w14:paraId="73FFC378" w14:textId="1581B27A" w:rsidR="00CF2C49" w:rsidRDefault="60A05D1C" w:rsidP="00CF2C49">
      <w:pPr>
        <w:keepNext/>
      </w:pPr>
      <w:r>
        <w:t>Az államháztartás központi alrendszerének 2020. április végi főbb pénzforgalmi adatai a következők:</w:t>
      </w:r>
    </w:p>
    <w:tbl>
      <w:tblPr>
        <w:tblW w:w="9623" w:type="dxa"/>
        <w:tblInd w:w="-72" w:type="dxa"/>
        <w:tblCellMar>
          <w:left w:w="70" w:type="dxa"/>
          <w:right w:w="70" w:type="dxa"/>
        </w:tblCellMar>
        <w:tblLook w:val="04A0" w:firstRow="1" w:lastRow="0" w:firstColumn="1" w:lastColumn="0" w:noHBand="0" w:noVBand="1"/>
      </w:tblPr>
      <w:tblGrid>
        <w:gridCol w:w="1841"/>
        <w:gridCol w:w="1180"/>
        <w:gridCol w:w="1180"/>
        <w:gridCol w:w="1020"/>
        <w:gridCol w:w="1180"/>
        <w:gridCol w:w="1180"/>
        <w:gridCol w:w="1042"/>
        <w:gridCol w:w="1000"/>
      </w:tblGrid>
      <w:tr w:rsidR="00CA5BB1" w:rsidRPr="00CA5BB1" w14:paraId="6E77133E" w14:textId="77777777" w:rsidTr="60A05D1C">
        <w:trPr>
          <w:trHeight w:val="1440"/>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40F50" w14:textId="77777777" w:rsidR="00CA5BB1" w:rsidRPr="00CA5BB1" w:rsidRDefault="00CA5BB1" w:rsidP="60A05D1C">
            <w:pPr>
              <w:spacing w:after="0"/>
              <w:jc w:val="left"/>
              <w:rPr>
                <w:sz w:val="18"/>
                <w:szCs w:val="18"/>
              </w:rPr>
            </w:pPr>
            <w:bookmarkStart w:id="1" w:name="RANGE!A1:H13"/>
            <w:r w:rsidRPr="00CA5BB1">
              <w:rPr>
                <w:sz w:val="18"/>
                <w:szCs w:val="18"/>
              </w:rPr>
              <w:t> </w:t>
            </w:r>
            <w:bookmarkEnd w:id="1"/>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B6C48C7" w14:textId="77777777" w:rsidR="00CA5BB1" w:rsidRPr="00CA5BB1" w:rsidRDefault="60A05D1C" w:rsidP="60A05D1C">
            <w:pPr>
              <w:spacing w:after="0"/>
              <w:jc w:val="center"/>
              <w:rPr>
                <w:sz w:val="18"/>
                <w:szCs w:val="18"/>
              </w:rPr>
            </w:pPr>
            <w:r w:rsidRPr="60A05D1C">
              <w:rPr>
                <w:sz w:val="18"/>
                <w:szCs w:val="18"/>
              </w:rPr>
              <w:t xml:space="preserve">2019. évi előzetes </w:t>
            </w:r>
            <w:r w:rsidR="25153DD4">
              <w:br/>
            </w:r>
            <w:r w:rsidRPr="60A05D1C">
              <w:rPr>
                <w:sz w:val="18"/>
                <w:szCs w:val="18"/>
              </w:rPr>
              <w:t>tény</w:t>
            </w:r>
            <w:r w:rsidR="25153DD4">
              <w:br/>
            </w:r>
            <w:r w:rsidRPr="60A05D1C">
              <w:rPr>
                <w:sz w:val="18"/>
                <w:szCs w:val="18"/>
              </w:rPr>
              <w:t>milliárd forintban</w:t>
            </w:r>
            <w:r w:rsidR="25153DD4">
              <w:br/>
            </w:r>
            <w:r w:rsidRPr="60A05D1C">
              <w:rPr>
                <w:sz w:val="18"/>
                <w:szCs w:val="18"/>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430D687" w14:textId="77777777" w:rsidR="00CA5BB1" w:rsidRPr="00CA5BB1" w:rsidRDefault="60A05D1C" w:rsidP="60A05D1C">
            <w:pPr>
              <w:spacing w:after="0"/>
              <w:jc w:val="center"/>
              <w:rPr>
                <w:sz w:val="18"/>
                <w:szCs w:val="18"/>
              </w:rPr>
            </w:pPr>
            <w:r w:rsidRPr="60A05D1C">
              <w:rPr>
                <w:sz w:val="18"/>
                <w:szCs w:val="18"/>
              </w:rPr>
              <w:t>2019. I-IV. hó tény</w:t>
            </w:r>
            <w:r w:rsidR="25153DD4">
              <w:br/>
            </w:r>
            <w:r w:rsidRPr="60A05D1C">
              <w:rPr>
                <w:sz w:val="18"/>
                <w:szCs w:val="18"/>
              </w:rPr>
              <w:t>milliárd forintban</w:t>
            </w:r>
            <w:r w:rsidR="25153DD4">
              <w:br/>
            </w:r>
            <w:r w:rsidRPr="60A05D1C">
              <w:rPr>
                <w:sz w:val="18"/>
                <w:szCs w:val="18"/>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0A2E9E3" w14:textId="77777777" w:rsidR="00CA5BB1" w:rsidRPr="00CA5BB1" w:rsidRDefault="60A05D1C" w:rsidP="60A05D1C">
            <w:pPr>
              <w:spacing w:after="0"/>
              <w:jc w:val="center"/>
              <w:rPr>
                <w:sz w:val="18"/>
                <w:szCs w:val="18"/>
              </w:rPr>
            </w:pPr>
            <w:r w:rsidRPr="60A05D1C">
              <w:rPr>
                <w:sz w:val="18"/>
                <w:szCs w:val="18"/>
              </w:rPr>
              <w:t>éves előzetes tény=100%</w:t>
            </w:r>
            <w:r w:rsidR="25153DD4">
              <w:br/>
            </w:r>
            <w:r w:rsidRPr="60A05D1C">
              <w:rPr>
                <w:sz w:val="18"/>
                <w:szCs w:val="18"/>
              </w:rPr>
              <w:t>Index (%)</w:t>
            </w:r>
            <w:r w:rsidR="25153DD4">
              <w:br/>
            </w:r>
            <w:r w:rsidRPr="60A05D1C">
              <w:rPr>
                <w:sz w:val="18"/>
                <w:szCs w:val="18"/>
              </w:rPr>
              <w:t>(2/1)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4F37238" w14:textId="77777777" w:rsidR="00CA5BB1" w:rsidRPr="00CA5BB1" w:rsidRDefault="60A05D1C" w:rsidP="60A05D1C">
            <w:pPr>
              <w:spacing w:after="0"/>
              <w:jc w:val="center"/>
              <w:rPr>
                <w:sz w:val="18"/>
                <w:szCs w:val="18"/>
              </w:rPr>
            </w:pPr>
            <w:r w:rsidRPr="60A05D1C">
              <w:rPr>
                <w:sz w:val="18"/>
                <w:szCs w:val="18"/>
              </w:rPr>
              <w:t>2020. évi törvényi előirányzat</w:t>
            </w:r>
            <w:r w:rsidR="25153DD4">
              <w:br/>
            </w:r>
            <w:r w:rsidRPr="60A05D1C">
              <w:rPr>
                <w:sz w:val="18"/>
                <w:szCs w:val="18"/>
              </w:rPr>
              <w:t>milliárd forintban</w:t>
            </w:r>
            <w:r w:rsidR="25153DD4">
              <w:br/>
            </w:r>
            <w:r w:rsidRPr="60A05D1C">
              <w:rPr>
                <w:sz w:val="18"/>
                <w:szCs w:val="18"/>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A71B67F" w14:textId="77777777" w:rsidR="00CA5BB1" w:rsidRPr="00CA5BB1" w:rsidRDefault="60A05D1C" w:rsidP="60A05D1C">
            <w:pPr>
              <w:spacing w:after="0"/>
              <w:jc w:val="center"/>
              <w:rPr>
                <w:sz w:val="18"/>
                <w:szCs w:val="18"/>
              </w:rPr>
            </w:pPr>
            <w:r w:rsidRPr="60A05D1C">
              <w:rPr>
                <w:sz w:val="18"/>
                <w:szCs w:val="18"/>
              </w:rPr>
              <w:t>2020. I-IV. hó tény</w:t>
            </w:r>
            <w:r w:rsidR="25153DD4">
              <w:br/>
            </w:r>
            <w:r w:rsidRPr="60A05D1C">
              <w:rPr>
                <w:sz w:val="18"/>
                <w:szCs w:val="18"/>
              </w:rPr>
              <w:t>milliárd forintban</w:t>
            </w:r>
            <w:r w:rsidR="25153DD4">
              <w:br/>
            </w:r>
            <w:r w:rsidRPr="60A05D1C">
              <w:rPr>
                <w:sz w:val="18"/>
                <w:szCs w:val="18"/>
              </w:rPr>
              <w:t>(4)</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1772EC0C" w14:textId="77777777" w:rsidR="00CA5BB1" w:rsidRPr="00CA5BB1" w:rsidRDefault="60A05D1C" w:rsidP="60A05D1C">
            <w:pPr>
              <w:spacing w:after="0"/>
              <w:jc w:val="center"/>
              <w:rPr>
                <w:sz w:val="18"/>
                <w:szCs w:val="18"/>
              </w:rPr>
            </w:pPr>
            <w:r w:rsidRPr="60A05D1C">
              <w:rPr>
                <w:sz w:val="18"/>
                <w:szCs w:val="18"/>
              </w:rPr>
              <w:t>előirányzat=</w:t>
            </w:r>
            <w:r w:rsidR="25153DD4">
              <w:br/>
            </w:r>
            <w:r w:rsidRPr="60A05D1C">
              <w:rPr>
                <w:sz w:val="18"/>
                <w:szCs w:val="18"/>
              </w:rPr>
              <w:t>100%</w:t>
            </w:r>
            <w:r w:rsidR="25153DD4">
              <w:br/>
            </w:r>
            <w:r w:rsidRPr="60A05D1C">
              <w:rPr>
                <w:sz w:val="18"/>
                <w:szCs w:val="18"/>
              </w:rPr>
              <w:t>Index (%)</w:t>
            </w:r>
            <w:r w:rsidR="25153DD4">
              <w:br/>
            </w:r>
            <w:r w:rsidRPr="60A05D1C">
              <w:rPr>
                <w:sz w:val="18"/>
                <w:szCs w:val="18"/>
              </w:rPr>
              <w:t>(4/3)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ED64DE5" w14:textId="77777777" w:rsidR="00CA5BB1" w:rsidRPr="00CA5BB1" w:rsidRDefault="60A05D1C" w:rsidP="60A05D1C">
            <w:pPr>
              <w:spacing w:after="0"/>
              <w:jc w:val="center"/>
              <w:rPr>
                <w:sz w:val="18"/>
                <w:szCs w:val="18"/>
              </w:rPr>
            </w:pPr>
            <w:r w:rsidRPr="60A05D1C">
              <w:rPr>
                <w:sz w:val="18"/>
                <w:szCs w:val="18"/>
              </w:rPr>
              <w:t>előző év=</w:t>
            </w:r>
            <w:r w:rsidR="25153DD4">
              <w:br/>
            </w:r>
            <w:r w:rsidRPr="60A05D1C">
              <w:rPr>
                <w:sz w:val="18"/>
                <w:szCs w:val="18"/>
              </w:rPr>
              <w:t>100%</w:t>
            </w:r>
            <w:r w:rsidR="25153DD4">
              <w:br/>
            </w:r>
            <w:r w:rsidRPr="60A05D1C">
              <w:rPr>
                <w:sz w:val="18"/>
                <w:szCs w:val="18"/>
              </w:rPr>
              <w:t>Index (%)</w:t>
            </w:r>
            <w:r w:rsidR="25153DD4">
              <w:br/>
            </w:r>
            <w:r w:rsidRPr="60A05D1C">
              <w:rPr>
                <w:sz w:val="18"/>
                <w:szCs w:val="18"/>
              </w:rPr>
              <w:t>(4/2)</w:t>
            </w:r>
          </w:p>
        </w:tc>
      </w:tr>
      <w:tr w:rsidR="00CA5BB1" w:rsidRPr="00CA5BB1" w14:paraId="6BD41BEF" w14:textId="77777777" w:rsidTr="60A05D1C">
        <w:trPr>
          <w:trHeight w:val="72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692A358B" w14:textId="77777777" w:rsidR="00CA5BB1" w:rsidRPr="00CA5BB1" w:rsidRDefault="60A05D1C" w:rsidP="60A05D1C">
            <w:pPr>
              <w:spacing w:after="0"/>
              <w:jc w:val="left"/>
              <w:rPr>
                <w:b/>
                <w:bCs/>
                <w:sz w:val="18"/>
                <w:szCs w:val="18"/>
              </w:rPr>
            </w:pPr>
            <w:r w:rsidRPr="60A05D1C">
              <w:rPr>
                <w:b/>
                <w:bCs/>
                <w:sz w:val="18"/>
                <w:szCs w:val="18"/>
              </w:rPr>
              <w:t>Központi költségvetés egyenlege</w:t>
            </w:r>
          </w:p>
        </w:tc>
        <w:tc>
          <w:tcPr>
            <w:tcW w:w="1180" w:type="dxa"/>
            <w:tcBorders>
              <w:top w:val="nil"/>
              <w:left w:val="nil"/>
              <w:bottom w:val="single" w:sz="4" w:space="0" w:color="auto"/>
              <w:right w:val="single" w:sz="4" w:space="0" w:color="auto"/>
            </w:tcBorders>
            <w:shd w:val="clear" w:color="auto" w:fill="auto"/>
            <w:noWrap/>
            <w:vAlign w:val="bottom"/>
            <w:hideMark/>
          </w:tcPr>
          <w:p w14:paraId="135517CD" w14:textId="77777777" w:rsidR="00CA5BB1" w:rsidRPr="00CA5BB1" w:rsidRDefault="60A05D1C" w:rsidP="60A05D1C">
            <w:pPr>
              <w:spacing w:after="0"/>
              <w:jc w:val="right"/>
              <w:rPr>
                <w:b/>
                <w:bCs/>
                <w:sz w:val="18"/>
                <w:szCs w:val="18"/>
              </w:rPr>
            </w:pPr>
            <w:r w:rsidRPr="60A05D1C">
              <w:rPr>
                <w:b/>
                <w:bCs/>
                <w:sz w:val="18"/>
                <w:szCs w:val="18"/>
              </w:rPr>
              <w:t xml:space="preserve">-1 023,8 </w:t>
            </w:r>
          </w:p>
        </w:tc>
        <w:tc>
          <w:tcPr>
            <w:tcW w:w="1180" w:type="dxa"/>
            <w:tcBorders>
              <w:top w:val="nil"/>
              <w:left w:val="nil"/>
              <w:bottom w:val="single" w:sz="4" w:space="0" w:color="auto"/>
              <w:right w:val="single" w:sz="4" w:space="0" w:color="auto"/>
            </w:tcBorders>
            <w:shd w:val="clear" w:color="auto" w:fill="auto"/>
            <w:noWrap/>
            <w:vAlign w:val="bottom"/>
            <w:hideMark/>
          </w:tcPr>
          <w:p w14:paraId="427EC214" w14:textId="77777777" w:rsidR="00CA5BB1" w:rsidRPr="00CA5BB1" w:rsidRDefault="60A05D1C" w:rsidP="60A05D1C">
            <w:pPr>
              <w:spacing w:after="0"/>
              <w:jc w:val="right"/>
              <w:rPr>
                <w:b/>
                <w:bCs/>
                <w:sz w:val="18"/>
                <w:szCs w:val="18"/>
              </w:rPr>
            </w:pPr>
            <w:r w:rsidRPr="60A05D1C">
              <w:rPr>
                <w:b/>
                <w:bCs/>
                <w:sz w:val="18"/>
                <w:szCs w:val="18"/>
              </w:rPr>
              <w:t xml:space="preserve">-80,7 </w:t>
            </w:r>
          </w:p>
        </w:tc>
        <w:tc>
          <w:tcPr>
            <w:tcW w:w="1020" w:type="dxa"/>
            <w:tcBorders>
              <w:top w:val="nil"/>
              <w:left w:val="nil"/>
              <w:bottom w:val="single" w:sz="4" w:space="0" w:color="auto"/>
              <w:right w:val="single" w:sz="4" w:space="0" w:color="auto"/>
            </w:tcBorders>
            <w:shd w:val="clear" w:color="auto" w:fill="auto"/>
            <w:noWrap/>
            <w:vAlign w:val="bottom"/>
            <w:hideMark/>
          </w:tcPr>
          <w:p w14:paraId="13E8525C" w14:textId="77777777" w:rsidR="00CA5BB1" w:rsidRPr="00CA5BB1" w:rsidRDefault="60A05D1C" w:rsidP="60A05D1C">
            <w:pPr>
              <w:spacing w:after="0"/>
              <w:jc w:val="right"/>
              <w:rPr>
                <w:sz w:val="18"/>
                <w:szCs w:val="18"/>
              </w:rPr>
            </w:pPr>
            <w:r w:rsidRPr="60A05D1C">
              <w:rPr>
                <w:sz w:val="18"/>
                <w:szCs w:val="18"/>
              </w:rPr>
              <w:t xml:space="preserve">7,9 </w:t>
            </w:r>
          </w:p>
        </w:tc>
        <w:tc>
          <w:tcPr>
            <w:tcW w:w="1180" w:type="dxa"/>
            <w:tcBorders>
              <w:top w:val="nil"/>
              <w:left w:val="nil"/>
              <w:bottom w:val="single" w:sz="4" w:space="0" w:color="auto"/>
              <w:right w:val="single" w:sz="4" w:space="0" w:color="auto"/>
            </w:tcBorders>
            <w:shd w:val="clear" w:color="auto" w:fill="auto"/>
            <w:noWrap/>
            <w:vAlign w:val="bottom"/>
            <w:hideMark/>
          </w:tcPr>
          <w:p w14:paraId="52AC45C6" w14:textId="77777777" w:rsidR="00CA5BB1" w:rsidRPr="00CA5BB1" w:rsidRDefault="60A05D1C" w:rsidP="60A05D1C">
            <w:pPr>
              <w:spacing w:after="0"/>
              <w:jc w:val="right"/>
              <w:rPr>
                <w:b/>
                <w:bCs/>
                <w:sz w:val="18"/>
                <w:szCs w:val="18"/>
              </w:rPr>
            </w:pPr>
            <w:r w:rsidRPr="60A05D1C">
              <w:rPr>
                <w:b/>
                <w:bCs/>
                <w:sz w:val="18"/>
                <w:szCs w:val="18"/>
              </w:rPr>
              <w:t xml:space="preserve">-359,0 </w:t>
            </w:r>
          </w:p>
        </w:tc>
        <w:tc>
          <w:tcPr>
            <w:tcW w:w="1180" w:type="dxa"/>
            <w:tcBorders>
              <w:top w:val="nil"/>
              <w:left w:val="nil"/>
              <w:bottom w:val="single" w:sz="4" w:space="0" w:color="auto"/>
              <w:right w:val="single" w:sz="4" w:space="0" w:color="auto"/>
            </w:tcBorders>
            <w:shd w:val="clear" w:color="auto" w:fill="auto"/>
            <w:noWrap/>
            <w:vAlign w:val="bottom"/>
            <w:hideMark/>
          </w:tcPr>
          <w:p w14:paraId="35FD992B" w14:textId="77777777" w:rsidR="00CA5BB1" w:rsidRPr="00CA5BB1" w:rsidRDefault="60A05D1C" w:rsidP="60A05D1C">
            <w:pPr>
              <w:spacing w:after="0"/>
              <w:jc w:val="right"/>
              <w:rPr>
                <w:b/>
                <w:bCs/>
                <w:sz w:val="18"/>
                <w:szCs w:val="18"/>
              </w:rPr>
            </w:pPr>
            <w:r w:rsidRPr="60A05D1C">
              <w:rPr>
                <w:b/>
                <w:bCs/>
                <w:sz w:val="18"/>
                <w:szCs w:val="18"/>
              </w:rPr>
              <w:t xml:space="preserve">-610,6 </w:t>
            </w:r>
          </w:p>
        </w:tc>
        <w:tc>
          <w:tcPr>
            <w:tcW w:w="1042" w:type="dxa"/>
            <w:tcBorders>
              <w:top w:val="nil"/>
              <w:left w:val="nil"/>
              <w:bottom w:val="single" w:sz="4" w:space="0" w:color="auto"/>
              <w:right w:val="single" w:sz="4" w:space="0" w:color="auto"/>
            </w:tcBorders>
            <w:shd w:val="clear" w:color="auto" w:fill="auto"/>
            <w:noWrap/>
            <w:vAlign w:val="bottom"/>
            <w:hideMark/>
          </w:tcPr>
          <w:p w14:paraId="5CE9D119" w14:textId="77777777" w:rsidR="00CA5BB1" w:rsidRPr="00CA5BB1" w:rsidRDefault="60A05D1C" w:rsidP="60A05D1C">
            <w:pPr>
              <w:spacing w:after="0"/>
              <w:jc w:val="right"/>
              <w:rPr>
                <w:sz w:val="18"/>
                <w:szCs w:val="18"/>
              </w:rPr>
            </w:pPr>
            <w:r w:rsidRPr="60A05D1C">
              <w:rPr>
                <w:sz w:val="18"/>
                <w:szCs w:val="18"/>
              </w:rPr>
              <w:t xml:space="preserve">170,1 </w:t>
            </w:r>
          </w:p>
        </w:tc>
        <w:tc>
          <w:tcPr>
            <w:tcW w:w="1000" w:type="dxa"/>
            <w:tcBorders>
              <w:top w:val="nil"/>
              <w:left w:val="nil"/>
              <w:bottom w:val="single" w:sz="4" w:space="0" w:color="auto"/>
              <w:right w:val="single" w:sz="4" w:space="0" w:color="auto"/>
            </w:tcBorders>
            <w:shd w:val="clear" w:color="auto" w:fill="auto"/>
            <w:noWrap/>
            <w:vAlign w:val="bottom"/>
            <w:hideMark/>
          </w:tcPr>
          <w:p w14:paraId="11079B0E" w14:textId="77777777" w:rsidR="00CA5BB1" w:rsidRPr="00CA5BB1" w:rsidRDefault="60A05D1C" w:rsidP="60A05D1C">
            <w:pPr>
              <w:spacing w:after="0"/>
              <w:jc w:val="right"/>
              <w:rPr>
                <w:sz w:val="18"/>
                <w:szCs w:val="18"/>
              </w:rPr>
            </w:pPr>
            <w:r w:rsidRPr="60A05D1C">
              <w:rPr>
                <w:sz w:val="18"/>
                <w:szCs w:val="18"/>
              </w:rPr>
              <w:t xml:space="preserve">756,6 </w:t>
            </w:r>
          </w:p>
        </w:tc>
      </w:tr>
      <w:tr w:rsidR="00CA5BB1" w:rsidRPr="00CA5BB1" w14:paraId="2E97F54A" w14:textId="77777777" w:rsidTr="60A05D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43409456" w14:textId="77777777" w:rsidR="00CA5BB1" w:rsidRPr="00CA5BB1" w:rsidRDefault="60A05D1C" w:rsidP="60A05D1C">
            <w:pPr>
              <w:spacing w:after="0"/>
              <w:jc w:val="right"/>
              <w:rPr>
                <w:sz w:val="18"/>
                <w:szCs w:val="18"/>
              </w:rPr>
            </w:pPr>
            <w:r w:rsidRPr="60A05D1C">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1F879278" w14:textId="77777777" w:rsidR="00CA5BB1" w:rsidRPr="00CA5BB1" w:rsidRDefault="60A05D1C" w:rsidP="60A05D1C">
            <w:pPr>
              <w:spacing w:after="0"/>
              <w:jc w:val="right"/>
              <w:rPr>
                <w:sz w:val="18"/>
                <w:szCs w:val="18"/>
              </w:rPr>
            </w:pPr>
            <w:r w:rsidRPr="60A05D1C">
              <w:rPr>
                <w:sz w:val="18"/>
                <w:szCs w:val="18"/>
              </w:rPr>
              <w:t xml:space="preserve">14 965,1 </w:t>
            </w:r>
          </w:p>
        </w:tc>
        <w:tc>
          <w:tcPr>
            <w:tcW w:w="1180" w:type="dxa"/>
            <w:tcBorders>
              <w:top w:val="nil"/>
              <w:left w:val="nil"/>
              <w:bottom w:val="single" w:sz="4" w:space="0" w:color="auto"/>
              <w:right w:val="single" w:sz="4" w:space="0" w:color="auto"/>
            </w:tcBorders>
            <w:shd w:val="clear" w:color="auto" w:fill="auto"/>
            <w:noWrap/>
            <w:vAlign w:val="bottom"/>
            <w:hideMark/>
          </w:tcPr>
          <w:p w14:paraId="2F0AB64C" w14:textId="77777777" w:rsidR="00CA5BB1" w:rsidRPr="00CA5BB1" w:rsidRDefault="60A05D1C" w:rsidP="60A05D1C">
            <w:pPr>
              <w:spacing w:after="0"/>
              <w:jc w:val="right"/>
              <w:rPr>
                <w:sz w:val="18"/>
                <w:szCs w:val="18"/>
              </w:rPr>
            </w:pPr>
            <w:r w:rsidRPr="60A05D1C">
              <w:rPr>
                <w:sz w:val="18"/>
                <w:szCs w:val="18"/>
              </w:rPr>
              <w:t xml:space="preserve">4 625,4 </w:t>
            </w:r>
          </w:p>
        </w:tc>
        <w:tc>
          <w:tcPr>
            <w:tcW w:w="1020" w:type="dxa"/>
            <w:tcBorders>
              <w:top w:val="nil"/>
              <w:left w:val="nil"/>
              <w:bottom w:val="single" w:sz="4" w:space="0" w:color="auto"/>
              <w:right w:val="single" w:sz="4" w:space="0" w:color="auto"/>
            </w:tcBorders>
            <w:shd w:val="clear" w:color="auto" w:fill="auto"/>
            <w:noWrap/>
            <w:vAlign w:val="bottom"/>
            <w:hideMark/>
          </w:tcPr>
          <w:p w14:paraId="49005DFF" w14:textId="77777777" w:rsidR="00CA5BB1" w:rsidRPr="00CA5BB1" w:rsidRDefault="60A05D1C" w:rsidP="60A05D1C">
            <w:pPr>
              <w:spacing w:after="0"/>
              <w:jc w:val="right"/>
              <w:rPr>
                <w:sz w:val="18"/>
                <w:szCs w:val="18"/>
              </w:rPr>
            </w:pPr>
            <w:r w:rsidRPr="60A05D1C">
              <w:rPr>
                <w:sz w:val="18"/>
                <w:szCs w:val="18"/>
              </w:rPr>
              <w:t xml:space="preserve">30,9 </w:t>
            </w:r>
          </w:p>
        </w:tc>
        <w:tc>
          <w:tcPr>
            <w:tcW w:w="1180" w:type="dxa"/>
            <w:tcBorders>
              <w:top w:val="nil"/>
              <w:left w:val="nil"/>
              <w:bottom w:val="single" w:sz="4" w:space="0" w:color="auto"/>
              <w:right w:val="single" w:sz="4" w:space="0" w:color="auto"/>
            </w:tcBorders>
            <w:shd w:val="clear" w:color="auto" w:fill="auto"/>
            <w:noWrap/>
            <w:vAlign w:val="bottom"/>
            <w:hideMark/>
          </w:tcPr>
          <w:p w14:paraId="2E22D80E" w14:textId="77777777" w:rsidR="00CA5BB1" w:rsidRPr="00CA5BB1" w:rsidRDefault="60A05D1C" w:rsidP="60A05D1C">
            <w:pPr>
              <w:spacing w:after="0"/>
              <w:jc w:val="right"/>
              <w:rPr>
                <w:sz w:val="18"/>
                <w:szCs w:val="18"/>
              </w:rPr>
            </w:pPr>
            <w:r w:rsidRPr="60A05D1C">
              <w:rPr>
                <w:sz w:val="18"/>
                <w:szCs w:val="18"/>
              </w:rPr>
              <w:t xml:space="preserve">14 522,8 </w:t>
            </w:r>
          </w:p>
        </w:tc>
        <w:tc>
          <w:tcPr>
            <w:tcW w:w="1180" w:type="dxa"/>
            <w:tcBorders>
              <w:top w:val="nil"/>
              <w:left w:val="nil"/>
              <w:bottom w:val="single" w:sz="4" w:space="0" w:color="auto"/>
              <w:right w:val="single" w:sz="4" w:space="0" w:color="auto"/>
            </w:tcBorders>
            <w:shd w:val="clear" w:color="auto" w:fill="auto"/>
            <w:noWrap/>
            <w:vAlign w:val="bottom"/>
            <w:hideMark/>
          </w:tcPr>
          <w:p w14:paraId="09C75174" w14:textId="77777777" w:rsidR="00CA5BB1" w:rsidRPr="00CA5BB1" w:rsidRDefault="60A05D1C" w:rsidP="60A05D1C">
            <w:pPr>
              <w:spacing w:after="0"/>
              <w:jc w:val="right"/>
              <w:rPr>
                <w:sz w:val="18"/>
                <w:szCs w:val="18"/>
              </w:rPr>
            </w:pPr>
            <w:r w:rsidRPr="60A05D1C">
              <w:rPr>
                <w:sz w:val="18"/>
                <w:szCs w:val="18"/>
              </w:rPr>
              <w:t xml:space="preserve">5 267,7 </w:t>
            </w:r>
          </w:p>
        </w:tc>
        <w:tc>
          <w:tcPr>
            <w:tcW w:w="1042" w:type="dxa"/>
            <w:tcBorders>
              <w:top w:val="nil"/>
              <w:left w:val="nil"/>
              <w:bottom w:val="single" w:sz="4" w:space="0" w:color="auto"/>
              <w:right w:val="single" w:sz="4" w:space="0" w:color="auto"/>
            </w:tcBorders>
            <w:shd w:val="clear" w:color="auto" w:fill="auto"/>
            <w:noWrap/>
            <w:vAlign w:val="bottom"/>
            <w:hideMark/>
          </w:tcPr>
          <w:p w14:paraId="3E8C83BE" w14:textId="77777777" w:rsidR="00CA5BB1" w:rsidRPr="00CA5BB1" w:rsidRDefault="60A05D1C" w:rsidP="60A05D1C">
            <w:pPr>
              <w:spacing w:after="0"/>
              <w:jc w:val="right"/>
              <w:rPr>
                <w:sz w:val="18"/>
                <w:szCs w:val="18"/>
              </w:rPr>
            </w:pPr>
            <w:r w:rsidRPr="60A05D1C">
              <w:rPr>
                <w:sz w:val="18"/>
                <w:szCs w:val="18"/>
              </w:rPr>
              <w:t xml:space="preserve">36,3 </w:t>
            </w:r>
          </w:p>
        </w:tc>
        <w:tc>
          <w:tcPr>
            <w:tcW w:w="1000" w:type="dxa"/>
            <w:tcBorders>
              <w:top w:val="nil"/>
              <w:left w:val="nil"/>
              <w:bottom w:val="single" w:sz="4" w:space="0" w:color="auto"/>
              <w:right w:val="single" w:sz="4" w:space="0" w:color="auto"/>
            </w:tcBorders>
            <w:shd w:val="clear" w:color="auto" w:fill="auto"/>
            <w:noWrap/>
            <w:vAlign w:val="bottom"/>
            <w:hideMark/>
          </w:tcPr>
          <w:p w14:paraId="2FA6D722" w14:textId="77777777" w:rsidR="00CA5BB1" w:rsidRPr="00CA5BB1" w:rsidRDefault="60A05D1C" w:rsidP="60A05D1C">
            <w:pPr>
              <w:spacing w:after="0"/>
              <w:jc w:val="right"/>
              <w:rPr>
                <w:sz w:val="18"/>
                <w:szCs w:val="18"/>
              </w:rPr>
            </w:pPr>
            <w:r w:rsidRPr="60A05D1C">
              <w:rPr>
                <w:sz w:val="18"/>
                <w:szCs w:val="18"/>
              </w:rPr>
              <w:t xml:space="preserve">113,9 </w:t>
            </w:r>
          </w:p>
        </w:tc>
      </w:tr>
      <w:tr w:rsidR="00CA5BB1" w:rsidRPr="00CA5BB1" w14:paraId="69756226" w14:textId="77777777" w:rsidTr="60A05D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16A9EBBB" w14:textId="77777777" w:rsidR="00CA5BB1" w:rsidRPr="00CA5BB1" w:rsidRDefault="60A05D1C" w:rsidP="60A05D1C">
            <w:pPr>
              <w:spacing w:after="0"/>
              <w:jc w:val="right"/>
              <w:rPr>
                <w:sz w:val="18"/>
                <w:szCs w:val="18"/>
              </w:rPr>
            </w:pPr>
            <w:r w:rsidRPr="60A05D1C">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0FC5223A" w14:textId="77777777" w:rsidR="00CA5BB1" w:rsidRPr="00CA5BB1" w:rsidRDefault="60A05D1C" w:rsidP="60A05D1C">
            <w:pPr>
              <w:spacing w:after="0"/>
              <w:jc w:val="right"/>
              <w:rPr>
                <w:sz w:val="18"/>
                <w:szCs w:val="18"/>
              </w:rPr>
            </w:pPr>
            <w:r w:rsidRPr="60A05D1C">
              <w:rPr>
                <w:sz w:val="18"/>
                <w:szCs w:val="18"/>
              </w:rPr>
              <w:t xml:space="preserve">15 988,9 </w:t>
            </w:r>
          </w:p>
        </w:tc>
        <w:tc>
          <w:tcPr>
            <w:tcW w:w="1180" w:type="dxa"/>
            <w:tcBorders>
              <w:top w:val="nil"/>
              <w:left w:val="nil"/>
              <w:bottom w:val="single" w:sz="4" w:space="0" w:color="auto"/>
              <w:right w:val="single" w:sz="4" w:space="0" w:color="auto"/>
            </w:tcBorders>
            <w:shd w:val="clear" w:color="auto" w:fill="auto"/>
            <w:noWrap/>
            <w:vAlign w:val="bottom"/>
            <w:hideMark/>
          </w:tcPr>
          <w:p w14:paraId="18BED4E1" w14:textId="77777777" w:rsidR="00CA5BB1" w:rsidRPr="00CA5BB1" w:rsidRDefault="60A05D1C" w:rsidP="60A05D1C">
            <w:pPr>
              <w:spacing w:after="0"/>
              <w:jc w:val="right"/>
              <w:rPr>
                <w:sz w:val="18"/>
                <w:szCs w:val="18"/>
              </w:rPr>
            </w:pPr>
            <w:r w:rsidRPr="60A05D1C">
              <w:rPr>
                <w:sz w:val="18"/>
                <w:szCs w:val="18"/>
              </w:rPr>
              <w:t xml:space="preserve">4 706,1 </w:t>
            </w:r>
          </w:p>
        </w:tc>
        <w:tc>
          <w:tcPr>
            <w:tcW w:w="1020" w:type="dxa"/>
            <w:tcBorders>
              <w:top w:val="nil"/>
              <w:left w:val="nil"/>
              <w:bottom w:val="single" w:sz="4" w:space="0" w:color="auto"/>
              <w:right w:val="single" w:sz="4" w:space="0" w:color="auto"/>
            </w:tcBorders>
            <w:shd w:val="clear" w:color="auto" w:fill="auto"/>
            <w:noWrap/>
            <w:vAlign w:val="bottom"/>
            <w:hideMark/>
          </w:tcPr>
          <w:p w14:paraId="6BF96BFD" w14:textId="77777777" w:rsidR="00CA5BB1" w:rsidRPr="00CA5BB1" w:rsidRDefault="60A05D1C" w:rsidP="60A05D1C">
            <w:pPr>
              <w:spacing w:after="0"/>
              <w:jc w:val="right"/>
              <w:rPr>
                <w:sz w:val="18"/>
                <w:szCs w:val="18"/>
              </w:rPr>
            </w:pPr>
            <w:r w:rsidRPr="60A05D1C">
              <w:rPr>
                <w:sz w:val="18"/>
                <w:szCs w:val="18"/>
              </w:rPr>
              <w:t xml:space="preserve">29,4 </w:t>
            </w:r>
          </w:p>
        </w:tc>
        <w:tc>
          <w:tcPr>
            <w:tcW w:w="1180" w:type="dxa"/>
            <w:tcBorders>
              <w:top w:val="nil"/>
              <w:left w:val="nil"/>
              <w:bottom w:val="single" w:sz="4" w:space="0" w:color="auto"/>
              <w:right w:val="single" w:sz="4" w:space="0" w:color="auto"/>
            </w:tcBorders>
            <w:shd w:val="clear" w:color="auto" w:fill="auto"/>
            <w:noWrap/>
            <w:vAlign w:val="bottom"/>
            <w:hideMark/>
          </w:tcPr>
          <w:p w14:paraId="5AB0C836" w14:textId="77777777" w:rsidR="00CA5BB1" w:rsidRPr="00CA5BB1" w:rsidRDefault="60A05D1C" w:rsidP="60A05D1C">
            <w:pPr>
              <w:spacing w:after="0"/>
              <w:jc w:val="right"/>
              <w:rPr>
                <w:sz w:val="18"/>
                <w:szCs w:val="18"/>
              </w:rPr>
            </w:pPr>
            <w:r w:rsidRPr="60A05D1C">
              <w:rPr>
                <w:sz w:val="18"/>
                <w:szCs w:val="18"/>
              </w:rPr>
              <w:t xml:space="preserve">14 881,8 </w:t>
            </w:r>
          </w:p>
        </w:tc>
        <w:tc>
          <w:tcPr>
            <w:tcW w:w="1180" w:type="dxa"/>
            <w:tcBorders>
              <w:top w:val="nil"/>
              <w:left w:val="nil"/>
              <w:bottom w:val="single" w:sz="4" w:space="0" w:color="auto"/>
              <w:right w:val="single" w:sz="4" w:space="0" w:color="auto"/>
            </w:tcBorders>
            <w:shd w:val="clear" w:color="auto" w:fill="auto"/>
            <w:noWrap/>
            <w:vAlign w:val="bottom"/>
            <w:hideMark/>
          </w:tcPr>
          <w:p w14:paraId="4AFDB0D5" w14:textId="77777777" w:rsidR="00CA5BB1" w:rsidRPr="00CA5BB1" w:rsidRDefault="60A05D1C" w:rsidP="60A05D1C">
            <w:pPr>
              <w:spacing w:after="0"/>
              <w:jc w:val="right"/>
              <w:rPr>
                <w:sz w:val="18"/>
                <w:szCs w:val="18"/>
              </w:rPr>
            </w:pPr>
            <w:r w:rsidRPr="60A05D1C">
              <w:rPr>
                <w:sz w:val="18"/>
                <w:szCs w:val="18"/>
              </w:rPr>
              <w:t xml:space="preserve">5 878,3 </w:t>
            </w:r>
          </w:p>
        </w:tc>
        <w:tc>
          <w:tcPr>
            <w:tcW w:w="1042" w:type="dxa"/>
            <w:tcBorders>
              <w:top w:val="nil"/>
              <w:left w:val="nil"/>
              <w:bottom w:val="single" w:sz="4" w:space="0" w:color="auto"/>
              <w:right w:val="single" w:sz="4" w:space="0" w:color="auto"/>
            </w:tcBorders>
            <w:shd w:val="clear" w:color="auto" w:fill="auto"/>
            <w:noWrap/>
            <w:vAlign w:val="bottom"/>
            <w:hideMark/>
          </w:tcPr>
          <w:p w14:paraId="0175C6D5" w14:textId="77777777" w:rsidR="00CA5BB1" w:rsidRPr="00CA5BB1" w:rsidRDefault="60A05D1C" w:rsidP="60A05D1C">
            <w:pPr>
              <w:spacing w:after="0"/>
              <w:jc w:val="right"/>
              <w:rPr>
                <w:sz w:val="18"/>
                <w:szCs w:val="18"/>
              </w:rPr>
            </w:pPr>
            <w:r w:rsidRPr="60A05D1C">
              <w:rPr>
                <w:sz w:val="18"/>
                <w:szCs w:val="18"/>
              </w:rPr>
              <w:t xml:space="preserve">39,5 </w:t>
            </w:r>
          </w:p>
        </w:tc>
        <w:tc>
          <w:tcPr>
            <w:tcW w:w="1000" w:type="dxa"/>
            <w:tcBorders>
              <w:top w:val="nil"/>
              <w:left w:val="nil"/>
              <w:bottom w:val="single" w:sz="4" w:space="0" w:color="auto"/>
              <w:right w:val="single" w:sz="4" w:space="0" w:color="auto"/>
            </w:tcBorders>
            <w:shd w:val="clear" w:color="auto" w:fill="auto"/>
            <w:noWrap/>
            <w:vAlign w:val="bottom"/>
            <w:hideMark/>
          </w:tcPr>
          <w:p w14:paraId="1E5978A0" w14:textId="77777777" w:rsidR="00CA5BB1" w:rsidRPr="00CA5BB1" w:rsidRDefault="60A05D1C" w:rsidP="60A05D1C">
            <w:pPr>
              <w:spacing w:after="0"/>
              <w:jc w:val="right"/>
              <w:rPr>
                <w:sz w:val="18"/>
                <w:szCs w:val="18"/>
              </w:rPr>
            </w:pPr>
            <w:r w:rsidRPr="60A05D1C">
              <w:rPr>
                <w:sz w:val="18"/>
                <w:szCs w:val="18"/>
              </w:rPr>
              <w:t xml:space="preserve">124,9 </w:t>
            </w:r>
          </w:p>
        </w:tc>
      </w:tr>
      <w:tr w:rsidR="00CA5BB1" w:rsidRPr="00CA5BB1" w14:paraId="2BA02ABB" w14:textId="77777777" w:rsidTr="60A05D1C">
        <w:trPr>
          <w:trHeight w:val="72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574330D8" w14:textId="77777777" w:rsidR="00CA5BB1" w:rsidRPr="00CA5BB1" w:rsidRDefault="60A05D1C" w:rsidP="60A05D1C">
            <w:pPr>
              <w:spacing w:after="0"/>
              <w:jc w:val="left"/>
              <w:rPr>
                <w:b/>
                <w:bCs/>
                <w:sz w:val="18"/>
                <w:szCs w:val="18"/>
              </w:rPr>
            </w:pPr>
            <w:r w:rsidRPr="60A05D1C">
              <w:rPr>
                <w:b/>
                <w:bCs/>
                <w:sz w:val="18"/>
                <w:szCs w:val="18"/>
              </w:rPr>
              <w:t>Elkülönített állami pénzalapok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47B5B951" w14:textId="77777777" w:rsidR="00CA5BB1" w:rsidRPr="00CA5BB1" w:rsidRDefault="60A05D1C" w:rsidP="60A05D1C">
            <w:pPr>
              <w:spacing w:after="0"/>
              <w:jc w:val="right"/>
              <w:rPr>
                <w:b/>
                <w:bCs/>
                <w:sz w:val="18"/>
                <w:szCs w:val="18"/>
              </w:rPr>
            </w:pPr>
            <w:r w:rsidRPr="60A05D1C">
              <w:rPr>
                <w:b/>
                <w:bCs/>
                <w:sz w:val="18"/>
                <w:szCs w:val="18"/>
              </w:rPr>
              <w:t xml:space="preserve">39,6 </w:t>
            </w:r>
          </w:p>
        </w:tc>
        <w:tc>
          <w:tcPr>
            <w:tcW w:w="1180" w:type="dxa"/>
            <w:tcBorders>
              <w:top w:val="nil"/>
              <w:left w:val="nil"/>
              <w:bottom w:val="single" w:sz="4" w:space="0" w:color="auto"/>
              <w:right w:val="single" w:sz="4" w:space="0" w:color="auto"/>
            </w:tcBorders>
            <w:shd w:val="clear" w:color="auto" w:fill="auto"/>
            <w:noWrap/>
            <w:vAlign w:val="bottom"/>
            <w:hideMark/>
          </w:tcPr>
          <w:p w14:paraId="21933304" w14:textId="77777777" w:rsidR="00CA5BB1" w:rsidRPr="00CA5BB1" w:rsidRDefault="60A05D1C" w:rsidP="60A05D1C">
            <w:pPr>
              <w:spacing w:after="0"/>
              <w:jc w:val="right"/>
              <w:rPr>
                <w:b/>
                <w:bCs/>
                <w:sz w:val="18"/>
                <w:szCs w:val="18"/>
              </w:rPr>
            </w:pPr>
            <w:r w:rsidRPr="60A05D1C">
              <w:rPr>
                <w:b/>
                <w:bCs/>
                <w:sz w:val="18"/>
                <w:szCs w:val="18"/>
              </w:rPr>
              <w:t xml:space="preserve">33,1 </w:t>
            </w:r>
          </w:p>
        </w:tc>
        <w:tc>
          <w:tcPr>
            <w:tcW w:w="1020" w:type="dxa"/>
            <w:tcBorders>
              <w:top w:val="nil"/>
              <w:left w:val="nil"/>
              <w:bottom w:val="single" w:sz="4" w:space="0" w:color="auto"/>
              <w:right w:val="single" w:sz="4" w:space="0" w:color="auto"/>
            </w:tcBorders>
            <w:shd w:val="clear" w:color="auto" w:fill="auto"/>
            <w:noWrap/>
            <w:vAlign w:val="bottom"/>
            <w:hideMark/>
          </w:tcPr>
          <w:p w14:paraId="2718EB15" w14:textId="77777777" w:rsidR="00CA5BB1" w:rsidRPr="00CA5BB1" w:rsidRDefault="60A05D1C" w:rsidP="60A05D1C">
            <w:pPr>
              <w:spacing w:after="0"/>
              <w:jc w:val="right"/>
              <w:rPr>
                <w:sz w:val="18"/>
                <w:szCs w:val="18"/>
              </w:rPr>
            </w:pPr>
            <w:r w:rsidRPr="60A05D1C">
              <w:rPr>
                <w:sz w:val="18"/>
                <w:szCs w:val="18"/>
              </w:rPr>
              <w:t xml:space="preserve">83,6 </w:t>
            </w:r>
          </w:p>
        </w:tc>
        <w:tc>
          <w:tcPr>
            <w:tcW w:w="1180" w:type="dxa"/>
            <w:tcBorders>
              <w:top w:val="nil"/>
              <w:left w:val="nil"/>
              <w:bottom w:val="single" w:sz="4" w:space="0" w:color="auto"/>
              <w:right w:val="single" w:sz="4" w:space="0" w:color="auto"/>
            </w:tcBorders>
            <w:shd w:val="clear" w:color="auto" w:fill="auto"/>
            <w:noWrap/>
            <w:vAlign w:val="bottom"/>
            <w:hideMark/>
          </w:tcPr>
          <w:p w14:paraId="01FF5B2D" w14:textId="77777777" w:rsidR="00CA5BB1" w:rsidRPr="00CA5BB1" w:rsidRDefault="60A05D1C" w:rsidP="60A05D1C">
            <w:pPr>
              <w:spacing w:after="0"/>
              <w:jc w:val="right"/>
              <w:rPr>
                <w:b/>
                <w:bCs/>
                <w:sz w:val="18"/>
                <w:szCs w:val="18"/>
              </w:rPr>
            </w:pPr>
            <w:r w:rsidRPr="60A05D1C">
              <w:rPr>
                <w:b/>
                <w:bCs/>
                <w:sz w:val="18"/>
                <w:szCs w:val="18"/>
              </w:rPr>
              <w:t xml:space="preserve">-8,0 </w:t>
            </w:r>
          </w:p>
        </w:tc>
        <w:tc>
          <w:tcPr>
            <w:tcW w:w="1180" w:type="dxa"/>
            <w:tcBorders>
              <w:top w:val="nil"/>
              <w:left w:val="nil"/>
              <w:bottom w:val="single" w:sz="4" w:space="0" w:color="auto"/>
              <w:right w:val="single" w:sz="4" w:space="0" w:color="auto"/>
            </w:tcBorders>
            <w:shd w:val="clear" w:color="auto" w:fill="auto"/>
            <w:noWrap/>
            <w:vAlign w:val="bottom"/>
            <w:hideMark/>
          </w:tcPr>
          <w:p w14:paraId="3C5978F5" w14:textId="77777777" w:rsidR="00CA5BB1" w:rsidRPr="00CA5BB1" w:rsidRDefault="60A05D1C" w:rsidP="60A05D1C">
            <w:pPr>
              <w:spacing w:after="0"/>
              <w:jc w:val="right"/>
              <w:rPr>
                <w:b/>
                <w:bCs/>
                <w:sz w:val="18"/>
                <w:szCs w:val="18"/>
              </w:rPr>
            </w:pPr>
            <w:r w:rsidRPr="60A05D1C">
              <w:rPr>
                <w:b/>
                <w:bCs/>
                <w:sz w:val="18"/>
                <w:szCs w:val="18"/>
              </w:rPr>
              <w:t xml:space="preserve">6,2 </w:t>
            </w:r>
          </w:p>
        </w:tc>
        <w:tc>
          <w:tcPr>
            <w:tcW w:w="1042" w:type="dxa"/>
            <w:tcBorders>
              <w:top w:val="nil"/>
              <w:left w:val="nil"/>
              <w:bottom w:val="single" w:sz="4" w:space="0" w:color="auto"/>
              <w:right w:val="single" w:sz="4" w:space="0" w:color="auto"/>
            </w:tcBorders>
            <w:shd w:val="clear" w:color="auto" w:fill="auto"/>
            <w:noWrap/>
            <w:vAlign w:val="bottom"/>
            <w:hideMark/>
          </w:tcPr>
          <w:p w14:paraId="4F821DE8" w14:textId="77777777" w:rsidR="00CA5BB1" w:rsidRPr="00CA5BB1" w:rsidRDefault="60A05D1C" w:rsidP="60A05D1C">
            <w:pPr>
              <w:spacing w:after="0"/>
              <w:jc w:val="left"/>
              <w:rPr>
                <w:sz w:val="18"/>
                <w:szCs w:val="18"/>
              </w:rPr>
            </w:pPr>
            <w:r w:rsidRPr="60A05D1C">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4DC22206" w14:textId="77777777" w:rsidR="00CA5BB1" w:rsidRPr="00CA5BB1" w:rsidRDefault="60A05D1C" w:rsidP="60A05D1C">
            <w:pPr>
              <w:spacing w:after="0"/>
              <w:jc w:val="right"/>
              <w:rPr>
                <w:sz w:val="18"/>
                <w:szCs w:val="18"/>
              </w:rPr>
            </w:pPr>
            <w:r w:rsidRPr="60A05D1C">
              <w:rPr>
                <w:sz w:val="18"/>
                <w:szCs w:val="18"/>
              </w:rPr>
              <w:t xml:space="preserve">18,7 </w:t>
            </w:r>
          </w:p>
        </w:tc>
      </w:tr>
      <w:tr w:rsidR="00CA5BB1" w:rsidRPr="00CA5BB1" w14:paraId="062C1F23" w14:textId="77777777" w:rsidTr="60A05D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3A9406A6" w14:textId="77777777" w:rsidR="00CA5BB1" w:rsidRPr="00CA5BB1" w:rsidRDefault="60A05D1C" w:rsidP="60A05D1C">
            <w:pPr>
              <w:spacing w:after="0"/>
              <w:jc w:val="right"/>
              <w:rPr>
                <w:sz w:val="18"/>
                <w:szCs w:val="18"/>
              </w:rPr>
            </w:pPr>
            <w:r w:rsidRPr="60A05D1C">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5BCFE96B" w14:textId="77777777" w:rsidR="00CA5BB1" w:rsidRPr="00CA5BB1" w:rsidRDefault="60A05D1C" w:rsidP="60A05D1C">
            <w:pPr>
              <w:spacing w:after="0"/>
              <w:jc w:val="right"/>
              <w:rPr>
                <w:sz w:val="18"/>
                <w:szCs w:val="18"/>
              </w:rPr>
            </w:pPr>
            <w:r w:rsidRPr="60A05D1C">
              <w:rPr>
                <w:sz w:val="18"/>
                <w:szCs w:val="18"/>
              </w:rPr>
              <w:t xml:space="preserve">658,4 </w:t>
            </w:r>
          </w:p>
        </w:tc>
        <w:tc>
          <w:tcPr>
            <w:tcW w:w="1180" w:type="dxa"/>
            <w:tcBorders>
              <w:top w:val="nil"/>
              <w:left w:val="nil"/>
              <w:bottom w:val="single" w:sz="4" w:space="0" w:color="auto"/>
              <w:right w:val="single" w:sz="4" w:space="0" w:color="auto"/>
            </w:tcBorders>
            <w:shd w:val="clear" w:color="auto" w:fill="auto"/>
            <w:noWrap/>
            <w:vAlign w:val="bottom"/>
            <w:hideMark/>
          </w:tcPr>
          <w:p w14:paraId="523A82EA" w14:textId="77777777" w:rsidR="00CA5BB1" w:rsidRPr="00CA5BB1" w:rsidRDefault="60A05D1C" w:rsidP="60A05D1C">
            <w:pPr>
              <w:spacing w:after="0"/>
              <w:jc w:val="right"/>
              <w:rPr>
                <w:sz w:val="18"/>
                <w:szCs w:val="18"/>
              </w:rPr>
            </w:pPr>
            <w:r w:rsidRPr="60A05D1C">
              <w:rPr>
                <w:sz w:val="18"/>
                <w:szCs w:val="18"/>
              </w:rPr>
              <w:t xml:space="preserve">195,3 </w:t>
            </w:r>
          </w:p>
        </w:tc>
        <w:tc>
          <w:tcPr>
            <w:tcW w:w="1020" w:type="dxa"/>
            <w:tcBorders>
              <w:top w:val="nil"/>
              <w:left w:val="nil"/>
              <w:bottom w:val="single" w:sz="4" w:space="0" w:color="auto"/>
              <w:right w:val="single" w:sz="4" w:space="0" w:color="auto"/>
            </w:tcBorders>
            <w:shd w:val="clear" w:color="auto" w:fill="auto"/>
            <w:noWrap/>
            <w:vAlign w:val="bottom"/>
            <w:hideMark/>
          </w:tcPr>
          <w:p w14:paraId="29BD2B11" w14:textId="77777777" w:rsidR="00CA5BB1" w:rsidRPr="00CA5BB1" w:rsidRDefault="60A05D1C" w:rsidP="60A05D1C">
            <w:pPr>
              <w:spacing w:after="0"/>
              <w:jc w:val="right"/>
              <w:rPr>
                <w:sz w:val="18"/>
                <w:szCs w:val="18"/>
              </w:rPr>
            </w:pPr>
            <w:r w:rsidRPr="60A05D1C">
              <w:rPr>
                <w:sz w:val="18"/>
                <w:szCs w:val="18"/>
              </w:rPr>
              <w:t xml:space="preserve">29,7 </w:t>
            </w:r>
          </w:p>
        </w:tc>
        <w:tc>
          <w:tcPr>
            <w:tcW w:w="1180" w:type="dxa"/>
            <w:tcBorders>
              <w:top w:val="nil"/>
              <w:left w:val="nil"/>
              <w:bottom w:val="single" w:sz="4" w:space="0" w:color="auto"/>
              <w:right w:val="single" w:sz="4" w:space="0" w:color="auto"/>
            </w:tcBorders>
            <w:shd w:val="clear" w:color="auto" w:fill="auto"/>
            <w:noWrap/>
            <w:vAlign w:val="bottom"/>
            <w:hideMark/>
          </w:tcPr>
          <w:p w14:paraId="5929FFC5" w14:textId="77777777" w:rsidR="00CA5BB1" w:rsidRPr="00CA5BB1" w:rsidRDefault="60A05D1C" w:rsidP="60A05D1C">
            <w:pPr>
              <w:spacing w:after="0"/>
              <w:jc w:val="right"/>
              <w:rPr>
                <w:sz w:val="18"/>
                <w:szCs w:val="18"/>
              </w:rPr>
            </w:pPr>
            <w:r w:rsidRPr="60A05D1C">
              <w:rPr>
                <w:sz w:val="18"/>
                <w:szCs w:val="18"/>
              </w:rPr>
              <w:t xml:space="preserve">633,6 </w:t>
            </w:r>
          </w:p>
        </w:tc>
        <w:tc>
          <w:tcPr>
            <w:tcW w:w="1180" w:type="dxa"/>
            <w:tcBorders>
              <w:top w:val="nil"/>
              <w:left w:val="nil"/>
              <w:bottom w:val="single" w:sz="4" w:space="0" w:color="auto"/>
              <w:right w:val="single" w:sz="4" w:space="0" w:color="auto"/>
            </w:tcBorders>
            <w:shd w:val="clear" w:color="auto" w:fill="auto"/>
            <w:noWrap/>
            <w:vAlign w:val="bottom"/>
            <w:hideMark/>
          </w:tcPr>
          <w:p w14:paraId="3B46052E" w14:textId="77777777" w:rsidR="00CA5BB1" w:rsidRPr="00CA5BB1" w:rsidRDefault="60A05D1C" w:rsidP="60A05D1C">
            <w:pPr>
              <w:spacing w:after="0"/>
              <w:jc w:val="right"/>
              <w:rPr>
                <w:sz w:val="18"/>
                <w:szCs w:val="18"/>
              </w:rPr>
            </w:pPr>
            <w:r w:rsidRPr="60A05D1C">
              <w:rPr>
                <w:sz w:val="18"/>
                <w:szCs w:val="18"/>
              </w:rPr>
              <w:t xml:space="preserve">190,6 </w:t>
            </w:r>
          </w:p>
        </w:tc>
        <w:tc>
          <w:tcPr>
            <w:tcW w:w="1042" w:type="dxa"/>
            <w:tcBorders>
              <w:top w:val="nil"/>
              <w:left w:val="nil"/>
              <w:bottom w:val="single" w:sz="4" w:space="0" w:color="auto"/>
              <w:right w:val="single" w:sz="4" w:space="0" w:color="auto"/>
            </w:tcBorders>
            <w:shd w:val="clear" w:color="auto" w:fill="auto"/>
            <w:noWrap/>
            <w:vAlign w:val="bottom"/>
            <w:hideMark/>
          </w:tcPr>
          <w:p w14:paraId="08417CAC" w14:textId="77777777" w:rsidR="00CA5BB1" w:rsidRPr="00CA5BB1" w:rsidRDefault="60A05D1C" w:rsidP="60A05D1C">
            <w:pPr>
              <w:spacing w:after="0"/>
              <w:jc w:val="right"/>
              <w:rPr>
                <w:sz w:val="18"/>
                <w:szCs w:val="18"/>
              </w:rPr>
            </w:pPr>
            <w:r w:rsidRPr="60A05D1C">
              <w:rPr>
                <w:sz w:val="18"/>
                <w:szCs w:val="18"/>
              </w:rPr>
              <w:t xml:space="preserve">30,1 </w:t>
            </w:r>
          </w:p>
        </w:tc>
        <w:tc>
          <w:tcPr>
            <w:tcW w:w="1000" w:type="dxa"/>
            <w:tcBorders>
              <w:top w:val="nil"/>
              <w:left w:val="nil"/>
              <w:bottom w:val="single" w:sz="4" w:space="0" w:color="auto"/>
              <w:right w:val="single" w:sz="4" w:space="0" w:color="auto"/>
            </w:tcBorders>
            <w:shd w:val="clear" w:color="auto" w:fill="auto"/>
            <w:noWrap/>
            <w:vAlign w:val="bottom"/>
            <w:hideMark/>
          </w:tcPr>
          <w:p w14:paraId="5358867C" w14:textId="77777777" w:rsidR="00CA5BB1" w:rsidRPr="00CA5BB1" w:rsidRDefault="60A05D1C" w:rsidP="60A05D1C">
            <w:pPr>
              <w:spacing w:after="0"/>
              <w:jc w:val="right"/>
              <w:rPr>
                <w:sz w:val="18"/>
                <w:szCs w:val="18"/>
              </w:rPr>
            </w:pPr>
            <w:r w:rsidRPr="60A05D1C">
              <w:rPr>
                <w:sz w:val="18"/>
                <w:szCs w:val="18"/>
              </w:rPr>
              <w:t xml:space="preserve">97,6 </w:t>
            </w:r>
          </w:p>
        </w:tc>
      </w:tr>
      <w:tr w:rsidR="00CA5BB1" w:rsidRPr="00CA5BB1" w14:paraId="0997ED86" w14:textId="77777777" w:rsidTr="60A05D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65B33E41" w14:textId="77777777" w:rsidR="00CA5BB1" w:rsidRPr="00CA5BB1" w:rsidRDefault="60A05D1C" w:rsidP="60A05D1C">
            <w:pPr>
              <w:spacing w:after="0"/>
              <w:jc w:val="right"/>
              <w:rPr>
                <w:sz w:val="18"/>
                <w:szCs w:val="18"/>
              </w:rPr>
            </w:pPr>
            <w:r w:rsidRPr="60A05D1C">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28683AD3" w14:textId="77777777" w:rsidR="00CA5BB1" w:rsidRPr="00CA5BB1" w:rsidRDefault="60A05D1C" w:rsidP="60A05D1C">
            <w:pPr>
              <w:spacing w:after="0"/>
              <w:jc w:val="right"/>
              <w:rPr>
                <w:sz w:val="18"/>
                <w:szCs w:val="18"/>
              </w:rPr>
            </w:pPr>
            <w:r w:rsidRPr="60A05D1C">
              <w:rPr>
                <w:sz w:val="18"/>
                <w:szCs w:val="18"/>
              </w:rPr>
              <w:t xml:space="preserve">618,8 </w:t>
            </w:r>
          </w:p>
        </w:tc>
        <w:tc>
          <w:tcPr>
            <w:tcW w:w="1180" w:type="dxa"/>
            <w:tcBorders>
              <w:top w:val="nil"/>
              <w:left w:val="nil"/>
              <w:bottom w:val="single" w:sz="4" w:space="0" w:color="auto"/>
              <w:right w:val="single" w:sz="4" w:space="0" w:color="auto"/>
            </w:tcBorders>
            <w:shd w:val="clear" w:color="auto" w:fill="auto"/>
            <w:noWrap/>
            <w:vAlign w:val="bottom"/>
            <w:hideMark/>
          </w:tcPr>
          <w:p w14:paraId="41A58A1E" w14:textId="77777777" w:rsidR="00CA5BB1" w:rsidRPr="00CA5BB1" w:rsidRDefault="60A05D1C" w:rsidP="60A05D1C">
            <w:pPr>
              <w:spacing w:after="0"/>
              <w:jc w:val="right"/>
              <w:rPr>
                <w:sz w:val="18"/>
                <w:szCs w:val="18"/>
              </w:rPr>
            </w:pPr>
            <w:r w:rsidRPr="60A05D1C">
              <w:rPr>
                <w:sz w:val="18"/>
                <w:szCs w:val="18"/>
              </w:rPr>
              <w:t xml:space="preserve">162,2 </w:t>
            </w:r>
          </w:p>
        </w:tc>
        <w:tc>
          <w:tcPr>
            <w:tcW w:w="1020" w:type="dxa"/>
            <w:tcBorders>
              <w:top w:val="nil"/>
              <w:left w:val="nil"/>
              <w:bottom w:val="single" w:sz="4" w:space="0" w:color="auto"/>
              <w:right w:val="single" w:sz="4" w:space="0" w:color="auto"/>
            </w:tcBorders>
            <w:shd w:val="clear" w:color="auto" w:fill="auto"/>
            <w:noWrap/>
            <w:vAlign w:val="bottom"/>
            <w:hideMark/>
          </w:tcPr>
          <w:p w14:paraId="06B07619" w14:textId="77777777" w:rsidR="00CA5BB1" w:rsidRPr="00CA5BB1" w:rsidRDefault="60A05D1C" w:rsidP="60A05D1C">
            <w:pPr>
              <w:spacing w:after="0"/>
              <w:jc w:val="right"/>
              <w:rPr>
                <w:sz w:val="18"/>
                <w:szCs w:val="18"/>
              </w:rPr>
            </w:pPr>
            <w:r w:rsidRPr="60A05D1C">
              <w:rPr>
                <w:sz w:val="18"/>
                <w:szCs w:val="18"/>
              </w:rPr>
              <w:t xml:space="preserve">26,2 </w:t>
            </w:r>
          </w:p>
        </w:tc>
        <w:tc>
          <w:tcPr>
            <w:tcW w:w="1180" w:type="dxa"/>
            <w:tcBorders>
              <w:top w:val="nil"/>
              <w:left w:val="nil"/>
              <w:bottom w:val="single" w:sz="4" w:space="0" w:color="auto"/>
              <w:right w:val="single" w:sz="4" w:space="0" w:color="auto"/>
            </w:tcBorders>
            <w:shd w:val="clear" w:color="auto" w:fill="auto"/>
            <w:noWrap/>
            <w:vAlign w:val="bottom"/>
            <w:hideMark/>
          </w:tcPr>
          <w:p w14:paraId="3AAF3E5A" w14:textId="77777777" w:rsidR="00CA5BB1" w:rsidRPr="00CA5BB1" w:rsidRDefault="60A05D1C" w:rsidP="60A05D1C">
            <w:pPr>
              <w:spacing w:after="0"/>
              <w:jc w:val="right"/>
              <w:rPr>
                <w:sz w:val="18"/>
                <w:szCs w:val="18"/>
              </w:rPr>
            </w:pPr>
            <w:r w:rsidRPr="60A05D1C">
              <w:rPr>
                <w:sz w:val="18"/>
                <w:szCs w:val="18"/>
              </w:rPr>
              <w:t xml:space="preserve">641,6 </w:t>
            </w:r>
          </w:p>
        </w:tc>
        <w:tc>
          <w:tcPr>
            <w:tcW w:w="1180" w:type="dxa"/>
            <w:tcBorders>
              <w:top w:val="nil"/>
              <w:left w:val="nil"/>
              <w:bottom w:val="single" w:sz="4" w:space="0" w:color="auto"/>
              <w:right w:val="single" w:sz="4" w:space="0" w:color="auto"/>
            </w:tcBorders>
            <w:shd w:val="clear" w:color="auto" w:fill="auto"/>
            <w:noWrap/>
            <w:vAlign w:val="bottom"/>
            <w:hideMark/>
          </w:tcPr>
          <w:p w14:paraId="6FF7CF0B" w14:textId="77777777" w:rsidR="00CA5BB1" w:rsidRPr="00CA5BB1" w:rsidRDefault="60A05D1C" w:rsidP="60A05D1C">
            <w:pPr>
              <w:spacing w:after="0"/>
              <w:jc w:val="right"/>
              <w:rPr>
                <w:sz w:val="18"/>
                <w:szCs w:val="18"/>
              </w:rPr>
            </w:pPr>
            <w:r w:rsidRPr="60A05D1C">
              <w:rPr>
                <w:sz w:val="18"/>
                <w:szCs w:val="18"/>
              </w:rPr>
              <w:t xml:space="preserve">184,4 </w:t>
            </w:r>
          </w:p>
        </w:tc>
        <w:tc>
          <w:tcPr>
            <w:tcW w:w="1042" w:type="dxa"/>
            <w:tcBorders>
              <w:top w:val="nil"/>
              <w:left w:val="nil"/>
              <w:bottom w:val="single" w:sz="4" w:space="0" w:color="auto"/>
              <w:right w:val="single" w:sz="4" w:space="0" w:color="auto"/>
            </w:tcBorders>
            <w:shd w:val="clear" w:color="auto" w:fill="auto"/>
            <w:noWrap/>
            <w:vAlign w:val="bottom"/>
            <w:hideMark/>
          </w:tcPr>
          <w:p w14:paraId="10CEDCB9" w14:textId="77777777" w:rsidR="00CA5BB1" w:rsidRPr="00CA5BB1" w:rsidRDefault="60A05D1C" w:rsidP="60A05D1C">
            <w:pPr>
              <w:spacing w:after="0"/>
              <w:jc w:val="right"/>
              <w:rPr>
                <w:sz w:val="18"/>
                <w:szCs w:val="18"/>
              </w:rPr>
            </w:pPr>
            <w:r w:rsidRPr="60A05D1C">
              <w:rPr>
                <w:sz w:val="18"/>
                <w:szCs w:val="18"/>
              </w:rPr>
              <w:t xml:space="preserve">28,7 </w:t>
            </w:r>
          </w:p>
        </w:tc>
        <w:tc>
          <w:tcPr>
            <w:tcW w:w="1000" w:type="dxa"/>
            <w:tcBorders>
              <w:top w:val="nil"/>
              <w:left w:val="nil"/>
              <w:bottom w:val="single" w:sz="4" w:space="0" w:color="auto"/>
              <w:right w:val="single" w:sz="4" w:space="0" w:color="auto"/>
            </w:tcBorders>
            <w:shd w:val="clear" w:color="auto" w:fill="auto"/>
            <w:noWrap/>
            <w:vAlign w:val="bottom"/>
            <w:hideMark/>
          </w:tcPr>
          <w:p w14:paraId="6AF66545" w14:textId="77777777" w:rsidR="00CA5BB1" w:rsidRPr="00CA5BB1" w:rsidRDefault="60A05D1C" w:rsidP="60A05D1C">
            <w:pPr>
              <w:spacing w:after="0"/>
              <w:jc w:val="right"/>
              <w:rPr>
                <w:sz w:val="18"/>
                <w:szCs w:val="18"/>
              </w:rPr>
            </w:pPr>
            <w:r w:rsidRPr="60A05D1C">
              <w:rPr>
                <w:sz w:val="18"/>
                <w:szCs w:val="18"/>
              </w:rPr>
              <w:t xml:space="preserve">113,7 </w:t>
            </w:r>
          </w:p>
        </w:tc>
      </w:tr>
      <w:tr w:rsidR="00CA5BB1" w:rsidRPr="00CA5BB1" w14:paraId="3D2FFC3E" w14:textId="77777777" w:rsidTr="60A05D1C">
        <w:trPr>
          <w:trHeight w:val="48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247FDF0F" w14:textId="77777777" w:rsidR="00CA5BB1" w:rsidRPr="00CA5BB1" w:rsidRDefault="60A05D1C" w:rsidP="60A05D1C">
            <w:pPr>
              <w:spacing w:after="0"/>
              <w:jc w:val="left"/>
              <w:rPr>
                <w:b/>
                <w:bCs/>
                <w:sz w:val="18"/>
                <w:szCs w:val="18"/>
              </w:rPr>
            </w:pPr>
            <w:r w:rsidRPr="60A05D1C">
              <w:rPr>
                <w:b/>
                <w:bCs/>
                <w:sz w:val="18"/>
                <w:szCs w:val="18"/>
              </w:rPr>
              <w:t>Társadalombiztosítási 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589D10D3" w14:textId="77777777" w:rsidR="00CA5BB1" w:rsidRPr="00CA5BB1" w:rsidRDefault="60A05D1C" w:rsidP="60A05D1C">
            <w:pPr>
              <w:spacing w:after="0"/>
              <w:jc w:val="right"/>
              <w:rPr>
                <w:b/>
                <w:bCs/>
                <w:sz w:val="18"/>
                <w:szCs w:val="18"/>
              </w:rPr>
            </w:pPr>
            <w:r w:rsidRPr="60A05D1C">
              <w:rPr>
                <w:b/>
                <w:bCs/>
                <w:sz w:val="18"/>
                <w:szCs w:val="18"/>
              </w:rPr>
              <w:t xml:space="preserve">-234,8 </w:t>
            </w:r>
          </w:p>
        </w:tc>
        <w:tc>
          <w:tcPr>
            <w:tcW w:w="1180" w:type="dxa"/>
            <w:tcBorders>
              <w:top w:val="nil"/>
              <w:left w:val="nil"/>
              <w:bottom w:val="single" w:sz="4" w:space="0" w:color="auto"/>
              <w:right w:val="single" w:sz="4" w:space="0" w:color="auto"/>
            </w:tcBorders>
            <w:shd w:val="clear" w:color="auto" w:fill="auto"/>
            <w:noWrap/>
            <w:vAlign w:val="bottom"/>
            <w:hideMark/>
          </w:tcPr>
          <w:p w14:paraId="1C9B4858" w14:textId="77777777" w:rsidR="00CA5BB1" w:rsidRPr="00CA5BB1" w:rsidRDefault="60A05D1C" w:rsidP="60A05D1C">
            <w:pPr>
              <w:spacing w:after="0"/>
              <w:jc w:val="right"/>
              <w:rPr>
                <w:b/>
                <w:bCs/>
                <w:sz w:val="18"/>
                <w:szCs w:val="18"/>
              </w:rPr>
            </w:pPr>
            <w:r w:rsidRPr="60A05D1C">
              <w:rPr>
                <w:b/>
                <w:bCs/>
                <w:sz w:val="18"/>
                <w:szCs w:val="18"/>
              </w:rPr>
              <w:t xml:space="preserve">8,6 </w:t>
            </w:r>
          </w:p>
        </w:tc>
        <w:tc>
          <w:tcPr>
            <w:tcW w:w="1020" w:type="dxa"/>
            <w:tcBorders>
              <w:top w:val="nil"/>
              <w:left w:val="nil"/>
              <w:bottom w:val="single" w:sz="4" w:space="0" w:color="auto"/>
              <w:right w:val="single" w:sz="4" w:space="0" w:color="auto"/>
            </w:tcBorders>
            <w:shd w:val="clear" w:color="auto" w:fill="auto"/>
            <w:noWrap/>
            <w:vAlign w:val="bottom"/>
            <w:hideMark/>
          </w:tcPr>
          <w:p w14:paraId="0C331BB5" w14:textId="77777777" w:rsidR="00CA5BB1" w:rsidRPr="00CA5BB1" w:rsidRDefault="60A05D1C" w:rsidP="60A05D1C">
            <w:pPr>
              <w:spacing w:after="0"/>
              <w:jc w:val="left"/>
              <w:rPr>
                <w:sz w:val="18"/>
                <w:szCs w:val="18"/>
              </w:rPr>
            </w:pPr>
            <w:r w:rsidRPr="60A05D1C">
              <w:rPr>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FBAAA06" w14:textId="77777777" w:rsidR="00CA5BB1" w:rsidRPr="00CA5BB1" w:rsidRDefault="60A05D1C" w:rsidP="60A05D1C">
            <w:pPr>
              <w:spacing w:after="0"/>
              <w:jc w:val="right"/>
              <w:rPr>
                <w:b/>
                <w:bCs/>
                <w:sz w:val="18"/>
                <w:szCs w:val="18"/>
              </w:rPr>
            </w:pPr>
            <w:r w:rsidRPr="60A05D1C">
              <w:rPr>
                <w:b/>
                <w:bCs/>
                <w:sz w:val="18"/>
                <w:szCs w:val="18"/>
              </w:rPr>
              <w:t>0,</w:t>
            </w:r>
            <w:proofErr w:type="spellStart"/>
            <w:r w:rsidRPr="60A05D1C">
              <w:rPr>
                <w:b/>
                <w:bCs/>
                <w:sz w:val="18"/>
                <w:szCs w:val="18"/>
              </w:rPr>
              <w:t>0</w:t>
            </w:r>
            <w:proofErr w:type="spellEnd"/>
            <w:r w:rsidRPr="60A05D1C">
              <w:rPr>
                <w:b/>
                <w:bCs/>
                <w:sz w:val="18"/>
                <w:szCs w:val="18"/>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571975A8" w14:textId="77777777" w:rsidR="00CA5BB1" w:rsidRPr="00CA5BB1" w:rsidRDefault="60A05D1C" w:rsidP="60A05D1C">
            <w:pPr>
              <w:spacing w:after="0"/>
              <w:jc w:val="right"/>
              <w:rPr>
                <w:b/>
                <w:bCs/>
                <w:sz w:val="18"/>
                <w:szCs w:val="18"/>
              </w:rPr>
            </w:pPr>
            <w:r w:rsidRPr="60A05D1C">
              <w:rPr>
                <w:b/>
                <w:bCs/>
                <w:sz w:val="18"/>
                <w:szCs w:val="18"/>
              </w:rPr>
              <w:t xml:space="preserve">-123,0 </w:t>
            </w:r>
          </w:p>
        </w:tc>
        <w:tc>
          <w:tcPr>
            <w:tcW w:w="1042" w:type="dxa"/>
            <w:tcBorders>
              <w:top w:val="nil"/>
              <w:left w:val="nil"/>
              <w:bottom w:val="single" w:sz="4" w:space="0" w:color="auto"/>
              <w:right w:val="single" w:sz="4" w:space="0" w:color="auto"/>
            </w:tcBorders>
            <w:shd w:val="clear" w:color="auto" w:fill="auto"/>
            <w:noWrap/>
            <w:vAlign w:val="bottom"/>
            <w:hideMark/>
          </w:tcPr>
          <w:p w14:paraId="06C380D5" w14:textId="77777777" w:rsidR="00CA5BB1" w:rsidRPr="00CA5BB1" w:rsidRDefault="60A05D1C" w:rsidP="60A05D1C">
            <w:pPr>
              <w:spacing w:after="0"/>
              <w:jc w:val="right"/>
              <w:rPr>
                <w:sz w:val="18"/>
                <w:szCs w:val="18"/>
              </w:rPr>
            </w:pPr>
            <w:r w:rsidRPr="60A05D1C">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153213D8" w14:textId="77777777" w:rsidR="00CA5BB1" w:rsidRPr="00CA5BB1" w:rsidRDefault="60A05D1C" w:rsidP="60A05D1C">
            <w:pPr>
              <w:spacing w:after="0"/>
              <w:jc w:val="left"/>
              <w:rPr>
                <w:sz w:val="18"/>
                <w:szCs w:val="18"/>
              </w:rPr>
            </w:pPr>
            <w:r w:rsidRPr="60A05D1C">
              <w:rPr>
                <w:sz w:val="18"/>
                <w:szCs w:val="18"/>
              </w:rPr>
              <w:t> </w:t>
            </w:r>
          </w:p>
        </w:tc>
      </w:tr>
      <w:tr w:rsidR="00CA5BB1" w:rsidRPr="00CA5BB1" w14:paraId="791F57C8" w14:textId="77777777" w:rsidTr="60A05D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74ECA7E5" w14:textId="77777777" w:rsidR="00CA5BB1" w:rsidRPr="00CA5BB1" w:rsidRDefault="60A05D1C" w:rsidP="60A05D1C">
            <w:pPr>
              <w:spacing w:after="0"/>
              <w:jc w:val="right"/>
              <w:rPr>
                <w:sz w:val="18"/>
                <w:szCs w:val="18"/>
              </w:rPr>
            </w:pPr>
            <w:r w:rsidRPr="60A05D1C">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35F1E012" w14:textId="77777777" w:rsidR="00CA5BB1" w:rsidRPr="00CA5BB1" w:rsidRDefault="60A05D1C" w:rsidP="60A05D1C">
            <w:pPr>
              <w:spacing w:after="0"/>
              <w:jc w:val="right"/>
              <w:rPr>
                <w:sz w:val="18"/>
                <w:szCs w:val="18"/>
              </w:rPr>
            </w:pPr>
            <w:r w:rsidRPr="60A05D1C">
              <w:rPr>
                <w:sz w:val="18"/>
                <w:szCs w:val="18"/>
              </w:rPr>
              <w:t xml:space="preserve">5 816,6 </w:t>
            </w:r>
          </w:p>
        </w:tc>
        <w:tc>
          <w:tcPr>
            <w:tcW w:w="1180" w:type="dxa"/>
            <w:tcBorders>
              <w:top w:val="nil"/>
              <w:left w:val="nil"/>
              <w:bottom w:val="single" w:sz="4" w:space="0" w:color="auto"/>
              <w:right w:val="single" w:sz="4" w:space="0" w:color="auto"/>
            </w:tcBorders>
            <w:shd w:val="clear" w:color="auto" w:fill="auto"/>
            <w:noWrap/>
            <w:vAlign w:val="bottom"/>
            <w:hideMark/>
          </w:tcPr>
          <w:p w14:paraId="1B2DF153" w14:textId="77777777" w:rsidR="00CA5BB1" w:rsidRPr="00CA5BB1" w:rsidRDefault="60A05D1C" w:rsidP="60A05D1C">
            <w:pPr>
              <w:spacing w:after="0"/>
              <w:jc w:val="right"/>
              <w:rPr>
                <w:sz w:val="18"/>
                <w:szCs w:val="18"/>
              </w:rPr>
            </w:pPr>
            <w:r w:rsidRPr="60A05D1C">
              <w:rPr>
                <w:sz w:val="18"/>
                <w:szCs w:val="18"/>
              </w:rPr>
              <w:t xml:space="preserve">1 940,2 </w:t>
            </w:r>
          </w:p>
        </w:tc>
        <w:tc>
          <w:tcPr>
            <w:tcW w:w="1020" w:type="dxa"/>
            <w:tcBorders>
              <w:top w:val="nil"/>
              <w:left w:val="nil"/>
              <w:bottom w:val="single" w:sz="4" w:space="0" w:color="auto"/>
              <w:right w:val="single" w:sz="4" w:space="0" w:color="auto"/>
            </w:tcBorders>
            <w:shd w:val="clear" w:color="auto" w:fill="auto"/>
            <w:noWrap/>
            <w:vAlign w:val="bottom"/>
            <w:hideMark/>
          </w:tcPr>
          <w:p w14:paraId="4C8FCE60" w14:textId="77777777" w:rsidR="00CA5BB1" w:rsidRPr="00CA5BB1" w:rsidRDefault="60A05D1C" w:rsidP="60A05D1C">
            <w:pPr>
              <w:spacing w:after="0"/>
              <w:jc w:val="right"/>
              <w:rPr>
                <w:sz w:val="18"/>
                <w:szCs w:val="18"/>
              </w:rPr>
            </w:pPr>
            <w:r w:rsidRPr="60A05D1C">
              <w:rPr>
                <w:sz w:val="18"/>
                <w:szCs w:val="18"/>
              </w:rPr>
              <w:t xml:space="preserve">33,4 </w:t>
            </w:r>
          </w:p>
        </w:tc>
        <w:tc>
          <w:tcPr>
            <w:tcW w:w="1180" w:type="dxa"/>
            <w:tcBorders>
              <w:top w:val="nil"/>
              <w:left w:val="nil"/>
              <w:bottom w:val="single" w:sz="4" w:space="0" w:color="auto"/>
              <w:right w:val="single" w:sz="4" w:space="0" w:color="auto"/>
            </w:tcBorders>
            <w:shd w:val="clear" w:color="auto" w:fill="auto"/>
            <w:noWrap/>
            <w:vAlign w:val="bottom"/>
            <w:hideMark/>
          </w:tcPr>
          <w:p w14:paraId="43ED0ED1" w14:textId="77777777" w:rsidR="00CA5BB1" w:rsidRPr="00CA5BB1" w:rsidRDefault="60A05D1C" w:rsidP="60A05D1C">
            <w:pPr>
              <w:spacing w:after="0"/>
              <w:jc w:val="right"/>
              <w:rPr>
                <w:sz w:val="18"/>
                <w:szCs w:val="18"/>
              </w:rPr>
            </w:pPr>
            <w:r w:rsidRPr="60A05D1C">
              <w:rPr>
                <w:sz w:val="18"/>
                <w:szCs w:val="18"/>
              </w:rPr>
              <w:t xml:space="preserve">6 269,5 </w:t>
            </w:r>
          </w:p>
        </w:tc>
        <w:tc>
          <w:tcPr>
            <w:tcW w:w="1180" w:type="dxa"/>
            <w:tcBorders>
              <w:top w:val="nil"/>
              <w:left w:val="nil"/>
              <w:bottom w:val="single" w:sz="4" w:space="0" w:color="auto"/>
              <w:right w:val="single" w:sz="4" w:space="0" w:color="auto"/>
            </w:tcBorders>
            <w:shd w:val="clear" w:color="auto" w:fill="auto"/>
            <w:noWrap/>
            <w:vAlign w:val="bottom"/>
            <w:hideMark/>
          </w:tcPr>
          <w:p w14:paraId="785E4EE0" w14:textId="77777777" w:rsidR="00CA5BB1" w:rsidRPr="00CA5BB1" w:rsidRDefault="60A05D1C" w:rsidP="60A05D1C">
            <w:pPr>
              <w:spacing w:after="0"/>
              <w:jc w:val="right"/>
              <w:rPr>
                <w:sz w:val="18"/>
                <w:szCs w:val="18"/>
              </w:rPr>
            </w:pPr>
            <w:r w:rsidRPr="60A05D1C">
              <w:rPr>
                <w:sz w:val="18"/>
                <w:szCs w:val="18"/>
              </w:rPr>
              <w:t xml:space="preserve">2 021,9 </w:t>
            </w:r>
          </w:p>
        </w:tc>
        <w:tc>
          <w:tcPr>
            <w:tcW w:w="1042" w:type="dxa"/>
            <w:tcBorders>
              <w:top w:val="nil"/>
              <w:left w:val="nil"/>
              <w:bottom w:val="single" w:sz="4" w:space="0" w:color="auto"/>
              <w:right w:val="single" w:sz="4" w:space="0" w:color="auto"/>
            </w:tcBorders>
            <w:shd w:val="clear" w:color="auto" w:fill="auto"/>
            <w:noWrap/>
            <w:vAlign w:val="bottom"/>
            <w:hideMark/>
          </w:tcPr>
          <w:p w14:paraId="5504D73E" w14:textId="77777777" w:rsidR="00CA5BB1" w:rsidRPr="00CA5BB1" w:rsidRDefault="60A05D1C" w:rsidP="60A05D1C">
            <w:pPr>
              <w:spacing w:after="0"/>
              <w:jc w:val="right"/>
              <w:rPr>
                <w:sz w:val="18"/>
                <w:szCs w:val="18"/>
              </w:rPr>
            </w:pPr>
            <w:r w:rsidRPr="60A05D1C">
              <w:rPr>
                <w:sz w:val="18"/>
                <w:szCs w:val="18"/>
              </w:rPr>
              <w:t xml:space="preserve">32,2 </w:t>
            </w:r>
          </w:p>
        </w:tc>
        <w:tc>
          <w:tcPr>
            <w:tcW w:w="1000" w:type="dxa"/>
            <w:tcBorders>
              <w:top w:val="nil"/>
              <w:left w:val="nil"/>
              <w:bottom w:val="single" w:sz="4" w:space="0" w:color="auto"/>
              <w:right w:val="single" w:sz="4" w:space="0" w:color="auto"/>
            </w:tcBorders>
            <w:shd w:val="clear" w:color="auto" w:fill="auto"/>
            <w:noWrap/>
            <w:vAlign w:val="bottom"/>
            <w:hideMark/>
          </w:tcPr>
          <w:p w14:paraId="35C246B5" w14:textId="77777777" w:rsidR="00CA5BB1" w:rsidRPr="00CA5BB1" w:rsidRDefault="60A05D1C" w:rsidP="60A05D1C">
            <w:pPr>
              <w:spacing w:after="0"/>
              <w:jc w:val="right"/>
              <w:rPr>
                <w:sz w:val="18"/>
                <w:szCs w:val="18"/>
              </w:rPr>
            </w:pPr>
            <w:r w:rsidRPr="60A05D1C">
              <w:rPr>
                <w:sz w:val="18"/>
                <w:szCs w:val="18"/>
              </w:rPr>
              <w:t xml:space="preserve">104,2 </w:t>
            </w:r>
          </w:p>
        </w:tc>
      </w:tr>
      <w:tr w:rsidR="00CA5BB1" w:rsidRPr="00CA5BB1" w14:paraId="4330D452" w14:textId="77777777" w:rsidTr="60A05D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42777F2E" w14:textId="77777777" w:rsidR="00CA5BB1" w:rsidRPr="00CA5BB1" w:rsidRDefault="60A05D1C" w:rsidP="60A05D1C">
            <w:pPr>
              <w:spacing w:after="0"/>
              <w:jc w:val="right"/>
              <w:rPr>
                <w:sz w:val="18"/>
                <w:szCs w:val="18"/>
              </w:rPr>
            </w:pPr>
            <w:r w:rsidRPr="60A05D1C">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7D56D45C" w14:textId="77777777" w:rsidR="00CA5BB1" w:rsidRPr="00CA5BB1" w:rsidRDefault="60A05D1C" w:rsidP="60A05D1C">
            <w:pPr>
              <w:spacing w:after="0"/>
              <w:jc w:val="right"/>
              <w:rPr>
                <w:sz w:val="18"/>
                <w:szCs w:val="18"/>
              </w:rPr>
            </w:pPr>
            <w:r w:rsidRPr="60A05D1C">
              <w:rPr>
                <w:sz w:val="18"/>
                <w:szCs w:val="18"/>
              </w:rPr>
              <w:t xml:space="preserve">6 051,4 </w:t>
            </w:r>
          </w:p>
        </w:tc>
        <w:tc>
          <w:tcPr>
            <w:tcW w:w="1180" w:type="dxa"/>
            <w:tcBorders>
              <w:top w:val="nil"/>
              <w:left w:val="nil"/>
              <w:bottom w:val="single" w:sz="4" w:space="0" w:color="auto"/>
              <w:right w:val="single" w:sz="4" w:space="0" w:color="auto"/>
            </w:tcBorders>
            <w:shd w:val="clear" w:color="auto" w:fill="auto"/>
            <w:noWrap/>
            <w:vAlign w:val="bottom"/>
            <w:hideMark/>
          </w:tcPr>
          <w:p w14:paraId="071DC6A9" w14:textId="77777777" w:rsidR="00CA5BB1" w:rsidRPr="00CA5BB1" w:rsidRDefault="60A05D1C" w:rsidP="60A05D1C">
            <w:pPr>
              <w:spacing w:after="0"/>
              <w:jc w:val="right"/>
              <w:rPr>
                <w:sz w:val="18"/>
                <w:szCs w:val="18"/>
              </w:rPr>
            </w:pPr>
            <w:r w:rsidRPr="60A05D1C">
              <w:rPr>
                <w:sz w:val="18"/>
                <w:szCs w:val="18"/>
              </w:rPr>
              <w:t xml:space="preserve">1 931,6 </w:t>
            </w:r>
          </w:p>
        </w:tc>
        <w:tc>
          <w:tcPr>
            <w:tcW w:w="1020" w:type="dxa"/>
            <w:tcBorders>
              <w:top w:val="nil"/>
              <w:left w:val="nil"/>
              <w:bottom w:val="single" w:sz="4" w:space="0" w:color="auto"/>
              <w:right w:val="single" w:sz="4" w:space="0" w:color="auto"/>
            </w:tcBorders>
            <w:shd w:val="clear" w:color="auto" w:fill="auto"/>
            <w:noWrap/>
            <w:vAlign w:val="bottom"/>
            <w:hideMark/>
          </w:tcPr>
          <w:p w14:paraId="1C5AF0FA" w14:textId="77777777" w:rsidR="00CA5BB1" w:rsidRPr="00CA5BB1" w:rsidRDefault="60A05D1C" w:rsidP="60A05D1C">
            <w:pPr>
              <w:spacing w:after="0"/>
              <w:jc w:val="right"/>
              <w:rPr>
                <w:sz w:val="18"/>
                <w:szCs w:val="18"/>
              </w:rPr>
            </w:pPr>
            <w:r w:rsidRPr="60A05D1C">
              <w:rPr>
                <w:sz w:val="18"/>
                <w:szCs w:val="18"/>
              </w:rPr>
              <w:t xml:space="preserve">31,9 </w:t>
            </w:r>
          </w:p>
        </w:tc>
        <w:tc>
          <w:tcPr>
            <w:tcW w:w="1180" w:type="dxa"/>
            <w:tcBorders>
              <w:top w:val="nil"/>
              <w:left w:val="nil"/>
              <w:bottom w:val="single" w:sz="4" w:space="0" w:color="auto"/>
              <w:right w:val="single" w:sz="4" w:space="0" w:color="auto"/>
            </w:tcBorders>
            <w:shd w:val="clear" w:color="auto" w:fill="auto"/>
            <w:noWrap/>
            <w:vAlign w:val="bottom"/>
            <w:hideMark/>
          </w:tcPr>
          <w:p w14:paraId="67DB6768" w14:textId="77777777" w:rsidR="00CA5BB1" w:rsidRPr="00CA5BB1" w:rsidRDefault="60A05D1C" w:rsidP="60A05D1C">
            <w:pPr>
              <w:spacing w:after="0"/>
              <w:jc w:val="right"/>
              <w:rPr>
                <w:sz w:val="18"/>
                <w:szCs w:val="18"/>
              </w:rPr>
            </w:pPr>
            <w:r w:rsidRPr="60A05D1C">
              <w:rPr>
                <w:sz w:val="18"/>
                <w:szCs w:val="18"/>
              </w:rPr>
              <w:t xml:space="preserve">6 269,5 </w:t>
            </w:r>
          </w:p>
        </w:tc>
        <w:tc>
          <w:tcPr>
            <w:tcW w:w="1180" w:type="dxa"/>
            <w:tcBorders>
              <w:top w:val="nil"/>
              <w:left w:val="nil"/>
              <w:bottom w:val="single" w:sz="4" w:space="0" w:color="auto"/>
              <w:right w:val="single" w:sz="4" w:space="0" w:color="auto"/>
            </w:tcBorders>
            <w:shd w:val="clear" w:color="auto" w:fill="auto"/>
            <w:noWrap/>
            <w:vAlign w:val="bottom"/>
            <w:hideMark/>
          </w:tcPr>
          <w:p w14:paraId="671AF0A6" w14:textId="77777777" w:rsidR="00CA5BB1" w:rsidRPr="00CA5BB1" w:rsidRDefault="60A05D1C" w:rsidP="60A05D1C">
            <w:pPr>
              <w:spacing w:after="0"/>
              <w:jc w:val="right"/>
              <w:rPr>
                <w:sz w:val="18"/>
                <w:szCs w:val="18"/>
              </w:rPr>
            </w:pPr>
            <w:r w:rsidRPr="60A05D1C">
              <w:rPr>
                <w:sz w:val="18"/>
                <w:szCs w:val="18"/>
              </w:rPr>
              <w:t xml:space="preserve">2 144,9 </w:t>
            </w:r>
          </w:p>
        </w:tc>
        <w:tc>
          <w:tcPr>
            <w:tcW w:w="1042" w:type="dxa"/>
            <w:tcBorders>
              <w:top w:val="nil"/>
              <w:left w:val="nil"/>
              <w:bottom w:val="single" w:sz="4" w:space="0" w:color="auto"/>
              <w:right w:val="single" w:sz="4" w:space="0" w:color="auto"/>
            </w:tcBorders>
            <w:shd w:val="clear" w:color="auto" w:fill="auto"/>
            <w:noWrap/>
            <w:vAlign w:val="bottom"/>
            <w:hideMark/>
          </w:tcPr>
          <w:p w14:paraId="0F8EF16A" w14:textId="77777777" w:rsidR="00CA5BB1" w:rsidRPr="00CA5BB1" w:rsidRDefault="60A05D1C" w:rsidP="60A05D1C">
            <w:pPr>
              <w:spacing w:after="0"/>
              <w:jc w:val="right"/>
              <w:rPr>
                <w:sz w:val="18"/>
                <w:szCs w:val="18"/>
              </w:rPr>
            </w:pPr>
            <w:r w:rsidRPr="60A05D1C">
              <w:rPr>
                <w:sz w:val="18"/>
                <w:szCs w:val="18"/>
              </w:rPr>
              <w:t xml:space="preserve">34,2 </w:t>
            </w:r>
          </w:p>
        </w:tc>
        <w:tc>
          <w:tcPr>
            <w:tcW w:w="1000" w:type="dxa"/>
            <w:tcBorders>
              <w:top w:val="nil"/>
              <w:left w:val="nil"/>
              <w:bottom w:val="single" w:sz="4" w:space="0" w:color="auto"/>
              <w:right w:val="single" w:sz="4" w:space="0" w:color="auto"/>
            </w:tcBorders>
            <w:shd w:val="clear" w:color="auto" w:fill="auto"/>
            <w:noWrap/>
            <w:vAlign w:val="bottom"/>
            <w:hideMark/>
          </w:tcPr>
          <w:p w14:paraId="79D03291" w14:textId="77777777" w:rsidR="00CA5BB1" w:rsidRPr="00CA5BB1" w:rsidRDefault="60A05D1C" w:rsidP="60A05D1C">
            <w:pPr>
              <w:spacing w:after="0"/>
              <w:jc w:val="right"/>
              <w:rPr>
                <w:sz w:val="18"/>
                <w:szCs w:val="18"/>
              </w:rPr>
            </w:pPr>
            <w:r w:rsidRPr="60A05D1C">
              <w:rPr>
                <w:sz w:val="18"/>
                <w:szCs w:val="18"/>
              </w:rPr>
              <w:t xml:space="preserve">111,0 </w:t>
            </w:r>
          </w:p>
        </w:tc>
      </w:tr>
      <w:tr w:rsidR="00CA5BB1" w:rsidRPr="00CA5BB1" w14:paraId="584BD4F0" w14:textId="77777777" w:rsidTr="60A05D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434E1A24" w14:textId="77777777" w:rsidR="00CA5BB1" w:rsidRPr="00CA5BB1" w:rsidRDefault="60A05D1C" w:rsidP="60A05D1C">
            <w:pPr>
              <w:spacing w:after="0"/>
              <w:jc w:val="left"/>
              <w:rPr>
                <w:b/>
                <w:bCs/>
                <w:sz w:val="18"/>
                <w:szCs w:val="18"/>
              </w:rPr>
            </w:pPr>
            <w:r w:rsidRPr="60A05D1C">
              <w:rPr>
                <w:b/>
                <w:bCs/>
                <w:sz w:val="18"/>
                <w:szCs w:val="18"/>
              </w:rPr>
              <w:t>Egyenleg összesen</w:t>
            </w:r>
          </w:p>
        </w:tc>
        <w:tc>
          <w:tcPr>
            <w:tcW w:w="1180" w:type="dxa"/>
            <w:tcBorders>
              <w:top w:val="nil"/>
              <w:left w:val="nil"/>
              <w:bottom w:val="single" w:sz="4" w:space="0" w:color="auto"/>
              <w:right w:val="single" w:sz="4" w:space="0" w:color="auto"/>
            </w:tcBorders>
            <w:shd w:val="clear" w:color="auto" w:fill="auto"/>
            <w:noWrap/>
            <w:vAlign w:val="bottom"/>
            <w:hideMark/>
          </w:tcPr>
          <w:p w14:paraId="264DB471" w14:textId="77777777" w:rsidR="00CA5BB1" w:rsidRPr="00CA5BB1" w:rsidRDefault="60A05D1C" w:rsidP="60A05D1C">
            <w:pPr>
              <w:spacing w:after="0"/>
              <w:jc w:val="right"/>
              <w:rPr>
                <w:b/>
                <w:bCs/>
                <w:sz w:val="18"/>
                <w:szCs w:val="18"/>
              </w:rPr>
            </w:pPr>
            <w:r w:rsidRPr="60A05D1C">
              <w:rPr>
                <w:b/>
                <w:bCs/>
                <w:sz w:val="18"/>
                <w:szCs w:val="18"/>
              </w:rPr>
              <w:t xml:space="preserve">-1 219,0 </w:t>
            </w:r>
          </w:p>
        </w:tc>
        <w:tc>
          <w:tcPr>
            <w:tcW w:w="1180" w:type="dxa"/>
            <w:tcBorders>
              <w:top w:val="nil"/>
              <w:left w:val="nil"/>
              <w:bottom w:val="single" w:sz="4" w:space="0" w:color="auto"/>
              <w:right w:val="single" w:sz="4" w:space="0" w:color="auto"/>
            </w:tcBorders>
            <w:shd w:val="clear" w:color="auto" w:fill="auto"/>
            <w:noWrap/>
            <w:vAlign w:val="bottom"/>
            <w:hideMark/>
          </w:tcPr>
          <w:p w14:paraId="0E1012F8" w14:textId="77777777" w:rsidR="00CA5BB1" w:rsidRPr="00CA5BB1" w:rsidRDefault="60A05D1C" w:rsidP="60A05D1C">
            <w:pPr>
              <w:spacing w:after="0"/>
              <w:jc w:val="right"/>
              <w:rPr>
                <w:b/>
                <w:bCs/>
                <w:sz w:val="18"/>
                <w:szCs w:val="18"/>
              </w:rPr>
            </w:pPr>
            <w:r w:rsidRPr="60A05D1C">
              <w:rPr>
                <w:b/>
                <w:bCs/>
                <w:sz w:val="18"/>
                <w:szCs w:val="18"/>
              </w:rPr>
              <w:t xml:space="preserve">-39,0 </w:t>
            </w:r>
          </w:p>
        </w:tc>
        <w:tc>
          <w:tcPr>
            <w:tcW w:w="1020" w:type="dxa"/>
            <w:tcBorders>
              <w:top w:val="nil"/>
              <w:left w:val="nil"/>
              <w:bottom w:val="single" w:sz="4" w:space="0" w:color="auto"/>
              <w:right w:val="single" w:sz="4" w:space="0" w:color="auto"/>
            </w:tcBorders>
            <w:shd w:val="clear" w:color="auto" w:fill="auto"/>
            <w:noWrap/>
            <w:vAlign w:val="bottom"/>
            <w:hideMark/>
          </w:tcPr>
          <w:p w14:paraId="19B46540" w14:textId="77777777" w:rsidR="00CA5BB1" w:rsidRPr="00CA5BB1" w:rsidRDefault="60A05D1C" w:rsidP="60A05D1C">
            <w:pPr>
              <w:spacing w:after="0"/>
              <w:jc w:val="right"/>
              <w:rPr>
                <w:sz w:val="18"/>
                <w:szCs w:val="18"/>
              </w:rPr>
            </w:pPr>
            <w:r w:rsidRPr="60A05D1C">
              <w:rPr>
                <w:sz w:val="18"/>
                <w:szCs w:val="18"/>
              </w:rPr>
              <w:t xml:space="preserve">3,2 </w:t>
            </w:r>
          </w:p>
        </w:tc>
        <w:tc>
          <w:tcPr>
            <w:tcW w:w="1180" w:type="dxa"/>
            <w:tcBorders>
              <w:top w:val="nil"/>
              <w:left w:val="nil"/>
              <w:bottom w:val="single" w:sz="4" w:space="0" w:color="auto"/>
              <w:right w:val="single" w:sz="4" w:space="0" w:color="auto"/>
            </w:tcBorders>
            <w:shd w:val="clear" w:color="auto" w:fill="auto"/>
            <w:noWrap/>
            <w:vAlign w:val="bottom"/>
            <w:hideMark/>
          </w:tcPr>
          <w:p w14:paraId="389D01B9" w14:textId="77777777" w:rsidR="00CA5BB1" w:rsidRPr="00CA5BB1" w:rsidRDefault="60A05D1C" w:rsidP="60A05D1C">
            <w:pPr>
              <w:spacing w:after="0"/>
              <w:jc w:val="right"/>
              <w:rPr>
                <w:b/>
                <w:bCs/>
                <w:sz w:val="18"/>
                <w:szCs w:val="18"/>
              </w:rPr>
            </w:pPr>
            <w:r w:rsidRPr="60A05D1C">
              <w:rPr>
                <w:b/>
                <w:bCs/>
                <w:sz w:val="18"/>
                <w:szCs w:val="18"/>
              </w:rPr>
              <w:t xml:space="preserve">-367,0 </w:t>
            </w:r>
          </w:p>
        </w:tc>
        <w:tc>
          <w:tcPr>
            <w:tcW w:w="1180" w:type="dxa"/>
            <w:tcBorders>
              <w:top w:val="nil"/>
              <w:left w:val="nil"/>
              <w:bottom w:val="single" w:sz="4" w:space="0" w:color="auto"/>
              <w:right w:val="single" w:sz="4" w:space="0" w:color="auto"/>
            </w:tcBorders>
            <w:shd w:val="clear" w:color="auto" w:fill="auto"/>
            <w:noWrap/>
            <w:vAlign w:val="bottom"/>
            <w:hideMark/>
          </w:tcPr>
          <w:p w14:paraId="7A57D5E5" w14:textId="77777777" w:rsidR="00CA5BB1" w:rsidRPr="00CA5BB1" w:rsidRDefault="60A05D1C" w:rsidP="60A05D1C">
            <w:pPr>
              <w:spacing w:after="0"/>
              <w:jc w:val="right"/>
              <w:rPr>
                <w:b/>
                <w:bCs/>
                <w:sz w:val="18"/>
                <w:szCs w:val="18"/>
              </w:rPr>
            </w:pPr>
            <w:r w:rsidRPr="60A05D1C">
              <w:rPr>
                <w:b/>
                <w:bCs/>
                <w:sz w:val="18"/>
                <w:szCs w:val="18"/>
              </w:rPr>
              <w:t xml:space="preserve">-727,4 </w:t>
            </w:r>
          </w:p>
        </w:tc>
        <w:tc>
          <w:tcPr>
            <w:tcW w:w="1042" w:type="dxa"/>
            <w:tcBorders>
              <w:top w:val="nil"/>
              <w:left w:val="nil"/>
              <w:bottom w:val="single" w:sz="4" w:space="0" w:color="auto"/>
              <w:right w:val="single" w:sz="4" w:space="0" w:color="auto"/>
            </w:tcBorders>
            <w:shd w:val="clear" w:color="auto" w:fill="auto"/>
            <w:noWrap/>
            <w:vAlign w:val="bottom"/>
            <w:hideMark/>
          </w:tcPr>
          <w:p w14:paraId="16B59B2B" w14:textId="77777777" w:rsidR="00CA5BB1" w:rsidRPr="00CA5BB1" w:rsidRDefault="60A05D1C" w:rsidP="60A05D1C">
            <w:pPr>
              <w:spacing w:after="0"/>
              <w:jc w:val="right"/>
              <w:rPr>
                <w:sz w:val="18"/>
                <w:szCs w:val="18"/>
              </w:rPr>
            </w:pPr>
            <w:r w:rsidRPr="60A05D1C">
              <w:rPr>
                <w:sz w:val="18"/>
                <w:szCs w:val="18"/>
              </w:rPr>
              <w:t xml:space="preserve">198,2 </w:t>
            </w:r>
          </w:p>
        </w:tc>
        <w:tc>
          <w:tcPr>
            <w:tcW w:w="1000" w:type="dxa"/>
            <w:tcBorders>
              <w:top w:val="nil"/>
              <w:left w:val="nil"/>
              <w:bottom w:val="single" w:sz="4" w:space="0" w:color="auto"/>
              <w:right w:val="single" w:sz="4" w:space="0" w:color="auto"/>
            </w:tcBorders>
            <w:shd w:val="clear" w:color="auto" w:fill="auto"/>
            <w:noWrap/>
            <w:vAlign w:val="bottom"/>
            <w:hideMark/>
          </w:tcPr>
          <w:p w14:paraId="500E8687" w14:textId="77777777" w:rsidR="00CA5BB1" w:rsidRPr="00CA5BB1" w:rsidRDefault="60A05D1C" w:rsidP="60A05D1C">
            <w:pPr>
              <w:spacing w:after="0"/>
              <w:jc w:val="right"/>
              <w:rPr>
                <w:sz w:val="18"/>
                <w:szCs w:val="18"/>
              </w:rPr>
            </w:pPr>
            <w:r w:rsidRPr="60A05D1C">
              <w:rPr>
                <w:sz w:val="18"/>
                <w:szCs w:val="18"/>
              </w:rPr>
              <w:t xml:space="preserve">1 865,1 </w:t>
            </w:r>
          </w:p>
        </w:tc>
      </w:tr>
      <w:tr w:rsidR="00CA5BB1" w:rsidRPr="00CA5BB1" w14:paraId="5D69FC1D" w14:textId="77777777" w:rsidTr="60A05D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7034EA9A" w14:textId="77777777" w:rsidR="00CA5BB1" w:rsidRPr="00CA5BB1" w:rsidRDefault="60A05D1C" w:rsidP="60A05D1C">
            <w:pPr>
              <w:spacing w:after="0"/>
              <w:jc w:val="right"/>
              <w:rPr>
                <w:sz w:val="18"/>
                <w:szCs w:val="18"/>
              </w:rPr>
            </w:pPr>
            <w:r w:rsidRPr="60A05D1C">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391919F8" w14:textId="77777777" w:rsidR="00CA5BB1" w:rsidRPr="00CA5BB1" w:rsidRDefault="60A05D1C" w:rsidP="60A05D1C">
            <w:pPr>
              <w:spacing w:after="0"/>
              <w:jc w:val="right"/>
              <w:rPr>
                <w:sz w:val="18"/>
                <w:szCs w:val="18"/>
              </w:rPr>
            </w:pPr>
            <w:r w:rsidRPr="60A05D1C">
              <w:rPr>
                <w:sz w:val="18"/>
                <w:szCs w:val="18"/>
              </w:rPr>
              <w:t xml:space="preserve">21 440,1 </w:t>
            </w:r>
          </w:p>
        </w:tc>
        <w:tc>
          <w:tcPr>
            <w:tcW w:w="1180" w:type="dxa"/>
            <w:tcBorders>
              <w:top w:val="nil"/>
              <w:left w:val="nil"/>
              <w:bottom w:val="single" w:sz="4" w:space="0" w:color="auto"/>
              <w:right w:val="single" w:sz="4" w:space="0" w:color="auto"/>
            </w:tcBorders>
            <w:shd w:val="clear" w:color="auto" w:fill="auto"/>
            <w:noWrap/>
            <w:vAlign w:val="bottom"/>
            <w:hideMark/>
          </w:tcPr>
          <w:p w14:paraId="13061B09" w14:textId="77777777" w:rsidR="00CA5BB1" w:rsidRPr="00CA5BB1" w:rsidRDefault="60A05D1C" w:rsidP="60A05D1C">
            <w:pPr>
              <w:spacing w:after="0"/>
              <w:jc w:val="right"/>
              <w:rPr>
                <w:sz w:val="18"/>
                <w:szCs w:val="18"/>
              </w:rPr>
            </w:pPr>
            <w:r w:rsidRPr="60A05D1C">
              <w:rPr>
                <w:sz w:val="18"/>
                <w:szCs w:val="18"/>
              </w:rPr>
              <w:t xml:space="preserve">6 760,9 </w:t>
            </w:r>
          </w:p>
        </w:tc>
        <w:tc>
          <w:tcPr>
            <w:tcW w:w="1020" w:type="dxa"/>
            <w:tcBorders>
              <w:top w:val="nil"/>
              <w:left w:val="nil"/>
              <w:bottom w:val="single" w:sz="4" w:space="0" w:color="auto"/>
              <w:right w:val="single" w:sz="4" w:space="0" w:color="auto"/>
            </w:tcBorders>
            <w:shd w:val="clear" w:color="auto" w:fill="auto"/>
            <w:noWrap/>
            <w:vAlign w:val="bottom"/>
            <w:hideMark/>
          </w:tcPr>
          <w:p w14:paraId="6C47D6DF" w14:textId="77777777" w:rsidR="00CA5BB1" w:rsidRPr="00CA5BB1" w:rsidRDefault="60A05D1C" w:rsidP="60A05D1C">
            <w:pPr>
              <w:spacing w:after="0"/>
              <w:jc w:val="right"/>
              <w:rPr>
                <w:sz w:val="18"/>
                <w:szCs w:val="18"/>
              </w:rPr>
            </w:pPr>
            <w:r w:rsidRPr="60A05D1C">
              <w:rPr>
                <w:sz w:val="18"/>
                <w:szCs w:val="18"/>
              </w:rPr>
              <w:t xml:space="preserve">31,5 </w:t>
            </w:r>
          </w:p>
        </w:tc>
        <w:tc>
          <w:tcPr>
            <w:tcW w:w="1180" w:type="dxa"/>
            <w:tcBorders>
              <w:top w:val="nil"/>
              <w:left w:val="nil"/>
              <w:bottom w:val="single" w:sz="4" w:space="0" w:color="auto"/>
              <w:right w:val="single" w:sz="4" w:space="0" w:color="auto"/>
            </w:tcBorders>
            <w:shd w:val="clear" w:color="auto" w:fill="auto"/>
            <w:noWrap/>
            <w:vAlign w:val="bottom"/>
            <w:hideMark/>
          </w:tcPr>
          <w:p w14:paraId="1B0B2878" w14:textId="77777777" w:rsidR="00CA5BB1" w:rsidRPr="00CA5BB1" w:rsidRDefault="60A05D1C" w:rsidP="60A05D1C">
            <w:pPr>
              <w:spacing w:after="0"/>
              <w:jc w:val="right"/>
              <w:rPr>
                <w:sz w:val="18"/>
                <w:szCs w:val="18"/>
              </w:rPr>
            </w:pPr>
            <w:r w:rsidRPr="60A05D1C">
              <w:rPr>
                <w:sz w:val="18"/>
                <w:szCs w:val="18"/>
              </w:rPr>
              <w:t xml:space="preserve">21 425,9 </w:t>
            </w:r>
          </w:p>
        </w:tc>
        <w:tc>
          <w:tcPr>
            <w:tcW w:w="1180" w:type="dxa"/>
            <w:tcBorders>
              <w:top w:val="nil"/>
              <w:left w:val="nil"/>
              <w:bottom w:val="single" w:sz="4" w:space="0" w:color="auto"/>
              <w:right w:val="single" w:sz="4" w:space="0" w:color="auto"/>
            </w:tcBorders>
            <w:shd w:val="clear" w:color="auto" w:fill="auto"/>
            <w:noWrap/>
            <w:vAlign w:val="bottom"/>
            <w:hideMark/>
          </w:tcPr>
          <w:p w14:paraId="161C3606" w14:textId="77777777" w:rsidR="00CA5BB1" w:rsidRPr="00CA5BB1" w:rsidRDefault="60A05D1C" w:rsidP="60A05D1C">
            <w:pPr>
              <w:spacing w:after="0"/>
              <w:jc w:val="right"/>
              <w:rPr>
                <w:sz w:val="18"/>
                <w:szCs w:val="18"/>
              </w:rPr>
            </w:pPr>
            <w:r w:rsidRPr="60A05D1C">
              <w:rPr>
                <w:sz w:val="18"/>
                <w:szCs w:val="18"/>
              </w:rPr>
              <w:t xml:space="preserve">7 480,2 </w:t>
            </w:r>
          </w:p>
        </w:tc>
        <w:tc>
          <w:tcPr>
            <w:tcW w:w="1042" w:type="dxa"/>
            <w:tcBorders>
              <w:top w:val="nil"/>
              <w:left w:val="nil"/>
              <w:bottom w:val="single" w:sz="4" w:space="0" w:color="auto"/>
              <w:right w:val="single" w:sz="4" w:space="0" w:color="auto"/>
            </w:tcBorders>
            <w:shd w:val="clear" w:color="auto" w:fill="auto"/>
            <w:noWrap/>
            <w:vAlign w:val="bottom"/>
            <w:hideMark/>
          </w:tcPr>
          <w:p w14:paraId="53514105" w14:textId="77777777" w:rsidR="00CA5BB1" w:rsidRPr="00CA5BB1" w:rsidRDefault="60A05D1C" w:rsidP="60A05D1C">
            <w:pPr>
              <w:spacing w:after="0"/>
              <w:jc w:val="right"/>
              <w:rPr>
                <w:sz w:val="18"/>
                <w:szCs w:val="18"/>
              </w:rPr>
            </w:pPr>
            <w:r w:rsidRPr="60A05D1C">
              <w:rPr>
                <w:sz w:val="18"/>
                <w:szCs w:val="18"/>
              </w:rPr>
              <w:t xml:space="preserve">34,9 </w:t>
            </w:r>
          </w:p>
        </w:tc>
        <w:tc>
          <w:tcPr>
            <w:tcW w:w="1000" w:type="dxa"/>
            <w:tcBorders>
              <w:top w:val="nil"/>
              <w:left w:val="nil"/>
              <w:bottom w:val="single" w:sz="4" w:space="0" w:color="auto"/>
              <w:right w:val="single" w:sz="4" w:space="0" w:color="auto"/>
            </w:tcBorders>
            <w:shd w:val="clear" w:color="auto" w:fill="auto"/>
            <w:noWrap/>
            <w:vAlign w:val="bottom"/>
            <w:hideMark/>
          </w:tcPr>
          <w:p w14:paraId="6F384989" w14:textId="77777777" w:rsidR="00CA5BB1" w:rsidRPr="00CA5BB1" w:rsidRDefault="60A05D1C" w:rsidP="60A05D1C">
            <w:pPr>
              <w:spacing w:after="0"/>
              <w:jc w:val="right"/>
              <w:rPr>
                <w:sz w:val="18"/>
                <w:szCs w:val="18"/>
              </w:rPr>
            </w:pPr>
            <w:r w:rsidRPr="60A05D1C">
              <w:rPr>
                <w:sz w:val="18"/>
                <w:szCs w:val="18"/>
              </w:rPr>
              <w:t xml:space="preserve">110,6 </w:t>
            </w:r>
          </w:p>
        </w:tc>
      </w:tr>
      <w:tr w:rsidR="00CA5BB1" w:rsidRPr="00CA5BB1" w14:paraId="2998ADE4" w14:textId="77777777" w:rsidTr="60A05D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45F9BB61" w14:textId="77777777" w:rsidR="00CA5BB1" w:rsidRPr="00CA5BB1" w:rsidRDefault="60A05D1C" w:rsidP="60A05D1C">
            <w:pPr>
              <w:spacing w:after="0"/>
              <w:jc w:val="right"/>
              <w:rPr>
                <w:sz w:val="18"/>
                <w:szCs w:val="18"/>
              </w:rPr>
            </w:pPr>
            <w:r w:rsidRPr="60A05D1C">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18963FB9" w14:textId="77777777" w:rsidR="00CA5BB1" w:rsidRPr="00CA5BB1" w:rsidRDefault="60A05D1C" w:rsidP="60A05D1C">
            <w:pPr>
              <w:spacing w:after="0"/>
              <w:jc w:val="right"/>
              <w:rPr>
                <w:sz w:val="18"/>
                <w:szCs w:val="18"/>
              </w:rPr>
            </w:pPr>
            <w:r w:rsidRPr="60A05D1C">
              <w:rPr>
                <w:sz w:val="18"/>
                <w:szCs w:val="18"/>
              </w:rPr>
              <w:t xml:space="preserve">22 659,1 </w:t>
            </w:r>
          </w:p>
        </w:tc>
        <w:tc>
          <w:tcPr>
            <w:tcW w:w="1180" w:type="dxa"/>
            <w:tcBorders>
              <w:top w:val="nil"/>
              <w:left w:val="nil"/>
              <w:bottom w:val="single" w:sz="4" w:space="0" w:color="auto"/>
              <w:right w:val="single" w:sz="4" w:space="0" w:color="auto"/>
            </w:tcBorders>
            <w:shd w:val="clear" w:color="auto" w:fill="auto"/>
            <w:noWrap/>
            <w:vAlign w:val="bottom"/>
            <w:hideMark/>
          </w:tcPr>
          <w:p w14:paraId="57175A9F" w14:textId="77777777" w:rsidR="00CA5BB1" w:rsidRPr="00CA5BB1" w:rsidRDefault="60A05D1C" w:rsidP="60A05D1C">
            <w:pPr>
              <w:spacing w:after="0"/>
              <w:jc w:val="right"/>
              <w:rPr>
                <w:sz w:val="18"/>
                <w:szCs w:val="18"/>
              </w:rPr>
            </w:pPr>
            <w:r w:rsidRPr="60A05D1C">
              <w:rPr>
                <w:sz w:val="18"/>
                <w:szCs w:val="18"/>
              </w:rPr>
              <w:t xml:space="preserve">6 799,9 </w:t>
            </w:r>
          </w:p>
        </w:tc>
        <w:tc>
          <w:tcPr>
            <w:tcW w:w="1020" w:type="dxa"/>
            <w:tcBorders>
              <w:top w:val="nil"/>
              <w:left w:val="nil"/>
              <w:bottom w:val="single" w:sz="4" w:space="0" w:color="auto"/>
              <w:right w:val="single" w:sz="4" w:space="0" w:color="auto"/>
            </w:tcBorders>
            <w:shd w:val="clear" w:color="auto" w:fill="auto"/>
            <w:noWrap/>
            <w:vAlign w:val="bottom"/>
            <w:hideMark/>
          </w:tcPr>
          <w:p w14:paraId="35FC6B5E" w14:textId="77777777" w:rsidR="00CA5BB1" w:rsidRPr="00CA5BB1" w:rsidRDefault="60A05D1C" w:rsidP="60A05D1C">
            <w:pPr>
              <w:spacing w:after="0"/>
              <w:jc w:val="right"/>
              <w:rPr>
                <w:sz w:val="18"/>
                <w:szCs w:val="18"/>
              </w:rPr>
            </w:pPr>
            <w:r w:rsidRPr="60A05D1C">
              <w:rPr>
                <w:sz w:val="18"/>
                <w:szCs w:val="18"/>
              </w:rPr>
              <w:t xml:space="preserve">30,0 </w:t>
            </w:r>
          </w:p>
        </w:tc>
        <w:tc>
          <w:tcPr>
            <w:tcW w:w="1180" w:type="dxa"/>
            <w:tcBorders>
              <w:top w:val="nil"/>
              <w:left w:val="nil"/>
              <w:bottom w:val="single" w:sz="4" w:space="0" w:color="auto"/>
              <w:right w:val="single" w:sz="4" w:space="0" w:color="auto"/>
            </w:tcBorders>
            <w:shd w:val="clear" w:color="auto" w:fill="auto"/>
            <w:noWrap/>
            <w:vAlign w:val="bottom"/>
            <w:hideMark/>
          </w:tcPr>
          <w:p w14:paraId="2FAFB450" w14:textId="77777777" w:rsidR="00CA5BB1" w:rsidRPr="00CA5BB1" w:rsidRDefault="60A05D1C" w:rsidP="60A05D1C">
            <w:pPr>
              <w:spacing w:after="0"/>
              <w:jc w:val="right"/>
              <w:rPr>
                <w:sz w:val="18"/>
                <w:szCs w:val="18"/>
              </w:rPr>
            </w:pPr>
            <w:r w:rsidRPr="60A05D1C">
              <w:rPr>
                <w:sz w:val="18"/>
                <w:szCs w:val="18"/>
              </w:rPr>
              <w:t xml:space="preserve">21 792,9 </w:t>
            </w:r>
          </w:p>
        </w:tc>
        <w:tc>
          <w:tcPr>
            <w:tcW w:w="1180" w:type="dxa"/>
            <w:tcBorders>
              <w:top w:val="nil"/>
              <w:left w:val="nil"/>
              <w:bottom w:val="single" w:sz="4" w:space="0" w:color="auto"/>
              <w:right w:val="single" w:sz="4" w:space="0" w:color="auto"/>
            </w:tcBorders>
            <w:shd w:val="clear" w:color="auto" w:fill="auto"/>
            <w:noWrap/>
            <w:vAlign w:val="bottom"/>
            <w:hideMark/>
          </w:tcPr>
          <w:p w14:paraId="02A53FA0" w14:textId="77777777" w:rsidR="00CA5BB1" w:rsidRPr="00CA5BB1" w:rsidRDefault="60A05D1C" w:rsidP="60A05D1C">
            <w:pPr>
              <w:spacing w:after="0"/>
              <w:jc w:val="right"/>
              <w:rPr>
                <w:sz w:val="18"/>
                <w:szCs w:val="18"/>
              </w:rPr>
            </w:pPr>
            <w:r w:rsidRPr="60A05D1C">
              <w:rPr>
                <w:sz w:val="18"/>
                <w:szCs w:val="18"/>
              </w:rPr>
              <w:t xml:space="preserve">8 207,6 </w:t>
            </w:r>
          </w:p>
        </w:tc>
        <w:tc>
          <w:tcPr>
            <w:tcW w:w="1042" w:type="dxa"/>
            <w:tcBorders>
              <w:top w:val="nil"/>
              <w:left w:val="nil"/>
              <w:bottom w:val="single" w:sz="4" w:space="0" w:color="auto"/>
              <w:right w:val="single" w:sz="4" w:space="0" w:color="auto"/>
            </w:tcBorders>
            <w:shd w:val="clear" w:color="auto" w:fill="auto"/>
            <w:noWrap/>
            <w:vAlign w:val="bottom"/>
            <w:hideMark/>
          </w:tcPr>
          <w:p w14:paraId="18869972" w14:textId="77777777" w:rsidR="00CA5BB1" w:rsidRPr="00CA5BB1" w:rsidRDefault="60A05D1C" w:rsidP="60A05D1C">
            <w:pPr>
              <w:spacing w:after="0"/>
              <w:jc w:val="right"/>
              <w:rPr>
                <w:sz w:val="18"/>
                <w:szCs w:val="18"/>
              </w:rPr>
            </w:pPr>
            <w:r w:rsidRPr="60A05D1C">
              <w:rPr>
                <w:sz w:val="18"/>
                <w:szCs w:val="18"/>
              </w:rPr>
              <w:t xml:space="preserve">37,7 </w:t>
            </w:r>
          </w:p>
        </w:tc>
        <w:tc>
          <w:tcPr>
            <w:tcW w:w="1000" w:type="dxa"/>
            <w:tcBorders>
              <w:top w:val="nil"/>
              <w:left w:val="nil"/>
              <w:bottom w:val="single" w:sz="4" w:space="0" w:color="auto"/>
              <w:right w:val="single" w:sz="4" w:space="0" w:color="auto"/>
            </w:tcBorders>
            <w:shd w:val="clear" w:color="auto" w:fill="auto"/>
            <w:noWrap/>
            <w:vAlign w:val="bottom"/>
            <w:hideMark/>
          </w:tcPr>
          <w:p w14:paraId="7EB9665B" w14:textId="77777777" w:rsidR="00CA5BB1" w:rsidRPr="00CA5BB1" w:rsidRDefault="60A05D1C" w:rsidP="60A05D1C">
            <w:pPr>
              <w:spacing w:after="0"/>
              <w:jc w:val="right"/>
              <w:rPr>
                <w:sz w:val="18"/>
                <w:szCs w:val="18"/>
              </w:rPr>
            </w:pPr>
            <w:r w:rsidRPr="60A05D1C">
              <w:rPr>
                <w:sz w:val="18"/>
                <w:szCs w:val="18"/>
              </w:rPr>
              <w:t xml:space="preserve">120,7 </w:t>
            </w:r>
          </w:p>
        </w:tc>
      </w:tr>
    </w:tbl>
    <w:p w14:paraId="5D4F01B7" w14:textId="14F36E25" w:rsidR="000D0735" w:rsidRPr="00DB479B" w:rsidRDefault="000D0735" w:rsidP="7710508F">
      <w:pPr>
        <w:jc w:val="center"/>
        <w:rPr>
          <w:b/>
          <w:bCs/>
        </w:rPr>
      </w:pPr>
    </w:p>
    <w:p w14:paraId="5D4F01B8" w14:textId="77777777" w:rsidR="003C135C" w:rsidRDefault="60A05D1C" w:rsidP="003C135C">
      <w:pPr>
        <w:pStyle w:val="Cmsor2"/>
        <w:spacing w:before="0" w:after="120"/>
      </w:pPr>
      <w:r>
        <w:lastRenderedPageBreak/>
        <w:t xml:space="preserve">A központi alrendszer pénzügyi folyamatainak </w:t>
      </w:r>
      <w:r w:rsidR="25153DD4">
        <w:br/>
      </w:r>
      <w:r>
        <w:t>alakulása</w:t>
      </w:r>
    </w:p>
    <w:p w14:paraId="49F8AB94" w14:textId="77777777" w:rsidR="00953258" w:rsidRPr="00953258" w:rsidRDefault="00953258" w:rsidP="00953258"/>
    <w:p w14:paraId="16926C64" w14:textId="1C5FE3C5" w:rsidR="00D05D14" w:rsidRPr="00D05D14" w:rsidRDefault="60A05D1C" w:rsidP="00D05D14">
      <w:pPr>
        <w:pStyle w:val="Cmsor3"/>
        <w:numPr>
          <w:ilvl w:val="0"/>
          <w:numId w:val="8"/>
        </w:numPr>
        <w:spacing w:before="0" w:after="120"/>
        <w:jc w:val="left"/>
      </w:pPr>
      <w:r w:rsidRPr="60A05D1C">
        <w:rPr>
          <w:sz w:val="26"/>
          <w:szCs w:val="26"/>
        </w:rPr>
        <w:t>A főbb bevételek</w:t>
      </w:r>
    </w:p>
    <w:p w14:paraId="275F3072" w14:textId="28621240" w:rsidR="00D775FA" w:rsidRDefault="60A05D1C" w:rsidP="60A05D1C">
      <w:pPr>
        <w:rPr>
          <w:b/>
          <w:bCs/>
        </w:rPr>
      </w:pPr>
      <w:r w:rsidRPr="60A05D1C">
        <w:rPr>
          <w:b/>
          <w:bCs/>
        </w:rPr>
        <w:t>A központi alrendszer 2020. évi április végi 7480,2 milliárd forint összegű bevételei az előző év azonos időszakához képest 719,3 milliárd forinttal, 10,6%</w:t>
      </w:r>
      <w:r w:rsidR="008E4AA1">
        <w:rPr>
          <w:b/>
          <w:bCs/>
        </w:rPr>
        <w:t>-</w:t>
      </w:r>
      <w:r w:rsidRPr="60A05D1C">
        <w:rPr>
          <w:b/>
          <w:bCs/>
        </w:rPr>
        <w:t>kal magasabb összegben alakultak. Ezen belül kiemelhető, hogy növekedtek az általános forgalmi adóból, a személyi jövedelemadóból, a társasági adóból, valamint a nyugdíj, egészségbiztosítási és munkaerő-piaci járulékokból származó bevételek. Mindezek mellett magasabb összegben teljesültek a költségvetési szervek</w:t>
      </w:r>
      <w:r w:rsidR="002029DC">
        <w:rPr>
          <w:b/>
          <w:bCs/>
        </w:rPr>
        <w:t xml:space="preserve"> bevételei</w:t>
      </w:r>
      <w:r w:rsidRPr="60A05D1C">
        <w:rPr>
          <w:b/>
          <w:bCs/>
        </w:rPr>
        <w:t xml:space="preserve"> és a szakmai fejezeti kezelésű előirányzatok saját bevételei, az állami vagyonnal kapcsolatos befizetések és a Központi Maradványalapba történő befizetések is. Az uniós programok bevételei is jelentősen meghaladták az egy évvel korábbi összeget, tekintettel arra, hogy 2020 áprilisában e mérlegsorra 249,8 milliárd forint uniós bevétel folyt be. A 2020. évben a már törvényi előirányzattal nem rendelkező „Uniós támogatások utólagos megtérítése” sorra április végéig </w:t>
      </w:r>
      <w:proofErr w:type="gramStart"/>
      <w:r w:rsidRPr="60A05D1C">
        <w:rPr>
          <w:b/>
          <w:bCs/>
        </w:rPr>
        <w:t>minimális</w:t>
      </w:r>
      <w:proofErr w:type="gramEnd"/>
      <w:r w:rsidRPr="60A05D1C">
        <w:rPr>
          <w:b/>
          <w:bCs/>
        </w:rPr>
        <w:t xml:space="preserve"> összegű bevétel érkezett.</w:t>
      </w:r>
    </w:p>
    <w:p w14:paraId="7E4823C7" w14:textId="77777777" w:rsidR="00D775FA" w:rsidRPr="00D775FA" w:rsidRDefault="00D775FA" w:rsidP="00D775FA">
      <w:pPr>
        <w:rPr>
          <w:b/>
          <w:bCs/>
        </w:rPr>
      </w:pPr>
    </w:p>
    <w:p w14:paraId="55BB01CE" w14:textId="74842FB6" w:rsidR="00D4389B" w:rsidRDefault="007E6078" w:rsidP="00483A53">
      <w:pPr>
        <w:rPr>
          <w:szCs w:val="26"/>
        </w:rPr>
      </w:pPr>
      <w:r>
        <w:rPr>
          <w:noProof/>
          <w:szCs w:val="26"/>
        </w:rPr>
        <w:drawing>
          <wp:inline distT="0" distB="0" distL="0" distR="0" wp14:anchorId="0E274EE8" wp14:editId="06E07E05">
            <wp:extent cx="5940425" cy="2286635"/>
            <wp:effectExtent l="0" t="0" r="3175"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étel_megoszlás.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2286635"/>
                    </a:xfrm>
                    <a:prstGeom prst="rect">
                      <a:avLst/>
                    </a:prstGeom>
                  </pic:spPr>
                </pic:pic>
              </a:graphicData>
            </a:graphic>
          </wp:inline>
        </w:drawing>
      </w:r>
    </w:p>
    <w:p w14:paraId="1C310303" w14:textId="77777777" w:rsidR="007E6078" w:rsidRDefault="007E6078" w:rsidP="00483A53">
      <w:pPr>
        <w:rPr>
          <w:szCs w:val="26"/>
        </w:rPr>
      </w:pPr>
    </w:p>
    <w:p w14:paraId="34DB17C8" w14:textId="43C4095D" w:rsidR="00F2315A" w:rsidRDefault="60A05D1C" w:rsidP="00E75B9B">
      <w:pPr>
        <w:spacing w:before="120"/>
      </w:pPr>
      <w:r w:rsidRPr="60A05D1C">
        <w:rPr>
          <w:b/>
          <w:bCs/>
        </w:rPr>
        <w:t>Társasági adó</w:t>
      </w:r>
      <w:r>
        <w:t xml:space="preserve"> jogcímen 2020 első négy hónapjában 103,5</w:t>
      </w:r>
      <w:r w:rsidR="00ED5205">
        <w:t> </w:t>
      </w:r>
      <w:r>
        <w:t xml:space="preserve">milliárd forint bevétel </w:t>
      </w:r>
      <w:proofErr w:type="gramStart"/>
      <w:r>
        <w:t>realizálódott</w:t>
      </w:r>
      <w:proofErr w:type="gramEnd"/>
      <w:r>
        <w:t>, amely az előző év azonos időszakához képest 39,3</w:t>
      </w:r>
      <w:r w:rsidR="00234120">
        <w:t> </w:t>
      </w:r>
      <w:r>
        <w:t>milliárd forinttal magasabb. A bázisévhez viszonyítva az eltérést a december havi adóelőleg-kiegészítés eltörlése okozza, melynek következtében a 2019. negyedik negyedévi kötelezettségek befizetése 2020 januárjában teljesült. Valamint szintén a feltöltés eltörlése következtében az adózók a korábbinál kisebb összegben rendelkeztek az adójukról a decemberi adóelőleg-kiegészítéshez kapcsolódóan, így ezek kiutalásából is kevesebb húzódott át 2020 januárjára. Ezen túlmenően az adóelőleg-kötelezettségek is magasabbak voltak.</w:t>
      </w:r>
    </w:p>
    <w:p w14:paraId="36F2DF75" w14:textId="3E58FA14" w:rsidR="000851FF" w:rsidRDefault="60A05D1C" w:rsidP="00E75B9B">
      <w:pPr>
        <w:spacing w:before="120"/>
      </w:pPr>
      <w:r>
        <w:t xml:space="preserve">Az </w:t>
      </w:r>
      <w:r w:rsidRPr="60A05D1C">
        <w:rPr>
          <w:b/>
          <w:bCs/>
        </w:rPr>
        <w:t>egyéb központosított bevételekből</w:t>
      </w:r>
      <w:r>
        <w:t xml:space="preserve"> április végéig összesen 203,3 milliárd forint bevétel teljesült, amely a törvényi előirányzat 34,7%-ának felel meg. Ezen belül kiemelendő az elektronikus útdíj 68,5 milliárd forintot kitevő összege.</w:t>
      </w:r>
      <w:r w:rsidR="25153DD4">
        <w:br w:type="page"/>
      </w:r>
    </w:p>
    <w:tbl>
      <w:tblPr>
        <w:tblW w:w="7936" w:type="dxa"/>
        <w:tblInd w:w="496" w:type="dxa"/>
        <w:tblCellMar>
          <w:left w:w="70" w:type="dxa"/>
          <w:right w:w="70" w:type="dxa"/>
        </w:tblCellMar>
        <w:tblLook w:val="04A0" w:firstRow="1" w:lastRow="0" w:firstColumn="1" w:lastColumn="0" w:noHBand="0" w:noVBand="1"/>
      </w:tblPr>
      <w:tblGrid>
        <w:gridCol w:w="2976"/>
        <w:gridCol w:w="1418"/>
        <w:gridCol w:w="1417"/>
        <w:gridCol w:w="1276"/>
        <w:gridCol w:w="849"/>
      </w:tblGrid>
      <w:tr w:rsidR="00723EB0" w:rsidRPr="00723EB0" w14:paraId="2D01000F" w14:textId="77777777" w:rsidTr="60A05D1C">
        <w:trPr>
          <w:trHeight w:val="396"/>
        </w:trPr>
        <w:tc>
          <w:tcPr>
            <w:tcW w:w="7936" w:type="dxa"/>
            <w:gridSpan w:val="5"/>
            <w:tcBorders>
              <w:top w:val="nil"/>
              <w:left w:val="nil"/>
              <w:bottom w:val="nil"/>
              <w:right w:val="nil"/>
            </w:tcBorders>
            <w:shd w:val="clear" w:color="auto" w:fill="auto"/>
            <w:noWrap/>
            <w:vAlign w:val="bottom"/>
            <w:hideMark/>
          </w:tcPr>
          <w:p w14:paraId="7F925CD9" w14:textId="0473474D" w:rsidR="00723EB0" w:rsidRPr="00723EB0" w:rsidRDefault="60A05D1C" w:rsidP="60A05D1C">
            <w:pPr>
              <w:ind w:left="512" w:hanging="512"/>
              <w:jc w:val="center"/>
              <w:rPr>
                <w:b/>
                <w:bCs/>
                <w:color w:val="000000" w:themeColor="text1"/>
                <w:sz w:val="20"/>
              </w:rPr>
            </w:pPr>
            <w:r w:rsidRPr="60A05D1C">
              <w:rPr>
                <w:b/>
                <w:bCs/>
                <w:color w:val="000000" w:themeColor="text1"/>
                <w:sz w:val="20"/>
              </w:rPr>
              <w:lastRenderedPageBreak/>
              <w:t>Egyéb központosított bevételek alakulása (millió forint)</w:t>
            </w:r>
          </w:p>
        </w:tc>
      </w:tr>
      <w:tr w:rsidR="00780F67" w:rsidRPr="00723EB0" w14:paraId="40D4C144" w14:textId="77777777" w:rsidTr="60A05D1C">
        <w:trPr>
          <w:trHeight w:val="435"/>
        </w:trPr>
        <w:tc>
          <w:tcPr>
            <w:tcW w:w="2976"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237094F" w14:textId="77777777" w:rsidR="00780F67" w:rsidRPr="00723EB0" w:rsidRDefault="60A05D1C" w:rsidP="60A05D1C">
            <w:pPr>
              <w:ind w:left="512" w:hanging="512"/>
              <w:jc w:val="center"/>
              <w:rPr>
                <w:b/>
                <w:bCs/>
                <w:color w:val="000000" w:themeColor="text1"/>
                <w:sz w:val="20"/>
              </w:rPr>
            </w:pPr>
            <w:r w:rsidRPr="60A05D1C">
              <w:rPr>
                <w:b/>
                <w:bCs/>
                <w:color w:val="000000" w:themeColor="text1"/>
                <w:sz w:val="20"/>
              </w:rPr>
              <w:t>Megnevezés</w:t>
            </w:r>
          </w:p>
        </w:tc>
        <w:tc>
          <w:tcPr>
            <w:tcW w:w="1418" w:type="dxa"/>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646CC402" w14:textId="4CC818F9" w:rsidR="00780F67" w:rsidRPr="00723EB0" w:rsidRDefault="60A05D1C" w:rsidP="60A05D1C">
            <w:pPr>
              <w:spacing w:after="0"/>
              <w:jc w:val="center"/>
              <w:rPr>
                <w:b/>
                <w:bCs/>
                <w:sz w:val="20"/>
              </w:rPr>
            </w:pPr>
            <w:r w:rsidRPr="60A05D1C">
              <w:rPr>
                <w:b/>
                <w:bCs/>
                <w:sz w:val="20"/>
              </w:rPr>
              <w:t>2019. I-IV. hó</w:t>
            </w:r>
          </w:p>
        </w:tc>
        <w:tc>
          <w:tcPr>
            <w:tcW w:w="1417" w:type="dxa"/>
            <w:vMerge w:val="restart"/>
            <w:tcBorders>
              <w:top w:val="single" w:sz="8" w:space="0" w:color="auto"/>
              <w:left w:val="single" w:sz="4" w:space="0" w:color="auto"/>
              <w:bottom w:val="single" w:sz="8" w:space="0" w:color="000000" w:themeColor="text1"/>
              <w:right w:val="single" w:sz="8" w:space="0" w:color="auto"/>
            </w:tcBorders>
            <w:shd w:val="clear" w:color="auto" w:fill="auto"/>
            <w:vAlign w:val="center"/>
            <w:hideMark/>
          </w:tcPr>
          <w:p w14:paraId="3BA8764A" w14:textId="4AF836CA" w:rsidR="00780F67" w:rsidRPr="00723EB0" w:rsidRDefault="60A05D1C" w:rsidP="60A05D1C">
            <w:pPr>
              <w:spacing w:after="0"/>
              <w:ind w:left="512" w:hanging="512"/>
              <w:jc w:val="center"/>
              <w:rPr>
                <w:b/>
                <w:bCs/>
                <w:sz w:val="20"/>
              </w:rPr>
            </w:pPr>
            <w:r w:rsidRPr="60A05D1C">
              <w:rPr>
                <w:b/>
                <w:bCs/>
                <w:sz w:val="20"/>
              </w:rPr>
              <w:t>2020. I-IV</w:t>
            </w:r>
            <w:r w:rsidR="00894C7B">
              <w:rPr>
                <w:b/>
                <w:bCs/>
                <w:sz w:val="20"/>
              </w:rPr>
              <w:t>.</w:t>
            </w:r>
            <w:r w:rsidRPr="60A05D1C">
              <w:rPr>
                <w:b/>
                <w:bCs/>
                <w:sz w:val="20"/>
              </w:rPr>
              <w:t xml:space="preserve"> hó</w:t>
            </w:r>
          </w:p>
        </w:tc>
        <w:tc>
          <w:tcPr>
            <w:tcW w:w="212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48CECE7F" w14:textId="77777777" w:rsidR="00780F67" w:rsidRPr="00723EB0" w:rsidRDefault="60A05D1C" w:rsidP="60A05D1C">
            <w:pPr>
              <w:ind w:left="512" w:hanging="512"/>
              <w:jc w:val="center"/>
              <w:rPr>
                <w:b/>
                <w:bCs/>
                <w:color w:val="000000" w:themeColor="text1"/>
                <w:sz w:val="20"/>
              </w:rPr>
            </w:pPr>
            <w:r w:rsidRPr="60A05D1C">
              <w:rPr>
                <w:b/>
                <w:bCs/>
                <w:color w:val="000000" w:themeColor="text1"/>
                <w:sz w:val="20"/>
              </w:rPr>
              <w:t>Eltérés</w:t>
            </w:r>
          </w:p>
        </w:tc>
      </w:tr>
      <w:tr w:rsidR="00780F67" w:rsidRPr="00723EB0" w14:paraId="410332D0" w14:textId="77777777" w:rsidTr="60A05D1C">
        <w:trPr>
          <w:trHeight w:val="373"/>
        </w:trPr>
        <w:tc>
          <w:tcPr>
            <w:tcW w:w="2976" w:type="dxa"/>
            <w:vMerge/>
            <w:tcBorders>
              <w:top w:val="single" w:sz="8" w:space="0" w:color="auto"/>
              <w:left w:val="single" w:sz="8" w:space="0" w:color="auto"/>
              <w:bottom w:val="single" w:sz="8" w:space="0" w:color="000000"/>
              <w:right w:val="single" w:sz="8" w:space="0" w:color="auto"/>
            </w:tcBorders>
            <w:vAlign w:val="center"/>
            <w:hideMark/>
          </w:tcPr>
          <w:p w14:paraId="3D073375" w14:textId="5394FFB6" w:rsidR="00780F67" w:rsidRPr="00723EB0" w:rsidRDefault="00780F67" w:rsidP="00D432CD">
            <w:pPr>
              <w:ind w:left="512" w:hanging="512"/>
              <w:jc w:val="center"/>
              <w:rPr>
                <w:b/>
                <w:bCs/>
                <w:color w:val="000000" w:themeColor="text1"/>
                <w:sz w:val="20"/>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14:paraId="584DDC9B" w14:textId="77777777" w:rsidR="00780F67" w:rsidRPr="00723EB0" w:rsidRDefault="00780F67" w:rsidP="00D432CD">
            <w:pPr>
              <w:ind w:left="512" w:hanging="512"/>
              <w:jc w:val="center"/>
              <w:rPr>
                <w:b/>
                <w:bCs/>
                <w:color w:val="000000" w:themeColor="text1"/>
                <w:sz w:val="20"/>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3E14FCA0" w14:textId="77777777" w:rsidR="00780F67" w:rsidRPr="00723EB0" w:rsidRDefault="00780F67" w:rsidP="00D432CD">
            <w:pPr>
              <w:ind w:left="512" w:hanging="512"/>
              <w:jc w:val="center"/>
              <w:rPr>
                <w:b/>
                <w:bCs/>
                <w:color w:val="000000" w:themeColor="text1"/>
                <w:sz w:val="20"/>
              </w:rPr>
            </w:pPr>
          </w:p>
        </w:tc>
        <w:tc>
          <w:tcPr>
            <w:tcW w:w="1276" w:type="dxa"/>
            <w:tcBorders>
              <w:top w:val="nil"/>
              <w:left w:val="nil"/>
              <w:bottom w:val="single" w:sz="8" w:space="0" w:color="auto"/>
              <w:right w:val="single" w:sz="4" w:space="0" w:color="auto"/>
            </w:tcBorders>
            <w:shd w:val="clear" w:color="auto" w:fill="auto"/>
            <w:vAlign w:val="center"/>
            <w:hideMark/>
          </w:tcPr>
          <w:p w14:paraId="462C698E" w14:textId="09D55B70" w:rsidR="00780F67" w:rsidRPr="00723EB0" w:rsidRDefault="60A05D1C" w:rsidP="60A05D1C">
            <w:pPr>
              <w:spacing w:after="0"/>
              <w:ind w:left="512" w:hanging="512"/>
              <w:jc w:val="center"/>
              <w:rPr>
                <w:b/>
                <w:bCs/>
                <w:color w:val="000000" w:themeColor="text1"/>
                <w:sz w:val="20"/>
              </w:rPr>
            </w:pPr>
            <w:r w:rsidRPr="60A05D1C">
              <w:rPr>
                <w:b/>
                <w:bCs/>
                <w:color w:val="000000" w:themeColor="text1"/>
                <w:sz w:val="20"/>
              </w:rPr>
              <w:t>millió forint</w:t>
            </w:r>
          </w:p>
        </w:tc>
        <w:tc>
          <w:tcPr>
            <w:tcW w:w="849" w:type="dxa"/>
            <w:tcBorders>
              <w:top w:val="nil"/>
              <w:left w:val="nil"/>
              <w:bottom w:val="single" w:sz="8" w:space="0" w:color="auto"/>
              <w:right w:val="single" w:sz="8" w:space="0" w:color="auto"/>
            </w:tcBorders>
            <w:shd w:val="clear" w:color="auto" w:fill="auto"/>
            <w:noWrap/>
            <w:vAlign w:val="center"/>
            <w:hideMark/>
          </w:tcPr>
          <w:p w14:paraId="30DA47DA" w14:textId="77777777" w:rsidR="00780F67" w:rsidRPr="00723EB0" w:rsidRDefault="60A05D1C" w:rsidP="60A05D1C">
            <w:pPr>
              <w:spacing w:after="0"/>
              <w:ind w:left="512" w:hanging="512"/>
              <w:jc w:val="center"/>
              <w:rPr>
                <w:color w:val="000000" w:themeColor="text1"/>
                <w:sz w:val="22"/>
                <w:szCs w:val="22"/>
              </w:rPr>
            </w:pPr>
            <w:r w:rsidRPr="60A05D1C">
              <w:rPr>
                <w:color w:val="000000" w:themeColor="text1"/>
                <w:sz w:val="22"/>
                <w:szCs w:val="22"/>
              </w:rPr>
              <w:t>%</w:t>
            </w:r>
          </w:p>
        </w:tc>
      </w:tr>
      <w:tr w:rsidR="00E763E7" w:rsidRPr="00923DEB" w14:paraId="753D6CE2" w14:textId="77777777" w:rsidTr="60A05D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2C12D61" w14:textId="30A00391" w:rsidR="00E763E7" w:rsidRPr="00723EB0" w:rsidRDefault="60A05D1C" w:rsidP="60A05D1C">
            <w:pPr>
              <w:overflowPunct w:val="0"/>
              <w:autoSpaceDE w:val="0"/>
              <w:autoSpaceDN w:val="0"/>
              <w:adjustRightInd w:val="0"/>
              <w:ind w:left="512" w:hanging="512"/>
              <w:textAlignment w:val="baseline"/>
              <w:rPr>
                <w:color w:val="000000" w:themeColor="text1"/>
                <w:sz w:val="20"/>
              </w:rPr>
            </w:pPr>
            <w:r w:rsidRPr="60A05D1C">
              <w:rPr>
                <w:color w:val="000000" w:themeColor="text1"/>
                <w:sz w:val="20"/>
              </w:rPr>
              <w:t>Rehabilitációs hozzájárulás</w:t>
            </w:r>
          </w:p>
        </w:tc>
        <w:tc>
          <w:tcPr>
            <w:tcW w:w="1418" w:type="dxa"/>
            <w:tcBorders>
              <w:top w:val="nil"/>
              <w:left w:val="single" w:sz="4" w:space="0" w:color="auto"/>
              <w:bottom w:val="single" w:sz="4" w:space="0" w:color="auto"/>
              <w:right w:val="single" w:sz="8" w:space="0" w:color="auto"/>
            </w:tcBorders>
            <w:shd w:val="clear" w:color="auto" w:fill="auto"/>
            <w:noWrap/>
          </w:tcPr>
          <w:p w14:paraId="37F6B795" w14:textId="5618D03A"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46 608,2</w:t>
            </w:r>
          </w:p>
        </w:tc>
        <w:tc>
          <w:tcPr>
            <w:tcW w:w="1417" w:type="dxa"/>
            <w:tcBorders>
              <w:top w:val="nil"/>
              <w:left w:val="single" w:sz="4" w:space="0" w:color="auto"/>
              <w:bottom w:val="single" w:sz="4" w:space="0" w:color="auto"/>
              <w:right w:val="single" w:sz="8" w:space="0" w:color="auto"/>
            </w:tcBorders>
            <w:shd w:val="clear" w:color="auto" w:fill="auto"/>
            <w:noWrap/>
          </w:tcPr>
          <w:p w14:paraId="0EEDA4B3" w14:textId="415059E2"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48 866,8</w:t>
            </w:r>
          </w:p>
        </w:tc>
        <w:tc>
          <w:tcPr>
            <w:tcW w:w="1276" w:type="dxa"/>
            <w:tcBorders>
              <w:top w:val="nil"/>
              <w:left w:val="nil"/>
              <w:bottom w:val="single" w:sz="4" w:space="0" w:color="auto"/>
              <w:right w:val="single" w:sz="4" w:space="0" w:color="auto"/>
            </w:tcBorders>
            <w:shd w:val="clear" w:color="auto" w:fill="auto"/>
            <w:noWrap/>
          </w:tcPr>
          <w:p w14:paraId="4DD42B23" w14:textId="3EDF8EA0" w:rsidR="00E763E7" w:rsidRPr="00E763E7" w:rsidRDefault="60A05D1C" w:rsidP="00842042">
            <w:pPr>
              <w:overflowPunct w:val="0"/>
              <w:autoSpaceDE w:val="0"/>
              <w:autoSpaceDN w:val="0"/>
              <w:adjustRightInd w:val="0"/>
              <w:ind w:left="512" w:hanging="512"/>
              <w:jc w:val="right"/>
              <w:textAlignment w:val="baseline"/>
              <w:rPr>
                <w:sz w:val="20"/>
              </w:rPr>
            </w:pPr>
            <w:r w:rsidRPr="60A05D1C">
              <w:rPr>
                <w:sz w:val="20"/>
              </w:rPr>
              <w:t>2 258,</w:t>
            </w:r>
            <w:r w:rsidR="00842042">
              <w:rPr>
                <w:sz w:val="20"/>
              </w:rPr>
              <w:t>6</w:t>
            </w:r>
          </w:p>
        </w:tc>
        <w:tc>
          <w:tcPr>
            <w:tcW w:w="849" w:type="dxa"/>
            <w:tcBorders>
              <w:top w:val="nil"/>
              <w:left w:val="nil"/>
              <w:bottom w:val="single" w:sz="4" w:space="0" w:color="auto"/>
              <w:right w:val="single" w:sz="8" w:space="0" w:color="auto"/>
            </w:tcBorders>
            <w:shd w:val="clear" w:color="auto" w:fill="auto"/>
            <w:noWrap/>
          </w:tcPr>
          <w:p w14:paraId="5F87BBD3" w14:textId="26384602"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104,8</w:t>
            </w:r>
          </w:p>
        </w:tc>
      </w:tr>
      <w:tr w:rsidR="00E763E7" w:rsidRPr="00923DEB" w14:paraId="5A763D68" w14:textId="77777777" w:rsidTr="60A05D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50871522" w14:textId="1C56AEA9" w:rsidR="00E763E7" w:rsidRPr="00723EB0" w:rsidRDefault="60A05D1C" w:rsidP="60A05D1C">
            <w:pPr>
              <w:overflowPunct w:val="0"/>
              <w:autoSpaceDE w:val="0"/>
              <w:autoSpaceDN w:val="0"/>
              <w:adjustRightInd w:val="0"/>
              <w:ind w:left="512" w:hanging="512"/>
              <w:textAlignment w:val="baseline"/>
              <w:rPr>
                <w:color w:val="000000" w:themeColor="text1"/>
                <w:sz w:val="20"/>
              </w:rPr>
            </w:pPr>
            <w:r w:rsidRPr="60A05D1C">
              <w:rPr>
                <w:color w:val="000000" w:themeColor="text1"/>
                <w:sz w:val="20"/>
              </w:rPr>
              <w:t>Környezetvédelmi termékdíjak</w:t>
            </w:r>
          </w:p>
        </w:tc>
        <w:tc>
          <w:tcPr>
            <w:tcW w:w="1418" w:type="dxa"/>
            <w:tcBorders>
              <w:top w:val="nil"/>
              <w:left w:val="single" w:sz="4" w:space="0" w:color="auto"/>
              <w:bottom w:val="single" w:sz="4" w:space="0" w:color="auto"/>
              <w:right w:val="single" w:sz="8" w:space="0" w:color="auto"/>
            </w:tcBorders>
            <w:shd w:val="clear" w:color="auto" w:fill="auto"/>
            <w:noWrap/>
          </w:tcPr>
          <w:p w14:paraId="69429D14" w14:textId="25234D22"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26 019,2</w:t>
            </w:r>
          </w:p>
        </w:tc>
        <w:tc>
          <w:tcPr>
            <w:tcW w:w="1417" w:type="dxa"/>
            <w:tcBorders>
              <w:top w:val="nil"/>
              <w:left w:val="single" w:sz="4" w:space="0" w:color="auto"/>
              <w:bottom w:val="single" w:sz="4" w:space="0" w:color="auto"/>
              <w:right w:val="single" w:sz="8" w:space="0" w:color="auto"/>
            </w:tcBorders>
            <w:shd w:val="clear" w:color="auto" w:fill="auto"/>
            <w:noWrap/>
          </w:tcPr>
          <w:p w14:paraId="3B90FF67" w14:textId="43132B22"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22 420,8</w:t>
            </w:r>
          </w:p>
        </w:tc>
        <w:tc>
          <w:tcPr>
            <w:tcW w:w="1276" w:type="dxa"/>
            <w:tcBorders>
              <w:top w:val="nil"/>
              <w:left w:val="nil"/>
              <w:bottom w:val="single" w:sz="4" w:space="0" w:color="auto"/>
              <w:right w:val="single" w:sz="4" w:space="0" w:color="auto"/>
            </w:tcBorders>
            <w:shd w:val="clear" w:color="auto" w:fill="auto"/>
            <w:noWrap/>
          </w:tcPr>
          <w:p w14:paraId="44A2E4EA" w14:textId="0055B922" w:rsidR="00E763E7" w:rsidRPr="00E763E7" w:rsidRDefault="60A05D1C" w:rsidP="00CF5B2C">
            <w:pPr>
              <w:overflowPunct w:val="0"/>
              <w:autoSpaceDE w:val="0"/>
              <w:autoSpaceDN w:val="0"/>
              <w:adjustRightInd w:val="0"/>
              <w:ind w:left="512" w:hanging="512"/>
              <w:jc w:val="right"/>
              <w:textAlignment w:val="baseline"/>
              <w:rPr>
                <w:sz w:val="20"/>
              </w:rPr>
            </w:pPr>
            <w:r w:rsidRPr="60A05D1C">
              <w:rPr>
                <w:sz w:val="20"/>
              </w:rPr>
              <w:t>-3 598,</w:t>
            </w:r>
            <w:r w:rsidR="00CF5B2C">
              <w:rPr>
                <w:sz w:val="20"/>
              </w:rPr>
              <w:t>4</w:t>
            </w:r>
          </w:p>
        </w:tc>
        <w:tc>
          <w:tcPr>
            <w:tcW w:w="849" w:type="dxa"/>
            <w:tcBorders>
              <w:top w:val="nil"/>
              <w:left w:val="nil"/>
              <w:bottom w:val="single" w:sz="4" w:space="0" w:color="auto"/>
              <w:right w:val="single" w:sz="8" w:space="0" w:color="auto"/>
            </w:tcBorders>
            <w:shd w:val="clear" w:color="auto" w:fill="auto"/>
            <w:noWrap/>
          </w:tcPr>
          <w:p w14:paraId="3834BE53" w14:textId="2E17A285"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86,2</w:t>
            </w:r>
          </w:p>
        </w:tc>
      </w:tr>
      <w:tr w:rsidR="00E763E7" w:rsidRPr="00923DEB" w14:paraId="5D3B11E5" w14:textId="77777777" w:rsidTr="60A05D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051EB506" w14:textId="4CD895AC" w:rsidR="00E763E7" w:rsidRPr="00723EB0" w:rsidRDefault="60A05D1C" w:rsidP="60A05D1C">
            <w:pPr>
              <w:overflowPunct w:val="0"/>
              <w:autoSpaceDE w:val="0"/>
              <w:autoSpaceDN w:val="0"/>
              <w:adjustRightInd w:val="0"/>
              <w:ind w:left="512" w:hanging="512"/>
              <w:textAlignment w:val="baseline"/>
              <w:rPr>
                <w:color w:val="000000" w:themeColor="text1"/>
                <w:sz w:val="20"/>
              </w:rPr>
            </w:pPr>
            <w:proofErr w:type="spellStart"/>
            <w:r w:rsidRPr="60A05D1C">
              <w:rPr>
                <w:color w:val="000000" w:themeColor="text1"/>
                <w:sz w:val="20"/>
              </w:rPr>
              <w:t>Vízkészletjárulék</w:t>
            </w:r>
            <w:proofErr w:type="spellEnd"/>
          </w:p>
        </w:tc>
        <w:tc>
          <w:tcPr>
            <w:tcW w:w="1418" w:type="dxa"/>
            <w:tcBorders>
              <w:top w:val="nil"/>
              <w:left w:val="single" w:sz="4" w:space="0" w:color="auto"/>
              <w:bottom w:val="single" w:sz="4" w:space="0" w:color="auto"/>
              <w:right w:val="single" w:sz="8" w:space="0" w:color="auto"/>
            </w:tcBorders>
            <w:shd w:val="clear" w:color="auto" w:fill="auto"/>
            <w:noWrap/>
          </w:tcPr>
          <w:p w14:paraId="06134C6C" w14:textId="50AEF9EC"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4 541,6</w:t>
            </w:r>
          </w:p>
        </w:tc>
        <w:tc>
          <w:tcPr>
            <w:tcW w:w="1417" w:type="dxa"/>
            <w:tcBorders>
              <w:top w:val="nil"/>
              <w:left w:val="single" w:sz="4" w:space="0" w:color="auto"/>
              <w:bottom w:val="single" w:sz="4" w:space="0" w:color="auto"/>
              <w:right w:val="single" w:sz="8" w:space="0" w:color="auto"/>
            </w:tcBorders>
            <w:shd w:val="clear" w:color="auto" w:fill="auto"/>
            <w:noWrap/>
          </w:tcPr>
          <w:p w14:paraId="2D678947" w14:textId="75A20B8F"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4 899,2</w:t>
            </w:r>
          </w:p>
        </w:tc>
        <w:tc>
          <w:tcPr>
            <w:tcW w:w="1276" w:type="dxa"/>
            <w:tcBorders>
              <w:top w:val="nil"/>
              <w:left w:val="nil"/>
              <w:bottom w:val="single" w:sz="4" w:space="0" w:color="auto"/>
              <w:right w:val="single" w:sz="4" w:space="0" w:color="auto"/>
            </w:tcBorders>
            <w:shd w:val="clear" w:color="auto" w:fill="auto"/>
            <w:noWrap/>
          </w:tcPr>
          <w:p w14:paraId="780A2B8D" w14:textId="436B03B6"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357,6</w:t>
            </w:r>
          </w:p>
        </w:tc>
        <w:tc>
          <w:tcPr>
            <w:tcW w:w="849" w:type="dxa"/>
            <w:tcBorders>
              <w:top w:val="nil"/>
              <w:left w:val="nil"/>
              <w:bottom w:val="single" w:sz="4" w:space="0" w:color="auto"/>
              <w:right w:val="single" w:sz="8" w:space="0" w:color="auto"/>
            </w:tcBorders>
            <w:shd w:val="clear" w:color="auto" w:fill="auto"/>
            <w:noWrap/>
          </w:tcPr>
          <w:p w14:paraId="3935BA5B" w14:textId="17E665D9"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107,9</w:t>
            </w:r>
          </w:p>
        </w:tc>
      </w:tr>
      <w:tr w:rsidR="00E763E7" w:rsidRPr="00923DEB" w14:paraId="036E62E4" w14:textId="77777777" w:rsidTr="60A05D1C">
        <w:trPr>
          <w:trHeight w:val="319"/>
        </w:trPr>
        <w:tc>
          <w:tcPr>
            <w:tcW w:w="2976" w:type="dxa"/>
            <w:tcBorders>
              <w:top w:val="nil"/>
              <w:left w:val="single" w:sz="8" w:space="0" w:color="auto"/>
              <w:bottom w:val="single" w:sz="4" w:space="0" w:color="auto"/>
              <w:right w:val="single" w:sz="8" w:space="0" w:color="auto"/>
            </w:tcBorders>
            <w:shd w:val="clear" w:color="auto" w:fill="auto"/>
            <w:hideMark/>
          </w:tcPr>
          <w:p w14:paraId="3E2A5A0E" w14:textId="1E9EF1BF" w:rsidR="00E763E7" w:rsidRPr="00723EB0" w:rsidRDefault="60A05D1C" w:rsidP="60A05D1C">
            <w:pPr>
              <w:overflowPunct w:val="0"/>
              <w:autoSpaceDE w:val="0"/>
              <w:autoSpaceDN w:val="0"/>
              <w:adjustRightInd w:val="0"/>
              <w:ind w:left="512" w:hanging="512"/>
              <w:textAlignment w:val="baseline"/>
              <w:rPr>
                <w:color w:val="000000" w:themeColor="text1"/>
                <w:sz w:val="20"/>
              </w:rPr>
            </w:pPr>
            <w:r w:rsidRPr="60A05D1C">
              <w:rPr>
                <w:color w:val="000000" w:themeColor="text1"/>
                <w:sz w:val="20"/>
              </w:rPr>
              <w:t>Hulladéklerakási járulék</w:t>
            </w:r>
          </w:p>
        </w:tc>
        <w:tc>
          <w:tcPr>
            <w:tcW w:w="1418" w:type="dxa"/>
            <w:tcBorders>
              <w:top w:val="nil"/>
              <w:left w:val="single" w:sz="4" w:space="0" w:color="auto"/>
              <w:bottom w:val="single" w:sz="4" w:space="0" w:color="auto"/>
              <w:right w:val="single" w:sz="8" w:space="0" w:color="auto"/>
            </w:tcBorders>
            <w:shd w:val="clear" w:color="auto" w:fill="auto"/>
            <w:noWrap/>
          </w:tcPr>
          <w:p w14:paraId="79CD9915" w14:textId="679A1563"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6 013,8</w:t>
            </w:r>
          </w:p>
        </w:tc>
        <w:tc>
          <w:tcPr>
            <w:tcW w:w="1417" w:type="dxa"/>
            <w:tcBorders>
              <w:top w:val="nil"/>
              <w:left w:val="single" w:sz="4" w:space="0" w:color="auto"/>
              <w:bottom w:val="single" w:sz="4" w:space="0" w:color="auto"/>
              <w:right w:val="single" w:sz="8" w:space="0" w:color="auto"/>
            </w:tcBorders>
            <w:shd w:val="clear" w:color="auto" w:fill="auto"/>
            <w:noWrap/>
          </w:tcPr>
          <w:p w14:paraId="5F76BE34" w14:textId="586A1592"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6 365,3</w:t>
            </w:r>
          </w:p>
        </w:tc>
        <w:tc>
          <w:tcPr>
            <w:tcW w:w="1276" w:type="dxa"/>
            <w:tcBorders>
              <w:top w:val="nil"/>
              <w:left w:val="nil"/>
              <w:bottom w:val="single" w:sz="4" w:space="0" w:color="auto"/>
              <w:right w:val="single" w:sz="4" w:space="0" w:color="auto"/>
            </w:tcBorders>
            <w:shd w:val="clear" w:color="auto" w:fill="auto"/>
            <w:noWrap/>
          </w:tcPr>
          <w:p w14:paraId="696BA93B" w14:textId="0810C2F2"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351,5</w:t>
            </w:r>
          </w:p>
        </w:tc>
        <w:tc>
          <w:tcPr>
            <w:tcW w:w="849" w:type="dxa"/>
            <w:tcBorders>
              <w:top w:val="nil"/>
              <w:left w:val="nil"/>
              <w:bottom w:val="single" w:sz="4" w:space="0" w:color="auto"/>
              <w:right w:val="single" w:sz="8" w:space="0" w:color="auto"/>
            </w:tcBorders>
            <w:shd w:val="clear" w:color="auto" w:fill="auto"/>
            <w:noWrap/>
          </w:tcPr>
          <w:p w14:paraId="62481C31" w14:textId="33D7D0A8"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105,8</w:t>
            </w:r>
          </w:p>
        </w:tc>
      </w:tr>
      <w:tr w:rsidR="00E763E7" w:rsidRPr="00923DEB" w14:paraId="2B8FF813" w14:textId="77777777" w:rsidTr="60A05D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CD46533" w14:textId="6E246FE2" w:rsidR="00E763E7" w:rsidRPr="00723EB0" w:rsidRDefault="60A05D1C" w:rsidP="60A05D1C">
            <w:pPr>
              <w:overflowPunct w:val="0"/>
              <w:autoSpaceDE w:val="0"/>
              <w:autoSpaceDN w:val="0"/>
              <w:adjustRightInd w:val="0"/>
              <w:ind w:left="512" w:hanging="512"/>
              <w:textAlignment w:val="baseline"/>
              <w:rPr>
                <w:color w:val="000000" w:themeColor="text1"/>
                <w:sz w:val="20"/>
              </w:rPr>
            </w:pPr>
            <w:r w:rsidRPr="60A05D1C">
              <w:rPr>
                <w:color w:val="000000" w:themeColor="text1"/>
                <w:sz w:val="20"/>
              </w:rPr>
              <w:t>Elektronikus útdíj</w:t>
            </w:r>
          </w:p>
        </w:tc>
        <w:tc>
          <w:tcPr>
            <w:tcW w:w="1418" w:type="dxa"/>
            <w:tcBorders>
              <w:top w:val="nil"/>
              <w:left w:val="single" w:sz="4" w:space="0" w:color="auto"/>
              <w:bottom w:val="single" w:sz="4" w:space="0" w:color="auto"/>
              <w:right w:val="single" w:sz="8" w:space="0" w:color="auto"/>
            </w:tcBorders>
            <w:shd w:val="clear" w:color="auto" w:fill="auto"/>
            <w:noWrap/>
          </w:tcPr>
          <w:p w14:paraId="3B3B1AFD" w14:textId="5269A2C6"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65 531,6</w:t>
            </w:r>
          </w:p>
        </w:tc>
        <w:tc>
          <w:tcPr>
            <w:tcW w:w="1417" w:type="dxa"/>
            <w:tcBorders>
              <w:top w:val="nil"/>
              <w:left w:val="single" w:sz="4" w:space="0" w:color="auto"/>
              <w:bottom w:val="single" w:sz="4" w:space="0" w:color="auto"/>
              <w:right w:val="single" w:sz="8" w:space="0" w:color="auto"/>
            </w:tcBorders>
            <w:shd w:val="clear" w:color="auto" w:fill="auto"/>
            <w:noWrap/>
          </w:tcPr>
          <w:p w14:paraId="65871DFF" w14:textId="5A8E4719"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68 474,4</w:t>
            </w:r>
          </w:p>
        </w:tc>
        <w:tc>
          <w:tcPr>
            <w:tcW w:w="1276" w:type="dxa"/>
            <w:tcBorders>
              <w:top w:val="nil"/>
              <w:left w:val="nil"/>
              <w:bottom w:val="single" w:sz="4" w:space="0" w:color="auto"/>
              <w:right w:val="single" w:sz="4" w:space="0" w:color="auto"/>
            </w:tcBorders>
            <w:shd w:val="clear" w:color="auto" w:fill="auto"/>
            <w:noWrap/>
          </w:tcPr>
          <w:p w14:paraId="0B96A16C" w14:textId="046C6076"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2 942,8</w:t>
            </w:r>
          </w:p>
        </w:tc>
        <w:tc>
          <w:tcPr>
            <w:tcW w:w="849" w:type="dxa"/>
            <w:tcBorders>
              <w:top w:val="nil"/>
              <w:left w:val="nil"/>
              <w:bottom w:val="single" w:sz="4" w:space="0" w:color="auto"/>
              <w:right w:val="single" w:sz="8" w:space="0" w:color="auto"/>
            </w:tcBorders>
            <w:shd w:val="clear" w:color="auto" w:fill="auto"/>
            <w:noWrap/>
          </w:tcPr>
          <w:p w14:paraId="2CBB6149" w14:textId="13EBF88A"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104,5</w:t>
            </w:r>
          </w:p>
        </w:tc>
      </w:tr>
      <w:tr w:rsidR="00E763E7" w:rsidRPr="00923DEB" w14:paraId="01244098" w14:textId="77777777" w:rsidTr="60A05D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D2CC07A" w14:textId="42659F3A" w:rsidR="00E763E7" w:rsidRPr="00723EB0" w:rsidRDefault="60A05D1C" w:rsidP="60A05D1C">
            <w:pPr>
              <w:overflowPunct w:val="0"/>
              <w:autoSpaceDE w:val="0"/>
              <w:autoSpaceDN w:val="0"/>
              <w:adjustRightInd w:val="0"/>
              <w:ind w:left="512" w:hanging="512"/>
              <w:textAlignment w:val="baseline"/>
              <w:rPr>
                <w:color w:val="000000" w:themeColor="text1"/>
                <w:sz w:val="20"/>
              </w:rPr>
            </w:pPr>
            <w:r w:rsidRPr="60A05D1C">
              <w:rPr>
                <w:color w:val="000000" w:themeColor="text1"/>
                <w:sz w:val="20"/>
              </w:rPr>
              <w:t>Korkedvezmény-biztosítási járulék</w:t>
            </w:r>
          </w:p>
        </w:tc>
        <w:tc>
          <w:tcPr>
            <w:tcW w:w="1418" w:type="dxa"/>
            <w:tcBorders>
              <w:top w:val="nil"/>
              <w:left w:val="single" w:sz="4" w:space="0" w:color="auto"/>
              <w:bottom w:val="single" w:sz="4" w:space="0" w:color="auto"/>
              <w:right w:val="single" w:sz="8" w:space="0" w:color="auto"/>
            </w:tcBorders>
            <w:shd w:val="clear" w:color="auto" w:fill="auto"/>
            <w:noWrap/>
          </w:tcPr>
          <w:p w14:paraId="48E0DE6A" w14:textId="4F63CC2F"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-0,9</w:t>
            </w:r>
          </w:p>
        </w:tc>
        <w:tc>
          <w:tcPr>
            <w:tcW w:w="1417" w:type="dxa"/>
            <w:tcBorders>
              <w:top w:val="nil"/>
              <w:left w:val="single" w:sz="4" w:space="0" w:color="auto"/>
              <w:bottom w:val="single" w:sz="4" w:space="0" w:color="auto"/>
              <w:right w:val="single" w:sz="8" w:space="0" w:color="auto"/>
            </w:tcBorders>
            <w:shd w:val="clear" w:color="auto" w:fill="auto"/>
            <w:noWrap/>
          </w:tcPr>
          <w:p w14:paraId="75C15708" w14:textId="1EB1463B"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5,0</w:t>
            </w:r>
          </w:p>
        </w:tc>
        <w:tc>
          <w:tcPr>
            <w:tcW w:w="1276" w:type="dxa"/>
            <w:tcBorders>
              <w:top w:val="nil"/>
              <w:left w:val="nil"/>
              <w:bottom w:val="single" w:sz="4" w:space="0" w:color="auto"/>
              <w:right w:val="single" w:sz="4" w:space="0" w:color="auto"/>
            </w:tcBorders>
            <w:shd w:val="clear" w:color="auto" w:fill="auto"/>
            <w:noWrap/>
          </w:tcPr>
          <w:p w14:paraId="1534B589" w14:textId="5A67FCC7"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5,9</w:t>
            </w:r>
          </w:p>
        </w:tc>
        <w:tc>
          <w:tcPr>
            <w:tcW w:w="849" w:type="dxa"/>
            <w:tcBorders>
              <w:top w:val="nil"/>
              <w:left w:val="nil"/>
              <w:bottom w:val="single" w:sz="4" w:space="0" w:color="auto"/>
              <w:right w:val="single" w:sz="8" w:space="0" w:color="auto"/>
            </w:tcBorders>
            <w:shd w:val="clear" w:color="auto" w:fill="auto"/>
            <w:noWrap/>
          </w:tcPr>
          <w:p w14:paraId="22250457" w14:textId="173BCD21" w:rsidR="00E763E7" w:rsidRPr="00E763E7" w:rsidRDefault="00E763E7" w:rsidP="47EA88FE">
            <w:pPr>
              <w:overflowPunct w:val="0"/>
              <w:autoSpaceDE w:val="0"/>
              <w:autoSpaceDN w:val="0"/>
              <w:adjustRightInd w:val="0"/>
              <w:ind w:left="512" w:hanging="512"/>
              <w:jc w:val="right"/>
              <w:textAlignment w:val="baseline"/>
              <w:rPr>
                <w:sz w:val="20"/>
              </w:rPr>
            </w:pPr>
          </w:p>
        </w:tc>
      </w:tr>
      <w:tr w:rsidR="00E763E7" w:rsidRPr="00923DEB" w14:paraId="6A89324A" w14:textId="77777777" w:rsidTr="60A05D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66CEC987" w14:textId="0CD8F311" w:rsidR="00E763E7" w:rsidRPr="00723EB0" w:rsidRDefault="60A05D1C" w:rsidP="60A05D1C">
            <w:pPr>
              <w:overflowPunct w:val="0"/>
              <w:autoSpaceDE w:val="0"/>
              <w:autoSpaceDN w:val="0"/>
              <w:adjustRightInd w:val="0"/>
              <w:ind w:left="512" w:hanging="512"/>
              <w:textAlignment w:val="baseline"/>
              <w:rPr>
                <w:color w:val="000000" w:themeColor="text1"/>
                <w:sz w:val="20"/>
              </w:rPr>
            </w:pPr>
            <w:r w:rsidRPr="60A05D1C">
              <w:rPr>
                <w:color w:val="000000" w:themeColor="text1"/>
                <w:sz w:val="20"/>
              </w:rPr>
              <w:t>Időalapú útdíj</w:t>
            </w:r>
          </w:p>
        </w:tc>
        <w:tc>
          <w:tcPr>
            <w:tcW w:w="1418" w:type="dxa"/>
            <w:tcBorders>
              <w:top w:val="nil"/>
              <w:left w:val="single" w:sz="4" w:space="0" w:color="auto"/>
              <w:bottom w:val="single" w:sz="4" w:space="0" w:color="auto"/>
              <w:right w:val="single" w:sz="8" w:space="0" w:color="auto"/>
            </w:tcBorders>
            <w:shd w:val="clear" w:color="auto" w:fill="auto"/>
            <w:noWrap/>
          </w:tcPr>
          <w:p w14:paraId="261636BC" w14:textId="164F250F"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33 184,0</w:t>
            </w:r>
          </w:p>
        </w:tc>
        <w:tc>
          <w:tcPr>
            <w:tcW w:w="1417" w:type="dxa"/>
            <w:tcBorders>
              <w:top w:val="nil"/>
              <w:left w:val="single" w:sz="4" w:space="0" w:color="auto"/>
              <w:bottom w:val="single" w:sz="4" w:space="0" w:color="auto"/>
              <w:right w:val="single" w:sz="8" w:space="0" w:color="auto"/>
            </w:tcBorders>
            <w:shd w:val="clear" w:color="auto" w:fill="auto"/>
            <w:noWrap/>
          </w:tcPr>
          <w:p w14:paraId="3D3E7E73" w14:textId="349211AF"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35 268,9</w:t>
            </w:r>
          </w:p>
        </w:tc>
        <w:tc>
          <w:tcPr>
            <w:tcW w:w="1276" w:type="dxa"/>
            <w:tcBorders>
              <w:top w:val="nil"/>
              <w:left w:val="nil"/>
              <w:bottom w:val="single" w:sz="4" w:space="0" w:color="auto"/>
              <w:right w:val="single" w:sz="4" w:space="0" w:color="auto"/>
            </w:tcBorders>
            <w:shd w:val="clear" w:color="auto" w:fill="auto"/>
            <w:noWrap/>
          </w:tcPr>
          <w:p w14:paraId="2185C571" w14:textId="11C46F87"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2 084,9</w:t>
            </w:r>
          </w:p>
        </w:tc>
        <w:tc>
          <w:tcPr>
            <w:tcW w:w="849" w:type="dxa"/>
            <w:tcBorders>
              <w:top w:val="nil"/>
              <w:left w:val="nil"/>
              <w:bottom w:val="single" w:sz="4" w:space="0" w:color="auto"/>
              <w:right w:val="single" w:sz="8" w:space="0" w:color="auto"/>
            </w:tcBorders>
            <w:shd w:val="clear" w:color="auto" w:fill="auto"/>
            <w:noWrap/>
          </w:tcPr>
          <w:p w14:paraId="23F4345A" w14:textId="244B94F9"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106,3</w:t>
            </w:r>
          </w:p>
        </w:tc>
      </w:tr>
      <w:tr w:rsidR="00E763E7" w:rsidRPr="00923DEB" w14:paraId="450B7EA2" w14:textId="77777777" w:rsidTr="60A05D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2C5B39AB" w14:textId="7B7EB5CF" w:rsidR="00E763E7" w:rsidRPr="00723EB0" w:rsidRDefault="60A05D1C" w:rsidP="60A05D1C">
            <w:pPr>
              <w:overflowPunct w:val="0"/>
              <w:autoSpaceDE w:val="0"/>
              <w:autoSpaceDN w:val="0"/>
              <w:adjustRightInd w:val="0"/>
              <w:ind w:left="512" w:hanging="512"/>
              <w:textAlignment w:val="baseline"/>
              <w:rPr>
                <w:color w:val="000000" w:themeColor="text1"/>
                <w:sz w:val="20"/>
              </w:rPr>
            </w:pPr>
            <w:r w:rsidRPr="60A05D1C">
              <w:rPr>
                <w:color w:val="000000" w:themeColor="text1"/>
                <w:sz w:val="20"/>
              </w:rPr>
              <w:t>Bírságok és függő tételek</w:t>
            </w:r>
          </w:p>
        </w:tc>
        <w:tc>
          <w:tcPr>
            <w:tcW w:w="1418" w:type="dxa"/>
            <w:tcBorders>
              <w:top w:val="nil"/>
              <w:left w:val="single" w:sz="4" w:space="0" w:color="auto"/>
              <w:bottom w:val="single" w:sz="4" w:space="0" w:color="auto"/>
              <w:right w:val="single" w:sz="8" w:space="0" w:color="auto"/>
            </w:tcBorders>
            <w:shd w:val="clear" w:color="auto" w:fill="auto"/>
            <w:noWrap/>
          </w:tcPr>
          <w:p w14:paraId="42C02778" w14:textId="224BD7C5"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17 752,0</w:t>
            </w:r>
          </w:p>
        </w:tc>
        <w:tc>
          <w:tcPr>
            <w:tcW w:w="1417" w:type="dxa"/>
            <w:tcBorders>
              <w:top w:val="nil"/>
              <w:left w:val="single" w:sz="4" w:space="0" w:color="auto"/>
              <w:bottom w:val="single" w:sz="4" w:space="0" w:color="auto"/>
              <w:right w:val="single" w:sz="8" w:space="0" w:color="auto"/>
            </w:tcBorders>
            <w:shd w:val="clear" w:color="auto" w:fill="auto"/>
            <w:noWrap/>
          </w:tcPr>
          <w:p w14:paraId="60B6F1F8" w14:textId="178B9457"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15 200,5</w:t>
            </w:r>
          </w:p>
        </w:tc>
        <w:tc>
          <w:tcPr>
            <w:tcW w:w="1276" w:type="dxa"/>
            <w:tcBorders>
              <w:top w:val="nil"/>
              <w:left w:val="nil"/>
              <w:bottom w:val="single" w:sz="4" w:space="0" w:color="auto"/>
              <w:right w:val="single" w:sz="4" w:space="0" w:color="auto"/>
            </w:tcBorders>
            <w:shd w:val="clear" w:color="auto" w:fill="auto"/>
            <w:noWrap/>
          </w:tcPr>
          <w:p w14:paraId="656DACF4" w14:textId="3A2D75FC"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-2 551,5</w:t>
            </w:r>
          </w:p>
        </w:tc>
        <w:tc>
          <w:tcPr>
            <w:tcW w:w="849" w:type="dxa"/>
            <w:tcBorders>
              <w:top w:val="nil"/>
              <w:left w:val="nil"/>
              <w:bottom w:val="single" w:sz="4" w:space="0" w:color="auto"/>
              <w:right w:val="single" w:sz="8" w:space="0" w:color="auto"/>
            </w:tcBorders>
            <w:shd w:val="clear" w:color="auto" w:fill="auto"/>
            <w:noWrap/>
          </w:tcPr>
          <w:p w14:paraId="3B910221" w14:textId="04551661"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85,6</w:t>
            </w:r>
          </w:p>
        </w:tc>
      </w:tr>
      <w:tr w:rsidR="00E763E7" w:rsidRPr="00923DEB" w14:paraId="160B4B20" w14:textId="77777777" w:rsidTr="60A05D1C">
        <w:trPr>
          <w:trHeight w:val="319"/>
        </w:trPr>
        <w:tc>
          <w:tcPr>
            <w:tcW w:w="2976" w:type="dxa"/>
            <w:tcBorders>
              <w:top w:val="nil"/>
              <w:left w:val="single" w:sz="8" w:space="0" w:color="auto"/>
              <w:bottom w:val="single" w:sz="8" w:space="0" w:color="auto"/>
              <w:right w:val="single" w:sz="8" w:space="0" w:color="auto"/>
            </w:tcBorders>
            <w:shd w:val="clear" w:color="auto" w:fill="auto"/>
            <w:noWrap/>
            <w:vAlign w:val="center"/>
            <w:hideMark/>
          </w:tcPr>
          <w:p w14:paraId="6505F41A" w14:textId="7DC54D38" w:rsidR="00E763E7" w:rsidRPr="00723EB0" w:rsidRDefault="60A05D1C" w:rsidP="60A05D1C">
            <w:pPr>
              <w:overflowPunct w:val="0"/>
              <w:autoSpaceDE w:val="0"/>
              <w:autoSpaceDN w:val="0"/>
              <w:adjustRightInd w:val="0"/>
              <w:ind w:left="512" w:hanging="512"/>
              <w:textAlignment w:val="baseline"/>
              <w:rPr>
                <w:color w:val="000000" w:themeColor="text1"/>
                <w:sz w:val="20"/>
              </w:rPr>
            </w:pPr>
            <w:r w:rsidRPr="60A05D1C">
              <w:rPr>
                <w:color w:val="000000" w:themeColor="text1"/>
                <w:sz w:val="20"/>
              </w:rPr>
              <w:t>Egyéb tételek összesen</w:t>
            </w:r>
          </w:p>
        </w:tc>
        <w:tc>
          <w:tcPr>
            <w:tcW w:w="1418" w:type="dxa"/>
            <w:tcBorders>
              <w:top w:val="nil"/>
              <w:left w:val="single" w:sz="4" w:space="0" w:color="auto"/>
              <w:bottom w:val="single" w:sz="4" w:space="0" w:color="auto"/>
              <w:right w:val="single" w:sz="8" w:space="0" w:color="auto"/>
            </w:tcBorders>
            <w:shd w:val="clear" w:color="auto" w:fill="auto"/>
            <w:noWrap/>
          </w:tcPr>
          <w:p w14:paraId="30726ED3" w14:textId="410E57DE" w:rsidR="00E763E7" w:rsidRPr="00E763E7" w:rsidRDefault="60A05D1C" w:rsidP="0071304C">
            <w:pPr>
              <w:overflowPunct w:val="0"/>
              <w:autoSpaceDE w:val="0"/>
              <w:autoSpaceDN w:val="0"/>
              <w:adjustRightInd w:val="0"/>
              <w:ind w:left="512" w:hanging="512"/>
              <w:jc w:val="right"/>
              <w:textAlignment w:val="baseline"/>
              <w:rPr>
                <w:sz w:val="20"/>
              </w:rPr>
            </w:pPr>
            <w:r w:rsidRPr="60A05D1C">
              <w:rPr>
                <w:sz w:val="20"/>
              </w:rPr>
              <w:t>4 180,</w:t>
            </w:r>
            <w:r w:rsidR="0071304C">
              <w:rPr>
                <w:sz w:val="20"/>
              </w:rPr>
              <w:t>6</w:t>
            </w:r>
          </w:p>
        </w:tc>
        <w:tc>
          <w:tcPr>
            <w:tcW w:w="1417" w:type="dxa"/>
            <w:tcBorders>
              <w:top w:val="nil"/>
              <w:left w:val="single" w:sz="4" w:space="0" w:color="auto"/>
              <w:bottom w:val="single" w:sz="4" w:space="0" w:color="auto"/>
              <w:right w:val="single" w:sz="8" w:space="0" w:color="auto"/>
            </w:tcBorders>
            <w:shd w:val="clear" w:color="auto" w:fill="auto"/>
            <w:noWrap/>
          </w:tcPr>
          <w:p w14:paraId="31126547" w14:textId="152C8564" w:rsidR="00E763E7" w:rsidRPr="00E763E7" w:rsidRDefault="60A05D1C" w:rsidP="00E64708">
            <w:pPr>
              <w:overflowPunct w:val="0"/>
              <w:autoSpaceDE w:val="0"/>
              <w:autoSpaceDN w:val="0"/>
              <w:adjustRightInd w:val="0"/>
              <w:ind w:left="512" w:hanging="512"/>
              <w:jc w:val="right"/>
              <w:textAlignment w:val="baseline"/>
              <w:rPr>
                <w:sz w:val="20"/>
              </w:rPr>
            </w:pPr>
            <w:r w:rsidRPr="60A05D1C">
              <w:rPr>
                <w:sz w:val="20"/>
              </w:rPr>
              <w:t>1 804,</w:t>
            </w:r>
            <w:r w:rsidR="00E64708">
              <w:rPr>
                <w:sz w:val="20"/>
              </w:rPr>
              <w:t>0</w:t>
            </w:r>
          </w:p>
        </w:tc>
        <w:tc>
          <w:tcPr>
            <w:tcW w:w="1276" w:type="dxa"/>
            <w:tcBorders>
              <w:top w:val="nil"/>
              <w:left w:val="nil"/>
              <w:bottom w:val="single" w:sz="8" w:space="0" w:color="auto"/>
              <w:right w:val="single" w:sz="4" w:space="0" w:color="auto"/>
            </w:tcBorders>
            <w:shd w:val="clear" w:color="auto" w:fill="auto"/>
            <w:noWrap/>
          </w:tcPr>
          <w:p w14:paraId="29C4195B" w14:textId="34E179A7" w:rsidR="00E763E7" w:rsidRPr="00E763E7" w:rsidRDefault="60A05D1C" w:rsidP="00D818FD">
            <w:pPr>
              <w:overflowPunct w:val="0"/>
              <w:autoSpaceDE w:val="0"/>
              <w:autoSpaceDN w:val="0"/>
              <w:adjustRightInd w:val="0"/>
              <w:ind w:left="512" w:hanging="512"/>
              <w:jc w:val="right"/>
              <w:textAlignment w:val="baseline"/>
              <w:rPr>
                <w:sz w:val="20"/>
              </w:rPr>
            </w:pPr>
            <w:r w:rsidRPr="60A05D1C">
              <w:rPr>
                <w:sz w:val="20"/>
              </w:rPr>
              <w:t>-2 376,</w:t>
            </w:r>
            <w:r w:rsidR="00D818FD">
              <w:rPr>
                <w:sz w:val="20"/>
              </w:rPr>
              <w:t>6</w:t>
            </w:r>
          </w:p>
        </w:tc>
        <w:tc>
          <w:tcPr>
            <w:tcW w:w="849" w:type="dxa"/>
            <w:tcBorders>
              <w:top w:val="nil"/>
              <w:left w:val="nil"/>
              <w:bottom w:val="single" w:sz="4" w:space="0" w:color="auto"/>
              <w:right w:val="single" w:sz="8" w:space="0" w:color="auto"/>
            </w:tcBorders>
            <w:shd w:val="clear" w:color="auto" w:fill="auto"/>
            <w:noWrap/>
          </w:tcPr>
          <w:p w14:paraId="630D7340" w14:textId="021DC5EE" w:rsidR="00E763E7" w:rsidRPr="00E763E7" w:rsidRDefault="60A05D1C" w:rsidP="60A05D1C">
            <w:pPr>
              <w:overflowPunct w:val="0"/>
              <w:autoSpaceDE w:val="0"/>
              <w:autoSpaceDN w:val="0"/>
              <w:adjustRightInd w:val="0"/>
              <w:ind w:left="512" w:hanging="512"/>
              <w:jc w:val="right"/>
              <w:textAlignment w:val="baseline"/>
              <w:rPr>
                <w:sz w:val="20"/>
              </w:rPr>
            </w:pPr>
            <w:r w:rsidRPr="60A05D1C">
              <w:rPr>
                <w:sz w:val="20"/>
              </w:rPr>
              <w:t>43,2</w:t>
            </w:r>
          </w:p>
        </w:tc>
      </w:tr>
      <w:tr w:rsidR="00E763E7" w:rsidRPr="00923DEB" w14:paraId="0707D9BA" w14:textId="77777777" w:rsidTr="60A05D1C">
        <w:trPr>
          <w:trHeight w:val="330"/>
        </w:trPr>
        <w:tc>
          <w:tcPr>
            <w:tcW w:w="2976" w:type="dxa"/>
            <w:tcBorders>
              <w:top w:val="nil"/>
              <w:left w:val="single" w:sz="8" w:space="0" w:color="auto"/>
              <w:bottom w:val="single" w:sz="8" w:space="0" w:color="auto"/>
              <w:right w:val="single" w:sz="8" w:space="0" w:color="auto"/>
            </w:tcBorders>
            <w:shd w:val="clear" w:color="auto" w:fill="auto"/>
            <w:vAlign w:val="bottom"/>
            <w:hideMark/>
          </w:tcPr>
          <w:p w14:paraId="4A4DBB2E" w14:textId="6FB62D53" w:rsidR="00E763E7" w:rsidRPr="00723EB0" w:rsidRDefault="60A05D1C" w:rsidP="60A05D1C">
            <w:pPr>
              <w:overflowPunct w:val="0"/>
              <w:autoSpaceDE w:val="0"/>
              <w:autoSpaceDN w:val="0"/>
              <w:adjustRightInd w:val="0"/>
              <w:ind w:left="512" w:hanging="512"/>
              <w:jc w:val="center"/>
              <w:textAlignment w:val="baseline"/>
              <w:rPr>
                <w:b/>
                <w:bCs/>
                <w:color w:val="000000" w:themeColor="text1"/>
                <w:sz w:val="20"/>
              </w:rPr>
            </w:pPr>
            <w:r w:rsidRPr="60A05D1C">
              <w:rPr>
                <w:b/>
                <w:bCs/>
                <w:color w:val="000000" w:themeColor="text1"/>
                <w:sz w:val="20"/>
              </w:rPr>
              <w:t>Összesen</w:t>
            </w:r>
          </w:p>
        </w:tc>
        <w:tc>
          <w:tcPr>
            <w:tcW w:w="1418" w:type="dxa"/>
            <w:tcBorders>
              <w:top w:val="single" w:sz="8" w:space="0" w:color="auto"/>
              <w:left w:val="nil"/>
              <w:bottom w:val="single" w:sz="8" w:space="0" w:color="auto"/>
              <w:right w:val="single" w:sz="4" w:space="0" w:color="auto"/>
            </w:tcBorders>
            <w:shd w:val="clear" w:color="auto" w:fill="auto"/>
            <w:noWrap/>
          </w:tcPr>
          <w:p w14:paraId="2312A22A" w14:textId="4866FE9A" w:rsidR="00E763E7" w:rsidRPr="00E763E7" w:rsidRDefault="60A05D1C" w:rsidP="60A05D1C">
            <w:pPr>
              <w:overflowPunct w:val="0"/>
              <w:autoSpaceDE w:val="0"/>
              <w:autoSpaceDN w:val="0"/>
              <w:adjustRightInd w:val="0"/>
              <w:ind w:left="512" w:hanging="512"/>
              <w:jc w:val="right"/>
              <w:textAlignment w:val="baseline"/>
              <w:rPr>
                <w:b/>
                <w:bCs/>
                <w:sz w:val="20"/>
              </w:rPr>
            </w:pPr>
            <w:r w:rsidRPr="60A05D1C">
              <w:rPr>
                <w:b/>
                <w:bCs/>
                <w:sz w:val="20"/>
              </w:rPr>
              <w:t>203 830,1</w:t>
            </w:r>
          </w:p>
        </w:tc>
        <w:tc>
          <w:tcPr>
            <w:tcW w:w="1417" w:type="dxa"/>
            <w:tcBorders>
              <w:top w:val="single" w:sz="8" w:space="0" w:color="auto"/>
              <w:left w:val="nil"/>
              <w:bottom w:val="single" w:sz="8" w:space="0" w:color="auto"/>
              <w:right w:val="single" w:sz="8" w:space="0" w:color="auto"/>
            </w:tcBorders>
            <w:shd w:val="clear" w:color="auto" w:fill="auto"/>
            <w:noWrap/>
          </w:tcPr>
          <w:p w14:paraId="1CE3DF8E" w14:textId="0C25E146" w:rsidR="00E763E7" w:rsidRPr="00E763E7" w:rsidRDefault="60A05D1C" w:rsidP="002B6253">
            <w:pPr>
              <w:overflowPunct w:val="0"/>
              <w:autoSpaceDE w:val="0"/>
              <w:autoSpaceDN w:val="0"/>
              <w:adjustRightInd w:val="0"/>
              <w:ind w:left="512" w:hanging="512"/>
              <w:jc w:val="right"/>
              <w:textAlignment w:val="baseline"/>
              <w:rPr>
                <w:b/>
                <w:bCs/>
                <w:sz w:val="20"/>
              </w:rPr>
            </w:pPr>
            <w:r w:rsidRPr="60A05D1C">
              <w:rPr>
                <w:b/>
                <w:bCs/>
                <w:sz w:val="20"/>
              </w:rPr>
              <w:t>203</w:t>
            </w:r>
            <w:r w:rsidR="002B6253">
              <w:rPr>
                <w:b/>
                <w:bCs/>
                <w:sz w:val="20"/>
              </w:rPr>
              <w:t xml:space="preserve"> </w:t>
            </w:r>
            <w:r w:rsidRPr="60A05D1C">
              <w:rPr>
                <w:b/>
                <w:bCs/>
                <w:sz w:val="20"/>
              </w:rPr>
              <w:t>30</w:t>
            </w:r>
            <w:r w:rsidR="00E64708">
              <w:rPr>
                <w:b/>
                <w:bCs/>
                <w:sz w:val="20"/>
              </w:rPr>
              <w:t>4,9</w:t>
            </w:r>
          </w:p>
        </w:tc>
        <w:tc>
          <w:tcPr>
            <w:tcW w:w="1276" w:type="dxa"/>
            <w:tcBorders>
              <w:top w:val="nil"/>
              <w:left w:val="nil"/>
              <w:bottom w:val="single" w:sz="8" w:space="0" w:color="auto"/>
              <w:right w:val="single" w:sz="4" w:space="0" w:color="auto"/>
            </w:tcBorders>
            <w:shd w:val="clear" w:color="auto" w:fill="auto"/>
            <w:noWrap/>
          </w:tcPr>
          <w:p w14:paraId="6D040A33" w14:textId="003062FA" w:rsidR="00E763E7" w:rsidRPr="00E763E7" w:rsidRDefault="60A05D1C" w:rsidP="007957EC">
            <w:pPr>
              <w:overflowPunct w:val="0"/>
              <w:autoSpaceDE w:val="0"/>
              <w:autoSpaceDN w:val="0"/>
              <w:adjustRightInd w:val="0"/>
              <w:ind w:left="512" w:hanging="512"/>
              <w:jc w:val="right"/>
              <w:textAlignment w:val="baseline"/>
              <w:rPr>
                <w:b/>
                <w:bCs/>
                <w:sz w:val="20"/>
              </w:rPr>
            </w:pPr>
            <w:r w:rsidRPr="60A05D1C">
              <w:rPr>
                <w:b/>
                <w:bCs/>
                <w:sz w:val="20"/>
              </w:rPr>
              <w:t>-525,</w:t>
            </w:r>
            <w:r w:rsidR="007957EC">
              <w:rPr>
                <w:b/>
                <w:bCs/>
                <w:sz w:val="20"/>
              </w:rPr>
              <w:t>2</w:t>
            </w:r>
          </w:p>
        </w:tc>
        <w:tc>
          <w:tcPr>
            <w:tcW w:w="849" w:type="dxa"/>
            <w:tcBorders>
              <w:top w:val="single" w:sz="8" w:space="0" w:color="auto"/>
              <w:left w:val="nil"/>
              <w:bottom w:val="single" w:sz="8" w:space="0" w:color="auto"/>
              <w:right w:val="single" w:sz="8" w:space="0" w:color="auto"/>
            </w:tcBorders>
            <w:shd w:val="clear" w:color="auto" w:fill="auto"/>
            <w:noWrap/>
          </w:tcPr>
          <w:p w14:paraId="4F082888" w14:textId="42978438" w:rsidR="00E763E7" w:rsidRPr="00E763E7" w:rsidRDefault="60A05D1C" w:rsidP="60A05D1C">
            <w:pPr>
              <w:overflowPunct w:val="0"/>
              <w:autoSpaceDE w:val="0"/>
              <w:autoSpaceDN w:val="0"/>
              <w:adjustRightInd w:val="0"/>
              <w:ind w:left="512" w:hanging="512"/>
              <w:jc w:val="right"/>
              <w:textAlignment w:val="baseline"/>
              <w:rPr>
                <w:b/>
                <w:bCs/>
                <w:sz w:val="20"/>
              </w:rPr>
            </w:pPr>
            <w:r w:rsidRPr="60A05D1C">
              <w:rPr>
                <w:b/>
                <w:bCs/>
                <w:sz w:val="20"/>
              </w:rPr>
              <w:t>99,7</w:t>
            </w:r>
          </w:p>
        </w:tc>
      </w:tr>
    </w:tbl>
    <w:p w14:paraId="1E89C31E" w14:textId="77777777" w:rsidR="00DE454F" w:rsidRDefault="00DE454F" w:rsidP="00F9316E">
      <w:pPr>
        <w:spacing w:before="240"/>
      </w:pPr>
    </w:p>
    <w:p w14:paraId="07F56E81" w14:textId="5788159B" w:rsidR="00395135" w:rsidRDefault="60A05D1C" w:rsidP="00F9316E">
      <w:pPr>
        <w:spacing w:before="240"/>
      </w:pPr>
      <w:r>
        <w:t xml:space="preserve">A </w:t>
      </w:r>
      <w:r w:rsidRPr="60A05D1C">
        <w:rPr>
          <w:b/>
          <w:bCs/>
        </w:rPr>
        <w:t xml:space="preserve">kisadózók tételes adójából </w:t>
      </w:r>
      <w:r>
        <w:t>származó bevétel 2020 első négy hónapjában 57,8</w:t>
      </w:r>
      <w:r w:rsidR="00D73BBB">
        <w:t> </w:t>
      </w:r>
      <w:r>
        <w:t>milliárd forint volt, mely 6,5</w:t>
      </w:r>
      <w:r w:rsidR="00D73BBB">
        <w:t> </w:t>
      </w:r>
      <w:r>
        <w:t>milliárd forinttal magasabb az egy évvel korábbinál. Bár az adóalanyok számának jelentős mértékű bővüléséből adódóan a halmozott adóbevételek meghaladják az egy évvel korábbi, azonos időszaki összeget, a koronavírus-járvány negatív gazdasági hatásai</w:t>
      </w:r>
      <w:r w:rsidR="00ED0B67">
        <w:t>,</w:t>
      </w:r>
      <w:r>
        <w:t xml:space="preserve"> és az azok mérséklésére </w:t>
      </w:r>
      <w:r w:rsidR="002822CF">
        <w:t>hozott</w:t>
      </w:r>
      <w:r>
        <w:t xml:space="preserve"> kedvezmények hatása e hónaptól kezdve már megjelentek a pénzforgalmi adatokban.</w:t>
      </w:r>
    </w:p>
    <w:p w14:paraId="5E54FA10" w14:textId="6E13F723" w:rsidR="006A142D" w:rsidRDefault="60A05D1C" w:rsidP="00F9316E">
      <w:pPr>
        <w:spacing w:before="240"/>
      </w:pPr>
      <w:r>
        <w:t xml:space="preserve">A </w:t>
      </w:r>
      <w:r w:rsidRPr="60A05D1C">
        <w:rPr>
          <w:b/>
          <w:bCs/>
        </w:rPr>
        <w:t xml:space="preserve">kisvállalati adóból </w:t>
      </w:r>
      <w:r>
        <w:t>származó bevétel 2020 első négy hónapjában 32,6</w:t>
      </w:r>
      <w:r w:rsidR="00D30337">
        <w:t> </w:t>
      </w:r>
      <w:r>
        <w:t>milliárd forint volt, mely 7,</w:t>
      </w:r>
      <w:proofErr w:type="spellStart"/>
      <w:r>
        <w:t>7</w:t>
      </w:r>
      <w:proofErr w:type="spellEnd"/>
      <w:r w:rsidR="00D30337">
        <w:t> </w:t>
      </w:r>
      <w:r>
        <w:t xml:space="preserve">milliárd forinttal magasabb az egy évvel korábbinál, melynek oka az adóalanyok számának jelentős mértékű bővülése. </w:t>
      </w:r>
    </w:p>
    <w:p w14:paraId="3DC1E74F" w14:textId="776422E1" w:rsidR="004702E7" w:rsidRDefault="60A05D1C" w:rsidP="004702E7">
      <w:pPr>
        <w:spacing w:before="240"/>
      </w:pPr>
      <w:r>
        <w:t>Az év első négy hónapjában</w:t>
      </w:r>
      <w:r w:rsidRPr="60A05D1C">
        <w:rPr>
          <w:b/>
          <w:bCs/>
        </w:rPr>
        <w:t xml:space="preserve"> általános forgalmi adó</w:t>
      </w:r>
      <w:r>
        <w:t>ból 1552,2</w:t>
      </w:r>
      <w:r w:rsidR="00D66AC3">
        <w:t> </w:t>
      </w:r>
      <w:r>
        <w:t>milliárd forint bevétele keletkezett a költségvetésnek, ami az egy évvel korábbi bevételt 96,9</w:t>
      </w:r>
      <w:r w:rsidR="00D66AC3">
        <w:t> </w:t>
      </w:r>
      <w:r>
        <w:t xml:space="preserve">milliárd forinttal </w:t>
      </w:r>
      <w:r w:rsidR="00ED0B67">
        <w:t>haladta meg.</w:t>
      </w:r>
      <w:r>
        <w:t xml:space="preserve"> A befizetések és a kiutalások alakulása a következők szerint változott:</w:t>
      </w:r>
    </w:p>
    <w:p w14:paraId="16D3EADC" w14:textId="77777777" w:rsidR="00096FF2" w:rsidRDefault="00096FF2" w:rsidP="004702E7">
      <w:pPr>
        <w:spacing w:before="240"/>
      </w:pPr>
    </w:p>
    <w:tbl>
      <w:tblPr>
        <w:tblW w:w="6373" w:type="dxa"/>
        <w:jc w:val="center"/>
        <w:tblCellMar>
          <w:left w:w="70" w:type="dxa"/>
          <w:right w:w="70" w:type="dxa"/>
        </w:tblCellMar>
        <w:tblLook w:val="04A0" w:firstRow="1" w:lastRow="0" w:firstColumn="1" w:lastColumn="0" w:noHBand="0" w:noVBand="1"/>
      </w:tblPr>
      <w:tblGrid>
        <w:gridCol w:w="1448"/>
        <w:gridCol w:w="1383"/>
        <w:gridCol w:w="1287"/>
        <w:gridCol w:w="905"/>
        <w:gridCol w:w="1350"/>
      </w:tblGrid>
      <w:tr w:rsidR="004702E7" w:rsidRPr="00DB1A96" w14:paraId="2CDE1D04" w14:textId="77777777" w:rsidTr="60A05D1C">
        <w:trPr>
          <w:trHeight w:val="255"/>
          <w:jc w:val="center"/>
        </w:trPr>
        <w:tc>
          <w:tcPr>
            <w:tcW w:w="6373" w:type="dxa"/>
            <w:gridSpan w:val="5"/>
            <w:tcBorders>
              <w:top w:val="nil"/>
              <w:left w:val="nil"/>
              <w:bottom w:val="nil"/>
              <w:right w:val="nil"/>
            </w:tcBorders>
            <w:shd w:val="clear" w:color="auto" w:fill="auto"/>
            <w:noWrap/>
            <w:vAlign w:val="bottom"/>
            <w:hideMark/>
          </w:tcPr>
          <w:p w14:paraId="193F4F9E" w14:textId="77777777" w:rsidR="004702E7" w:rsidRPr="00DB1A96" w:rsidRDefault="60A05D1C" w:rsidP="60A05D1C">
            <w:pPr>
              <w:jc w:val="center"/>
              <w:rPr>
                <w:b/>
                <w:bCs/>
                <w:color w:val="000000" w:themeColor="text1"/>
                <w:sz w:val="20"/>
              </w:rPr>
            </w:pPr>
            <w:r w:rsidRPr="60A05D1C">
              <w:rPr>
                <w:b/>
                <w:bCs/>
                <w:color w:val="000000" w:themeColor="text1"/>
                <w:sz w:val="20"/>
              </w:rPr>
              <w:t>Általános forgalmi adó bevétel alakulása (milliárd forint)</w:t>
            </w:r>
          </w:p>
        </w:tc>
      </w:tr>
      <w:tr w:rsidR="004702E7" w:rsidRPr="00DB1A96" w14:paraId="6088BDF7" w14:textId="77777777" w:rsidTr="60A05D1C">
        <w:trPr>
          <w:trHeight w:val="465"/>
          <w:jc w:val="center"/>
        </w:trPr>
        <w:tc>
          <w:tcPr>
            <w:tcW w:w="144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00BFA44" w14:textId="77777777" w:rsidR="004702E7" w:rsidRPr="00DB1A96" w:rsidRDefault="60A05D1C" w:rsidP="60A05D1C">
            <w:pPr>
              <w:spacing w:after="0"/>
              <w:jc w:val="center"/>
              <w:rPr>
                <w:b/>
                <w:bCs/>
                <w:color w:val="000000" w:themeColor="text1"/>
                <w:sz w:val="20"/>
              </w:rPr>
            </w:pPr>
            <w:r w:rsidRPr="60A05D1C">
              <w:rPr>
                <w:b/>
                <w:bCs/>
                <w:color w:val="000000" w:themeColor="text1"/>
                <w:sz w:val="20"/>
              </w:rPr>
              <w:t>Megnevezés</w:t>
            </w:r>
          </w:p>
        </w:tc>
        <w:tc>
          <w:tcPr>
            <w:tcW w:w="138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68CFE69" w14:textId="502A646C" w:rsidR="004702E7" w:rsidRPr="00DB1A96" w:rsidRDefault="60A05D1C" w:rsidP="60A05D1C">
            <w:pPr>
              <w:spacing w:after="0"/>
              <w:jc w:val="center"/>
              <w:rPr>
                <w:b/>
                <w:bCs/>
                <w:sz w:val="20"/>
              </w:rPr>
            </w:pPr>
            <w:r w:rsidRPr="60A05D1C">
              <w:rPr>
                <w:b/>
                <w:bCs/>
                <w:sz w:val="20"/>
              </w:rPr>
              <w:t>2019.</w:t>
            </w:r>
            <w:r w:rsidR="25153DD4">
              <w:br/>
            </w:r>
            <w:r w:rsidRPr="60A05D1C">
              <w:rPr>
                <w:b/>
                <w:bCs/>
                <w:sz w:val="20"/>
              </w:rPr>
              <w:t>I-IV. hó</w:t>
            </w:r>
          </w:p>
        </w:tc>
        <w:tc>
          <w:tcPr>
            <w:tcW w:w="128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A08D7B7" w14:textId="38D02AA3" w:rsidR="004702E7" w:rsidRPr="00DB1A96" w:rsidRDefault="60A05D1C" w:rsidP="60A05D1C">
            <w:pPr>
              <w:spacing w:after="0"/>
              <w:jc w:val="center"/>
              <w:rPr>
                <w:b/>
                <w:bCs/>
                <w:sz w:val="20"/>
              </w:rPr>
            </w:pPr>
            <w:r w:rsidRPr="60A05D1C">
              <w:rPr>
                <w:b/>
                <w:bCs/>
                <w:sz w:val="20"/>
              </w:rPr>
              <w:t>2020.</w:t>
            </w:r>
            <w:r w:rsidR="25153DD4">
              <w:br/>
            </w:r>
            <w:r w:rsidRPr="60A05D1C">
              <w:rPr>
                <w:b/>
                <w:bCs/>
                <w:sz w:val="20"/>
              </w:rPr>
              <w:t>I-IV. hó</w:t>
            </w:r>
          </w:p>
        </w:tc>
        <w:tc>
          <w:tcPr>
            <w:tcW w:w="225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30484B97" w14:textId="77777777" w:rsidR="004702E7" w:rsidRPr="00DB1A96" w:rsidRDefault="60A05D1C" w:rsidP="60A05D1C">
            <w:pPr>
              <w:spacing w:after="0"/>
              <w:jc w:val="center"/>
              <w:rPr>
                <w:b/>
                <w:bCs/>
                <w:color w:val="000000" w:themeColor="text1"/>
                <w:sz w:val="20"/>
              </w:rPr>
            </w:pPr>
            <w:r w:rsidRPr="60A05D1C">
              <w:rPr>
                <w:b/>
                <w:bCs/>
                <w:color w:val="000000" w:themeColor="text1"/>
                <w:sz w:val="20"/>
              </w:rPr>
              <w:t>Eltérés</w:t>
            </w:r>
          </w:p>
        </w:tc>
      </w:tr>
      <w:tr w:rsidR="004702E7" w:rsidRPr="00DB1A96" w14:paraId="6FBF33D6" w14:textId="77777777" w:rsidTr="60A05D1C">
        <w:trPr>
          <w:trHeight w:val="465"/>
          <w:jc w:val="center"/>
        </w:trPr>
        <w:tc>
          <w:tcPr>
            <w:tcW w:w="1448" w:type="dxa"/>
            <w:vMerge/>
            <w:tcBorders>
              <w:top w:val="single" w:sz="8" w:space="0" w:color="auto"/>
              <w:left w:val="single" w:sz="8" w:space="0" w:color="auto"/>
              <w:bottom w:val="single" w:sz="8" w:space="0" w:color="000000"/>
              <w:right w:val="single" w:sz="8" w:space="0" w:color="auto"/>
            </w:tcBorders>
            <w:vAlign w:val="center"/>
            <w:hideMark/>
          </w:tcPr>
          <w:p w14:paraId="78EC8BF6" w14:textId="77777777" w:rsidR="004702E7" w:rsidRPr="00DB1A96" w:rsidRDefault="004702E7" w:rsidP="009E7E25">
            <w:pPr>
              <w:spacing w:after="0"/>
              <w:jc w:val="left"/>
              <w:rPr>
                <w:b/>
                <w:bCs/>
                <w:color w:val="000000"/>
                <w:sz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25C25767" w14:textId="77777777" w:rsidR="004702E7" w:rsidRPr="00DB1A96" w:rsidRDefault="004702E7" w:rsidP="009E7E25">
            <w:pPr>
              <w:spacing w:after="0"/>
              <w:jc w:val="left"/>
              <w:rPr>
                <w:b/>
                <w:bCs/>
                <w:sz w:val="20"/>
              </w:rPr>
            </w:pPr>
          </w:p>
        </w:tc>
        <w:tc>
          <w:tcPr>
            <w:tcW w:w="1287" w:type="dxa"/>
            <w:vMerge/>
            <w:tcBorders>
              <w:top w:val="single" w:sz="8" w:space="0" w:color="auto"/>
              <w:left w:val="single" w:sz="8" w:space="0" w:color="auto"/>
              <w:bottom w:val="single" w:sz="8" w:space="0" w:color="000000"/>
              <w:right w:val="single" w:sz="8" w:space="0" w:color="auto"/>
            </w:tcBorders>
            <w:vAlign w:val="center"/>
            <w:hideMark/>
          </w:tcPr>
          <w:p w14:paraId="2B9FC7C9" w14:textId="77777777" w:rsidR="004702E7" w:rsidRPr="00DB1A96" w:rsidRDefault="004702E7" w:rsidP="009E7E25">
            <w:pPr>
              <w:spacing w:after="0"/>
              <w:jc w:val="left"/>
              <w:rPr>
                <w:b/>
                <w:bCs/>
                <w:sz w:val="20"/>
              </w:rPr>
            </w:pPr>
          </w:p>
        </w:tc>
        <w:tc>
          <w:tcPr>
            <w:tcW w:w="905" w:type="dxa"/>
            <w:tcBorders>
              <w:top w:val="nil"/>
              <w:left w:val="nil"/>
              <w:bottom w:val="single" w:sz="8" w:space="0" w:color="auto"/>
              <w:right w:val="single" w:sz="4" w:space="0" w:color="auto"/>
            </w:tcBorders>
            <w:shd w:val="clear" w:color="auto" w:fill="auto"/>
            <w:noWrap/>
            <w:vAlign w:val="center"/>
            <w:hideMark/>
          </w:tcPr>
          <w:p w14:paraId="2BC03ACB" w14:textId="77777777" w:rsidR="004702E7" w:rsidRPr="00DB1A96" w:rsidRDefault="60A05D1C" w:rsidP="60A05D1C">
            <w:pPr>
              <w:spacing w:after="0"/>
              <w:jc w:val="center"/>
              <w:rPr>
                <w:b/>
                <w:bCs/>
                <w:color w:val="000000" w:themeColor="text1"/>
                <w:sz w:val="20"/>
              </w:rPr>
            </w:pPr>
            <w:r w:rsidRPr="60A05D1C">
              <w:rPr>
                <w:b/>
                <w:bCs/>
                <w:color w:val="000000" w:themeColor="text1"/>
                <w:sz w:val="20"/>
              </w:rPr>
              <w:t>Mrd Ft</w:t>
            </w:r>
          </w:p>
        </w:tc>
        <w:tc>
          <w:tcPr>
            <w:tcW w:w="1350" w:type="dxa"/>
            <w:tcBorders>
              <w:top w:val="nil"/>
              <w:left w:val="nil"/>
              <w:bottom w:val="single" w:sz="8" w:space="0" w:color="auto"/>
              <w:right w:val="single" w:sz="8" w:space="0" w:color="auto"/>
            </w:tcBorders>
            <w:shd w:val="clear" w:color="auto" w:fill="auto"/>
            <w:noWrap/>
            <w:vAlign w:val="center"/>
            <w:hideMark/>
          </w:tcPr>
          <w:p w14:paraId="089C503F" w14:textId="77777777" w:rsidR="004702E7" w:rsidRPr="00DB1A96" w:rsidRDefault="60A05D1C" w:rsidP="60A05D1C">
            <w:pPr>
              <w:spacing w:after="0"/>
              <w:jc w:val="center"/>
              <w:rPr>
                <w:b/>
                <w:bCs/>
                <w:color w:val="000000" w:themeColor="text1"/>
                <w:sz w:val="20"/>
              </w:rPr>
            </w:pPr>
            <w:r w:rsidRPr="60A05D1C">
              <w:rPr>
                <w:b/>
                <w:bCs/>
                <w:color w:val="000000" w:themeColor="text1"/>
                <w:sz w:val="20"/>
              </w:rPr>
              <w:t>%</w:t>
            </w:r>
          </w:p>
        </w:tc>
      </w:tr>
      <w:tr w:rsidR="00E763E7" w:rsidRPr="00DB1A96" w14:paraId="696B4B9D" w14:textId="77777777" w:rsidTr="60A05D1C">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1534865D" w14:textId="77777777" w:rsidR="00E763E7" w:rsidRPr="00DB1A96" w:rsidRDefault="60A05D1C" w:rsidP="60A05D1C">
            <w:pPr>
              <w:spacing w:after="0"/>
              <w:jc w:val="center"/>
              <w:rPr>
                <w:b/>
                <w:bCs/>
                <w:sz w:val="20"/>
              </w:rPr>
            </w:pPr>
            <w:r w:rsidRPr="60A05D1C">
              <w:rPr>
                <w:b/>
                <w:bCs/>
                <w:sz w:val="20"/>
              </w:rPr>
              <w:t>Befizetés</w:t>
            </w:r>
          </w:p>
        </w:tc>
        <w:tc>
          <w:tcPr>
            <w:tcW w:w="1383" w:type="dxa"/>
            <w:tcBorders>
              <w:top w:val="nil"/>
              <w:left w:val="nil"/>
              <w:bottom w:val="single" w:sz="4" w:space="0" w:color="auto"/>
              <w:right w:val="single" w:sz="8" w:space="0" w:color="auto"/>
            </w:tcBorders>
            <w:shd w:val="clear" w:color="auto" w:fill="auto"/>
            <w:noWrap/>
          </w:tcPr>
          <w:p w14:paraId="1B136DBC" w14:textId="5126C836" w:rsidR="00E763E7" w:rsidRPr="00E763E7" w:rsidRDefault="60A05D1C" w:rsidP="60A05D1C">
            <w:pPr>
              <w:spacing w:after="0"/>
              <w:jc w:val="right"/>
              <w:rPr>
                <w:sz w:val="22"/>
                <w:szCs w:val="22"/>
              </w:rPr>
            </w:pPr>
            <w:r w:rsidRPr="60A05D1C">
              <w:rPr>
                <w:sz w:val="22"/>
                <w:szCs w:val="22"/>
              </w:rPr>
              <w:t>2408,9</w:t>
            </w:r>
          </w:p>
        </w:tc>
        <w:tc>
          <w:tcPr>
            <w:tcW w:w="1287" w:type="dxa"/>
            <w:tcBorders>
              <w:top w:val="nil"/>
              <w:left w:val="nil"/>
              <w:bottom w:val="single" w:sz="4" w:space="0" w:color="auto"/>
              <w:right w:val="single" w:sz="8" w:space="0" w:color="auto"/>
            </w:tcBorders>
            <w:shd w:val="clear" w:color="auto" w:fill="auto"/>
            <w:noWrap/>
          </w:tcPr>
          <w:p w14:paraId="536597DE" w14:textId="1F3BE7F0" w:rsidR="00E763E7" w:rsidRPr="00E763E7" w:rsidRDefault="60A05D1C" w:rsidP="60A05D1C">
            <w:pPr>
              <w:spacing w:after="0"/>
              <w:jc w:val="right"/>
              <w:rPr>
                <w:sz w:val="22"/>
                <w:szCs w:val="22"/>
              </w:rPr>
            </w:pPr>
            <w:r w:rsidRPr="60A05D1C">
              <w:rPr>
                <w:sz w:val="22"/>
                <w:szCs w:val="22"/>
              </w:rPr>
              <w:t>2611,8</w:t>
            </w:r>
          </w:p>
        </w:tc>
        <w:tc>
          <w:tcPr>
            <w:tcW w:w="905" w:type="dxa"/>
            <w:tcBorders>
              <w:top w:val="nil"/>
              <w:left w:val="nil"/>
              <w:bottom w:val="single" w:sz="4" w:space="0" w:color="auto"/>
              <w:right w:val="single" w:sz="4" w:space="0" w:color="auto"/>
            </w:tcBorders>
            <w:shd w:val="clear" w:color="auto" w:fill="auto"/>
            <w:noWrap/>
          </w:tcPr>
          <w:p w14:paraId="7B7FFFEE" w14:textId="42302228" w:rsidR="00E763E7" w:rsidRPr="00E763E7" w:rsidRDefault="60A05D1C" w:rsidP="00787295">
            <w:pPr>
              <w:spacing w:after="0"/>
              <w:jc w:val="right"/>
              <w:rPr>
                <w:sz w:val="22"/>
                <w:szCs w:val="22"/>
              </w:rPr>
            </w:pPr>
            <w:r w:rsidRPr="60A05D1C">
              <w:rPr>
                <w:sz w:val="22"/>
                <w:szCs w:val="22"/>
              </w:rPr>
              <w:t>20</w:t>
            </w:r>
            <w:r w:rsidR="00787295">
              <w:rPr>
                <w:sz w:val="22"/>
                <w:szCs w:val="22"/>
              </w:rPr>
              <w:t>2,9</w:t>
            </w:r>
          </w:p>
        </w:tc>
        <w:tc>
          <w:tcPr>
            <w:tcW w:w="1350" w:type="dxa"/>
            <w:tcBorders>
              <w:top w:val="nil"/>
              <w:left w:val="nil"/>
              <w:bottom w:val="single" w:sz="4" w:space="0" w:color="auto"/>
              <w:right w:val="single" w:sz="8" w:space="0" w:color="auto"/>
            </w:tcBorders>
            <w:shd w:val="clear" w:color="auto" w:fill="auto"/>
            <w:noWrap/>
          </w:tcPr>
          <w:p w14:paraId="788A36F5" w14:textId="513F9515" w:rsidR="00E763E7" w:rsidRPr="00E763E7" w:rsidRDefault="60A05D1C" w:rsidP="60A05D1C">
            <w:pPr>
              <w:spacing w:after="0"/>
              <w:jc w:val="right"/>
              <w:rPr>
                <w:color w:val="000000" w:themeColor="text1"/>
                <w:sz w:val="22"/>
                <w:szCs w:val="22"/>
              </w:rPr>
            </w:pPr>
            <w:r w:rsidRPr="60A05D1C">
              <w:rPr>
                <w:sz w:val="22"/>
                <w:szCs w:val="22"/>
              </w:rPr>
              <w:t>108,4</w:t>
            </w:r>
          </w:p>
        </w:tc>
      </w:tr>
      <w:tr w:rsidR="00E763E7" w:rsidRPr="00DB1A96" w14:paraId="6B18998E" w14:textId="77777777" w:rsidTr="60A05D1C">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5440B48E" w14:textId="77777777" w:rsidR="00E763E7" w:rsidRPr="00DB1A96" w:rsidRDefault="60A05D1C" w:rsidP="60A05D1C">
            <w:pPr>
              <w:spacing w:after="0"/>
              <w:jc w:val="center"/>
              <w:rPr>
                <w:b/>
                <w:bCs/>
                <w:sz w:val="20"/>
              </w:rPr>
            </w:pPr>
            <w:r w:rsidRPr="60A05D1C">
              <w:rPr>
                <w:b/>
                <w:bCs/>
                <w:sz w:val="20"/>
              </w:rPr>
              <w:t>Kiutalás</w:t>
            </w:r>
          </w:p>
        </w:tc>
        <w:tc>
          <w:tcPr>
            <w:tcW w:w="1383" w:type="dxa"/>
            <w:tcBorders>
              <w:top w:val="nil"/>
              <w:left w:val="nil"/>
              <w:bottom w:val="single" w:sz="4" w:space="0" w:color="auto"/>
              <w:right w:val="single" w:sz="8" w:space="0" w:color="auto"/>
            </w:tcBorders>
            <w:shd w:val="clear" w:color="auto" w:fill="auto"/>
            <w:noWrap/>
          </w:tcPr>
          <w:p w14:paraId="515B825A" w14:textId="363CB2B3" w:rsidR="00E763E7" w:rsidRPr="00E763E7" w:rsidRDefault="60A05D1C" w:rsidP="60A05D1C">
            <w:pPr>
              <w:spacing w:after="0"/>
              <w:jc w:val="right"/>
              <w:rPr>
                <w:sz w:val="22"/>
                <w:szCs w:val="22"/>
              </w:rPr>
            </w:pPr>
            <w:r w:rsidRPr="60A05D1C">
              <w:rPr>
                <w:sz w:val="22"/>
                <w:szCs w:val="22"/>
              </w:rPr>
              <w:t>953,6</w:t>
            </w:r>
          </w:p>
        </w:tc>
        <w:tc>
          <w:tcPr>
            <w:tcW w:w="1287" w:type="dxa"/>
            <w:tcBorders>
              <w:top w:val="nil"/>
              <w:left w:val="nil"/>
              <w:bottom w:val="single" w:sz="4" w:space="0" w:color="auto"/>
              <w:right w:val="single" w:sz="8" w:space="0" w:color="auto"/>
            </w:tcBorders>
            <w:shd w:val="clear" w:color="auto" w:fill="auto"/>
            <w:noWrap/>
          </w:tcPr>
          <w:p w14:paraId="3EA49D92" w14:textId="55FC85CA" w:rsidR="00E763E7" w:rsidRPr="00E763E7" w:rsidRDefault="60A05D1C" w:rsidP="00241810">
            <w:pPr>
              <w:spacing w:after="0"/>
              <w:jc w:val="right"/>
              <w:rPr>
                <w:sz w:val="22"/>
                <w:szCs w:val="22"/>
              </w:rPr>
            </w:pPr>
            <w:r w:rsidRPr="60A05D1C">
              <w:rPr>
                <w:sz w:val="22"/>
                <w:szCs w:val="22"/>
              </w:rPr>
              <w:t>1059,</w:t>
            </w:r>
            <w:r w:rsidR="00241810">
              <w:rPr>
                <w:sz w:val="22"/>
                <w:szCs w:val="22"/>
              </w:rPr>
              <w:t>6</w:t>
            </w:r>
          </w:p>
        </w:tc>
        <w:tc>
          <w:tcPr>
            <w:tcW w:w="905" w:type="dxa"/>
            <w:tcBorders>
              <w:top w:val="nil"/>
              <w:left w:val="nil"/>
              <w:bottom w:val="single" w:sz="4" w:space="0" w:color="auto"/>
              <w:right w:val="single" w:sz="4" w:space="0" w:color="auto"/>
            </w:tcBorders>
            <w:shd w:val="clear" w:color="auto" w:fill="auto"/>
            <w:noWrap/>
          </w:tcPr>
          <w:p w14:paraId="4C3DD2F0" w14:textId="7F63CC5C" w:rsidR="00E763E7" w:rsidRPr="00E763E7" w:rsidRDefault="60A05D1C" w:rsidP="006D3FED">
            <w:pPr>
              <w:spacing w:after="0"/>
              <w:jc w:val="right"/>
              <w:rPr>
                <w:sz w:val="22"/>
                <w:szCs w:val="22"/>
              </w:rPr>
            </w:pPr>
            <w:r w:rsidRPr="60A05D1C">
              <w:rPr>
                <w:sz w:val="22"/>
                <w:szCs w:val="22"/>
              </w:rPr>
              <w:t>106,</w:t>
            </w:r>
            <w:r w:rsidR="006D3FED">
              <w:rPr>
                <w:sz w:val="22"/>
                <w:szCs w:val="22"/>
              </w:rPr>
              <w:t>0</w:t>
            </w:r>
          </w:p>
        </w:tc>
        <w:tc>
          <w:tcPr>
            <w:tcW w:w="1350" w:type="dxa"/>
            <w:tcBorders>
              <w:top w:val="nil"/>
              <w:left w:val="nil"/>
              <w:bottom w:val="single" w:sz="4" w:space="0" w:color="auto"/>
              <w:right w:val="single" w:sz="8" w:space="0" w:color="auto"/>
            </w:tcBorders>
            <w:shd w:val="clear" w:color="auto" w:fill="auto"/>
            <w:noWrap/>
          </w:tcPr>
          <w:p w14:paraId="7AD2266A" w14:textId="3138807B" w:rsidR="00E763E7" w:rsidRPr="00E763E7" w:rsidRDefault="60A05D1C" w:rsidP="60A05D1C">
            <w:pPr>
              <w:spacing w:after="0"/>
              <w:jc w:val="right"/>
              <w:rPr>
                <w:color w:val="000000" w:themeColor="text1"/>
                <w:sz w:val="22"/>
                <w:szCs w:val="22"/>
              </w:rPr>
            </w:pPr>
            <w:r w:rsidRPr="60A05D1C">
              <w:rPr>
                <w:sz w:val="22"/>
                <w:szCs w:val="22"/>
              </w:rPr>
              <w:t>111,1</w:t>
            </w:r>
          </w:p>
        </w:tc>
      </w:tr>
      <w:tr w:rsidR="00E763E7" w:rsidRPr="00091E5E" w14:paraId="6B4C6B67" w14:textId="77777777" w:rsidTr="60A05D1C">
        <w:trPr>
          <w:trHeight w:val="270"/>
          <w:jc w:val="center"/>
        </w:trPr>
        <w:tc>
          <w:tcPr>
            <w:tcW w:w="1448" w:type="dxa"/>
            <w:tcBorders>
              <w:top w:val="nil"/>
              <w:left w:val="single" w:sz="8" w:space="0" w:color="auto"/>
              <w:bottom w:val="single" w:sz="8" w:space="0" w:color="auto"/>
              <w:right w:val="single" w:sz="8" w:space="0" w:color="auto"/>
            </w:tcBorders>
            <w:shd w:val="clear" w:color="auto" w:fill="auto"/>
            <w:noWrap/>
            <w:vAlign w:val="center"/>
            <w:hideMark/>
          </w:tcPr>
          <w:p w14:paraId="29C7CFE7" w14:textId="77777777" w:rsidR="00E763E7" w:rsidRPr="00DB1A96" w:rsidRDefault="60A05D1C" w:rsidP="60A05D1C">
            <w:pPr>
              <w:spacing w:after="0"/>
              <w:jc w:val="center"/>
              <w:rPr>
                <w:b/>
                <w:bCs/>
                <w:sz w:val="20"/>
              </w:rPr>
            </w:pPr>
            <w:r w:rsidRPr="60A05D1C">
              <w:rPr>
                <w:b/>
                <w:bCs/>
                <w:sz w:val="20"/>
              </w:rPr>
              <w:t>Egyenleg</w:t>
            </w:r>
          </w:p>
        </w:tc>
        <w:tc>
          <w:tcPr>
            <w:tcW w:w="1383" w:type="dxa"/>
            <w:tcBorders>
              <w:top w:val="nil"/>
              <w:left w:val="nil"/>
              <w:bottom w:val="single" w:sz="8" w:space="0" w:color="auto"/>
              <w:right w:val="single" w:sz="8" w:space="0" w:color="auto"/>
            </w:tcBorders>
            <w:shd w:val="clear" w:color="auto" w:fill="auto"/>
            <w:noWrap/>
          </w:tcPr>
          <w:p w14:paraId="717F995F" w14:textId="7438E34D" w:rsidR="00E763E7" w:rsidRPr="00E763E7" w:rsidRDefault="60A05D1C" w:rsidP="60A05D1C">
            <w:pPr>
              <w:spacing w:after="0"/>
              <w:jc w:val="right"/>
              <w:rPr>
                <w:b/>
                <w:bCs/>
                <w:sz w:val="22"/>
                <w:szCs w:val="22"/>
              </w:rPr>
            </w:pPr>
            <w:r w:rsidRPr="60A05D1C">
              <w:rPr>
                <w:b/>
                <w:bCs/>
                <w:sz w:val="22"/>
                <w:szCs w:val="22"/>
              </w:rPr>
              <w:t>1455,3</w:t>
            </w:r>
          </w:p>
        </w:tc>
        <w:tc>
          <w:tcPr>
            <w:tcW w:w="1287" w:type="dxa"/>
            <w:tcBorders>
              <w:top w:val="nil"/>
              <w:left w:val="nil"/>
              <w:bottom w:val="single" w:sz="8" w:space="0" w:color="auto"/>
              <w:right w:val="single" w:sz="8" w:space="0" w:color="auto"/>
            </w:tcBorders>
            <w:shd w:val="clear" w:color="auto" w:fill="auto"/>
            <w:noWrap/>
          </w:tcPr>
          <w:p w14:paraId="472BC427" w14:textId="313A1572" w:rsidR="00E763E7" w:rsidRPr="00E763E7" w:rsidRDefault="60A05D1C" w:rsidP="60A05D1C">
            <w:pPr>
              <w:spacing w:after="0"/>
              <w:jc w:val="right"/>
              <w:rPr>
                <w:b/>
                <w:bCs/>
                <w:sz w:val="22"/>
                <w:szCs w:val="22"/>
              </w:rPr>
            </w:pPr>
            <w:r w:rsidRPr="60A05D1C">
              <w:rPr>
                <w:b/>
                <w:bCs/>
                <w:sz w:val="22"/>
                <w:szCs w:val="22"/>
              </w:rPr>
              <w:t>1552,2</w:t>
            </w:r>
          </w:p>
        </w:tc>
        <w:tc>
          <w:tcPr>
            <w:tcW w:w="905" w:type="dxa"/>
            <w:tcBorders>
              <w:top w:val="nil"/>
              <w:left w:val="nil"/>
              <w:bottom w:val="single" w:sz="8" w:space="0" w:color="auto"/>
              <w:right w:val="single" w:sz="4" w:space="0" w:color="auto"/>
            </w:tcBorders>
            <w:shd w:val="clear" w:color="auto" w:fill="auto"/>
            <w:noWrap/>
          </w:tcPr>
          <w:p w14:paraId="7510E2B5" w14:textId="17BD141C" w:rsidR="00E763E7" w:rsidRPr="00E763E7" w:rsidRDefault="60A05D1C" w:rsidP="60A05D1C">
            <w:pPr>
              <w:spacing w:after="0"/>
              <w:jc w:val="right"/>
              <w:rPr>
                <w:b/>
                <w:bCs/>
                <w:sz w:val="22"/>
                <w:szCs w:val="22"/>
              </w:rPr>
            </w:pPr>
            <w:r w:rsidRPr="60A05D1C">
              <w:rPr>
                <w:b/>
                <w:bCs/>
                <w:sz w:val="22"/>
                <w:szCs w:val="22"/>
              </w:rPr>
              <w:t>96,9</w:t>
            </w:r>
          </w:p>
        </w:tc>
        <w:tc>
          <w:tcPr>
            <w:tcW w:w="1350" w:type="dxa"/>
            <w:tcBorders>
              <w:top w:val="nil"/>
              <w:left w:val="nil"/>
              <w:bottom w:val="single" w:sz="8" w:space="0" w:color="auto"/>
              <w:right w:val="single" w:sz="8" w:space="0" w:color="auto"/>
            </w:tcBorders>
            <w:shd w:val="clear" w:color="auto" w:fill="auto"/>
            <w:noWrap/>
          </w:tcPr>
          <w:p w14:paraId="23D63217" w14:textId="1B20643A" w:rsidR="00E763E7" w:rsidRPr="00E763E7" w:rsidRDefault="60A05D1C" w:rsidP="60A05D1C">
            <w:pPr>
              <w:spacing w:after="0"/>
              <w:jc w:val="right"/>
              <w:rPr>
                <w:b/>
                <w:bCs/>
                <w:color w:val="000000" w:themeColor="text1"/>
                <w:sz w:val="22"/>
                <w:szCs w:val="22"/>
              </w:rPr>
            </w:pPr>
            <w:r w:rsidRPr="60A05D1C">
              <w:rPr>
                <w:b/>
                <w:bCs/>
                <w:sz w:val="22"/>
                <w:szCs w:val="22"/>
              </w:rPr>
              <w:t>106,7</w:t>
            </w:r>
          </w:p>
        </w:tc>
      </w:tr>
    </w:tbl>
    <w:p w14:paraId="26752C0F" w14:textId="77777777" w:rsidR="000C321A" w:rsidRDefault="000C321A" w:rsidP="004702E7">
      <w:pPr>
        <w:spacing w:before="240"/>
      </w:pPr>
    </w:p>
    <w:p w14:paraId="2CDAF008" w14:textId="41949DFF" w:rsidR="004702E7" w:rsidRDefault="60A05D1C" w:rsidP="004702E7">
      <w:pPr>
        <w:spacing w:before="240"/>
      </w:pPr>
      <w:r>
        <w:t xml:space="preserve">A belföldi és dohánytermékek utáni </w:t>
      </w:r>
      <w:proofErr w:type="spellStart"/>
      <w:r>
        <w:t>áfabevétel</w:t>
      </w:r>
      <w:proofErr w:type="spellEnd"/>
      <w:r>
        <w:t xml:space="preserve"> egyaránt növekedett, míg az </w:t>
      </w:r>
      <w:proofErr w:type="gramStart"/>
      <w:r>
        <w:t>import</w:t>
      </w:r>
      <w:proofErr w:type="gramEnd"/>
      <w:r>
        <w:t xml:space="preserve"> utáni csökkent. A belföldi befizetések növekedése elsősorban a feldolgozóiparhoz köthető. A </w:t>
      </w:r>
      <w:r>
        <w:lastRenderedPageBreak/>
        <w:t xml:space="preserve">dohánytermékek utáni bevételek előző évhez viszonyított növekedését a 2019. januári és júliusi, valamint a 2020. januári adómérték-emelés, valamint a forgalomnövekedés határozza meg. Az </w:t>
      </w:r>
      <w:proofErr w:type="gramStart"/>
      <w:r>
        <w:t>import</w:t>
      </w:r>
      <w:proofErr w:type="gramEnd"/>
      <w:r>
        <w:t xml:space="preserve"> utáni befizetések csökkenésének hátterében az alacsonyabb forgalom áll. A kiutalások növekedéséhez hozzájárult, hogy a magasabb befizetések magasabb kiutalásokkal járnak. </w:t>
      </w:r>
    </w:p>
    <w:p w14:paraId="6D8C930B" w14:textId="2AEBAE6A" w:rsidR="001F2AB3" w:rsidRDefault="007E155D" w:rsidP="004702E7">
      <w:pPr>
        <w:spacing w:before="240"/>
      </w:pPr>
      <w:r>
        <w:rPr>
          <w:noProof/>
        </w:rPr>
        <w:drawing>
          <wp:inline distT="0" distB="0" distL="0" distR="0" wp14:anchorId="2E8EF0DA" wp14:editId="15B23B49">
            <wp:extent cx="5940425" cy="3924300"/>
            <wp:effectExtent l="0" t="0" r="3175"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fa.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3924300"/>
                    </a:xfrm>
                    <a:prstGeom prst="rect">
                      <a:avLst/>
                    </a:prstGeom>
                  </pic:spPr>
                </pic:pic>
              </a:graphicData>
            </a:graphic>
          </wp:inline>
        </w:drawing>
      </w:r>
    </w:p>
    <w:p w14:paraId="4FA82639" w14:textId="77777777" w:rsidR="004E58BF" w:rsidRDefault="004E58BF" w:rsidP="004702E7">
      <w:pPr>
        <w:spacing w:before="240"/>
      </w:pPr>
    </w:p>
    <w:p w14:paraId="6A2BAA4C" w14:textId="2610EB5C" w:rsidR="0075622C" w:rsidRPr="00055D3F" w:rsidRDefault="60A05D1C" w:rsidP="60A05D1C">
      <w:pPr>
        <w:spacing w:before="240"/>
        <w:rPr>
          <w:b/>
          <w:bCs/>
        </w:rPr>
      </w:pPr>
      <w:r>
        <w:t xml:space="preserve">A </w:t>
      </w:r>
      <w:r w:rsidRPr="60A05D1C">
        <w:rPr>
          <w:b/>
          <w:bCs/>
        </w:rPr>
        <w:t>jövedéki adó</w:t>
      </w:r>
      <w:r>
        <w:t>ból származó bevétel az év első négy hónapjában 363,3</w:t>
      </w:r>
      <w:r w:rsidR="003315A9">
        <w:t> </w:t>
      </w:r>
      <w:r>
        <w:t>milliárd forintot tett ki, amely 19,2</w:t>
      </w:r>
      <w:r w:rsidR="003315A9">
        <w:t> </w:t>
      </w:r>
      <w:r>
        <w:t xml:space="preserve">milliárd forinttal magasabb az egy évvel korábbi bevételnél. </w:t>
      </w:r>
    </w:p>
    <w:p w14:paraId="1DE15FFA" w14:textId="24442DD8" w:rsidR="000704E9" w:rsidRDefault="000704E9" w:rsidP="00E75B9B">
      <w:pPr>
        <w:spacing w:before="120"/>
      </w:pPr>
    </w:p>
    <w:tbl>
      <w:tblPr>
        <w:tblW w:w="6679" w:type="dxa"/>
        <w:jc w:val="center"/>
        <w:tblCellMar>
          <w:left w:w="70" w:type="dxa"/>
          <w:right w:w="70" w:type="dxa"/>
        </w:tblCellMar>
        <w:tblLook w:val="04A0" w:firstRow="1" w:lastRow="0" w:firstColumn="1" w:lastColumn="0" w:noHBand="0" w:noVBand="1"/>
      </w:tblPr>
      <w:tblGrid>
        <w:gridCol w:w="3118"/>
        <w:gridCol w:w="993"/>
        <w:gridCol w:w="992"/>
        <w:gridCol w:w="709"/>
        <w:gridCol w:w="867"/>
      </w:tblGrid>
      <w:tr w:rsidR="00024A56" w:rsidRPr="00024A56" w14:paraId="3A81EA80" w14:textId="77777777" w:rsidTr="60A05D1C">
        <w:trPr>
          <w:trHeight w:val="255"/>
          <w:jc w:val="center"/>
        </w:trPr>
        <w:tc>
          <w:tcPr>
            <w:tcW w:w="6679" w:type="dxa"/>
            <w:gridSpan w:val="5"/>
            <w:tcBorders>
              <w:top w:val="nil"/>
              <w:left w:val="nil"/>
              <w:bottom w:val="nil"/>
              <w:right w:val="nil"/>
            </w:tcBorders>
            <w:shd w:val="clear" w:color="auto" w:fill="auto"/>
            <w:noWrap/>
            <w:vAlign w:val="bottom"/>
            <w:hideMark/>
          </w:tcPr>
          <w:p w14:paraId="6E79320C" w14:textId="77777777" w:rsidR="00024A56" w:rsidRPr="00024A56" w:rsidRDefault="60A05D1C" w:rsidP="60A05D1C">
            <w:pPr>
              <w:spacing w:before="120"/>
              <w:jc w:val="center"/>
              <w:rPr>
                <w:b/>
                <w:bCs/>
                <w:color w:val="000000" w:themeColor="text1"/>
                <w:sz w:val="20"/>
              </w:rPr>
            </w:pPr>
            <w:r w:rsidRPr="60A05D1C">
              <w:rPr>
                <w:b/>
                <w:bCs/>
                <w:color w:val="000000" w:themeColor="text1"/>
                <w:sz w:val="20"/>
              </w:rPr>
              <w:t>Jövedéki adó bevétel alakulása (milliárd forint)</w:t>
            </w:r>
          </w:p>
        </w:tc>
      </w:tr>
      <w:tr w:rsidR="00024A56" w:rsidRPr="00024A56" w14:paraId="34A1C44D" w14:textId="77777777" w:rsidTr="60A05D1C">
        <w:trPr>
          <w:trHeight w:val="450"/>
          <w:jc w:val="center"/>
        </w:trPr>
        <w:tc>
          <w:tcPr>
            <w:tcW w:w="31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5AFD96E8" w14:textId="77777777" w:rsidR="00024A56" w:rsidRPr="00024A56" w:rsidRDefault="60A05D1C" w:rsidP="60A05D1C">
            <w:pPr>
              <w:spacing w:after="0"/>
              <w:jc w:val="center"/>
              <w:rPr>
                <w:b/>
                <w:bCs/>
                <w:color w:val="000000" w:themeColor="text1"/>
                <w:sz w:val="20"/>
              </w:rPr>
            </w:pPr>
            <w:r w:rsidRPr="60A05D1C">
              <w:rPr>
                <w:b/>
                <w:bCs/>
                <w:color w:val="000000" w:themeColor="text1"/>
                <w:sz w:val="20"/>
              </w:rPr>
              <w:t>Megnevezés</w:t>
            </w:r>
          </w:p>
        </w:tc>
        <w:tc>
          <w:tcPr>
            <w:tcW w:w="99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932975" w14:textId="44DC7FC6" w:rsidR="00024A56" w:rsidRPr="00024A56" w:rsidRDefault="60A05D1C" w:rsidP="60A05D1C">
            <w:pPr>
              <w:spacing w:after="0"/>
              <w:jc w:val="center"/>
              <w:rPr>
                <w:b/>
                <w:bCs/>
                <w:sz w:val="20"/>
              </w:rPr>
            </w:pPr>
            <w:r w:rsidRPr="60A05D1C">
              <w:rPr>
                <w:b/>
                <w:bCs/>
                <w:sz w:val="20"/>
              </w:rPr>
              <w:t>2019.</w:t>
            </w:r>
            <w:r w:rsidR="25153DD4">
              <w:br/>
            </w:r>
            <w:r w:rsidRPr="60A05D1C">
              <w:rPr>
                <w:b/>
                <w:bCs/>
                <w:sz w:val="20"/>
              </w:rPr>
              <w:t>I-IV. hó</w:t>
            </w:r>
          </w:p>
        </w:tc>
        <w:tc>
          <w:tcPr>
            <w:tcW w:w="992"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1AA4BEA" w14:textId="00B98CF5" w:rsidR="00024A56" w:rsidRPr="00024A56" w:rsidRDefault="60A05D1C" w:rsidP="60A05D1C">
            <w:pPr>
              <w:spacing w:after="0"/>
              <w:jc w:val="center"/>
              <w:rPr>
                <w:b/>
                <w:bCs/>
                <w:sz w:val="20"/>
              </w:rPr>
            </w:pPr>
            <w:r w:rsidRPr="60A05D1C">
              <w:rPr>
                <w:b/>
                <w:bCs/>
                <w:sz w:val="20"/>
              </w:rPr>
              <w:t>2020.</w:t>
            </w:r>
            <w:r w:rsidR="25153DD4">
              <w:br/>
            </w:r>
            <w:r w:rsidRPr="60A05D1C">
              <w:rPr>
                <w:b/>
                <w:bCs/>
                <w:sz w:val="20"/>
              </w:rPr>
              <w:t>I-IV. hó</w:t>
            </w:r>
          </w:p>
        </w:tc>
        <w:tc>
          <w:tcPr>
            <w:tcW w:w="1576"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D2F24C1" w14:textId="77777777" w:rsidR="00024A56" w:rsidRPr="00024A56" w:rsidRDefault="60A05D1C" w:rsidP="60A05D1C">
            <w:pPr>
              <w:spacing w:after="0"/>
              <w:jc w:val="center"/>
              <w:rPr>
                <w:b/>
                <w:bCs/>
                <w:color w:val="000000" w:themeColor="text1"/>
                <w:sz w:val="20"/>
              </w:rPr>
            </w:pPr>
            <w:r w:rsidRPr="60A05D1C">
              <w:rPr>
                <w:b/>
                <w:bCs/>
                <w:color w:val="000000" w:themeColor="text1"/>
                <w:sz w:val="20"/>
              </w:rPr>
              <w:t>Eltérés</w:t>
            </w:r>
          </w:p>
        </w:tc>
      </w:tr>
      <w:tr w:rsidR="00024A56" w:rsidRPr="00024A56" w14:paraId="0A0EA470" w14:textId="77777777" w:rsidTr="60A05D1C">
        <w:trPr>
          <w:trHeight w:val="450"/>
          <w:jc w:val="center"/>
        </w:trPr>
        <w:tc>
          <w:tcPr>
            <w:tcW w:w="3118" w:type="dxa"/>
            <w:vMerge/>
            <w:tcBorders>
              <w:top w:val="single" w:sz="8" w:space="0" w:color="auto"/>
              <w:left w:val="single" w:sz="8" w:space="0" w:color="auto"/>
              <w:bottom w:val="single" w:sz="8" w:space="0" w:color="000000"/>
              <w:right w:val="single" w:sz="8" w:space="0" w:color="auto"/>
            </w:tcBorders>
            <w:vAlign w:val="center"/>
            <w:hideMark/>
          </w:tcPr>
          <w:p w14:paraId="3CF47CB0" w14:textId="77777777" w:rsidR="00024A56" w:rsidRPr="00024A56" w:rsidRDefault="00024A56" w:rsidP="00024A56">
            <w:pPr>
              <w:spacing w:after="0"/>
              <w:jc w:val="left"/>
              <w:rPr>
                <w:b/>
                <w:bCs/>
                <w:color w:val="000000"/>
                <w:sz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A60470E" w14:textId="77777777" w:rsidR="00024A56" w:rsidRPr="00024A56" w:rsidRDefault="00024A56" w:rsidP="00024A56">
            <w:pPr>
              <w:spacing w:after="0"/>
              <w:jc w:val="left"/>
              <w:rPr>
                <w:b/>
                <w:bCs/>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9292C5" w14:textId="77777777" w:rsidR="00024A56" w:rsidRPr="00024A56" w:rsidRDefault="00024A56" w:rsidP="00024A56">
            <w:pPr>
              <w:spacing w:after="0"/>
              <w:jc w:val="left"/>
              <w:rPr>
                <w:b/>
                <w:bCs/>
                <w:sz w:val="20"/>
              </w:rPr>
            </w:pPr>
          </w:p>
        </w:tc>
        <w:tc>
          <w:tcPr>
            <w:tcW w:w="709" w:type="dxa"/>
            <w:tcBorders>
              <w:top w:val="nil"/>
              <w:left w:val="nil"/>
              <w:bottom w:val="single" w:sz="8" w:space="0" w:color="auto"/>
              <w:right w:val="single" w:sz="4" w:space="0" w:color="auto"/>
            </w:tcBorders>
            <w:shd w:val="clear" w:color="auto" w:fill="auto"/>
            <w:noWrap/>
            <w:vAlign w:val="center"/>
            <w:hideMark/>
          </w:tcPr>
          <w:p w14:paraId="54154943" w14:textId="77777777" w:rsidR="00024A56" w:rsidRPr="00024A56" w:rsidRDefault="60A05D1C" w:rsidP="60A05D1C">
            <w:pPr>
              <w:spacing w:after="0"/>
              <w:jc w:val="center"/>
              <w:rPr>
                <w:b/>
                <w:bCs/>
                <w:color w:val="000000" w:themeColor="text1"/>
                <w:sz w:val="20"/>
              </w:rPr>
            </w:pPr>
            <w:r w:rsidRPr="60A05D1C">
              <w:rPr>
                <w:b/>
                <w:bCs/>
                <w:color w:val="000000" w:themeColor="text1"/>
                <w:sz w:val="20"/>
              </w:rPr>
              <w:t>Mrd Ft</w:t>
            </w:r>
          </w:p>
        </w:tc>
        <w:tc>
          <w:tcPr>
            <w:tcW w:w="867" w:type="dxa"/>
            <w:tcBorders>
              <w:top w:val="nil"/>
              <w:left w:val="nil"/>
              <w:bottom w:val="single" w:sz="8" w:space="0" w:color="auto"/>
              <w:right w:val="single" w:sz="8" w:space="0" w:color="auto"/>
            </w:tcBorders>
            <w:shd w:val="clear" w:color="auto" w:fill="auto"/>
            <w:noWrap/>
            <w:vAlign w:val="center"/>
            <w:hideMark/>
          </w:tcPr>
          <w:p w14:paraId="4FA863EF" w14:textId="77777777" w:rsidR="00024A56" w:rsidRPr="00024A56" w:rsidRDefault="60A05D1C" w:rsidP="60A05D1C">
            <w:pPr>
              <w:spacing w:after="0"/>
              <w:jc w:val="center"/>
              <w:rPr>
                <w:b/>
                <w:bCs/>
                <w:color w:val="000000" w:themeColor="text1"/>
                <w:sz w:val="20"/>
              </w:rPr>
            </w:pPr>
            <w:r w:rsidRPr="60A05D1C">
              <w:rPr>
                <w:b/>
                <w:bCs/>
                <w:color w:val="000000" w:themeColor="text1"/>
                <w:sz w:val="20"/>
              </w:rPr>
              <w:t>%</w:t>
            </w:r>
          </w:p>
        </w:tc>
      </w:tr>
      <w:tr w:rsidR="00B67841" w:rsidRPr="00024A56" w14:paraId="508557F8" w14:textId="77777777" w:rsidTr="60A05D1C">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6EC723A4" w14:textId="50D0FBE1" w:rsidR="00B67841" w:rsidRPr="00024A56" w:rsidRDefault="60A05D1C" w:rsidP="60A05D1C">
            <w:pPr>
              <w:spacing w:after="0"/>
              <w:jc w:val="left"/>
              <w:rPr>
                <w:b/>
                <w:bCs/>
                <w:sz w:val="20"/>
              </w:rPr>
            </w:pPr>
            <w:r w:rsidRPr="60A05D1C">
              <w:rPr>
                <w:b/>
                <w:bCs/>
                <w:sz w:val="20"/>
              </w:rPr>
              <w:t>Üzemanyag jövedéki adó</w:t>
            </w:r>
          </w:p>
        </w:tc>
        <w:tc>
          <w:tcPr>
            <w:tcW w:w="993" w:type="dxa"/>
            <w:tcBorders>
              <w:top w:val="nil"/>
              <w:left w:val="nil"/>
              <w:bottom w:val="single" w:sz="4" w:space="0" w:color="auto"/>
              <w:right w:val="single" w:sz="8" w:space="0" w:color="auto"/>
            </w:tcBorders>
            <w:shd w:val="clear" w:color="auto" w:fill="auto"/>
            <w:noWrap/>
          </w:tcPr>
          <w:p w14:paraId="68AF4B4E" w14:textId="08E6EEFF" w:rsidR="00B67841" w:rsidRPr="00B67841" w:rsidRDefault="60A05D1C" w:rsidP="60A05D1C">
            <w:pPr>
              <w:spacing w:after="0"/>
              <w:jc w:val="center"/>
              <w:rPr>
                <w:sz w:val="20"/>
              </w:rPr>
            </w:pPr>
            <w:r w:rsidRPr="60A05D1C">
              <w:rPr>
                <w:sz w:val="20"/>
              </w:rPr>
              <w:t>201,4</w:t>
            </w:r>
          </w:p>
        </w:tc>
        <w:tc>
          <w:tcPr>
            <w:tcW w:w="992" w:type="dxa"/>
            <w:tcBorders>
              <w:top w:val="nil"/>
              <w:left w:val="nil"/>
              <w:bottom w:val="single" w:sz="4" w:space="0" w:color="auto"/>
              <w:right w:val="single" w:sz="8" w:space="0" w:color="auto"/>
            </w:tcBorders>
            <w:shd w:val="clear" w:color="auto" w:fill="auto"/>
            <w:noWrap/>
          </w:tcPr>
          <w:p w14:paraId="27E8CB93" w14:textId="17F9EE38" w:rsidR="00B67841" w:rsidRPr="00B67841" w:rsidRDefault="60A05D1C" w:rsidP="60A05D1C">
            <w:pPr>
              <w:spacing w:after="0"/>
              <w:jc w:val="center"/>
              <w:rPr>
                <w:sz w:val="20"/>
              </w:rPr>
            </w:pPr>
            <w:r w:rsidRPr="60A05D1C">
              <w:rPr>
                <w:sz w:val="20"/>
              </w:rPr>
              <w:t>201,7</w:t>
            </w:r>
          </w:p>
        </w:tc>
        <w:tc>
          <w:tcPr>
            <w:tcW w:w="709" w:type="dxa"/>
            <w:tcBorders>
              <w:top w:val="nil"/>
              <w:left w:val="nil"/>
              <w:bottom w:val="single" w:sz="4" w:space="0" w:color="auto"/>
              <w:right w:val="single" w:sz="4" w:space="0" w:color="auto"/>
            </w:tcBorders>
            <w:shd w:val="clear" w:color="auto" w:fill="auto"/>
            <w:noWrap/>
          </w:tcPr>
          <w:p w14:paraId="28D690E2" w14:textId="7F060DE1" w:rsidR="00B67841" w:rsidRPr="00B67841" w:rsidRDefault="60A05D1C" w:rsidP="60A05D1C">
            <w:pPr>
              <w:spacing w:after="0"/>
              <w:jc w:val="center"/>
              <w:rPr>
                <w:color w:val="000000" w:themeColor="text1"/>
                <w:sz w:val="20"/>
              </w:rPr>
            </w:pPr>
            <w:r w:rsidRPr="60A05D1C">
              <w:rPr>
                <w:sz w:val="20"/>
              </w:rPr>
              <w:t>0,3</w:t>
            </w:r>
          </w:p>
        </w:tc>
        <w:tc>
          <w:tcPr>
            <w:tcW w:w="867" w:type="dxa"/>
            <w:tcBorders>
              <w:top w:val="nil"/>
              <w:left w:val="nil"/>
              <w:bottom w:val="single" w:sz="4" w:space="0" w:color="auto"/>
              <w:right w:val="single" w:sz="8" w:space="0" w:color="auto"/>
            </w:tcBorders>
            <w:shd w:val="clear" w:color="auto" w:fill="auto"/>
            <w:noWrap/>
          </w:tcPr>
          <w:p w14:paraId="4A80F6B5" w14:textId="4DAD21C1" w:rsidR="00B67841" w:rsidRPr="00B67841" w:rsidRDefault="60A05D1C" w:rsidP="60A05D1C">
            <w:pPr>
              <w:spacing w:after="0"/>
              <w:jc w:val="center"/>
              <w:rPr>
                <w:sz w:val="20"/>
              </w:rPr>
            </w:pPr>
            <w:r w:rsidRPr="60A05D1C">
              <w:rPr>
                <w:sz w:val="20"/>
              </w:rPr>
              <w:t>100,1</w:t>
            </w:r>
          </w:p>
        </w:tc>
      </w:tr>
      <w:tr w:rsidR="00B67841" w:rsidRPr="00024A56" w14:paraId="57AD209F" w14:textId="77777777" w:rsidTr="60A05D1C">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268C933F" w14:textId="35F788F0" w:rsidR="00B67841" w:rsidRPr="00024A56" w:rsidRDefault="60A05D1C" w:rsidP="60A05D1C">
            <w:pPr>
              <w:spacing w:after="0"/>
              <w:jc w:val="left"/>
              <w:rPr>
                <w:b/>
                <w:bCs/>
                <w:sz w:val="20"/>
              </w:rPr>
            </w:pPr>
            <w:r w:rsidRPr="60A05D1C">
              <w:rPr>
                <w:b/>
                <w:bCs/>
                <w:sz w:val="20"/>
              </w:rPr>
              <w:t>Dohánygyártmány jövedéki adó</w:t>
            </w:r>
          </w:p>
        </w:tc>
        <w:tc>
          <w:tcPr>
            <w:tcW w:w="993" w:type="dxa"/>
            <w:tcBorders>
              <w:top w:val="nil"/>
              <w:left w:val="nil"/>
              <w:bottom w:val="single" w:sz="4" w:space="0" w:color="auto"/>
              <w:right w:val="single" w:sz="8" w:space="0" w:color="auto"/>
            </w:tcBorders>
            <w:shd w:val="clear" w:color="auto" w:fill="auto"/>
            <w:noWrap/>
          </w:tcPr>
          <w:p w14:paraId="79F99CAB" w14:textId="1802122C" w:rsidR="00B67841" w:rsidRPr="00B67841" w:rsidRDefault="60A05D1C" w:rsidP="60A05D1C">
            <w:pPr>
              <w:spacing w:after="0"/>
              <w:jc w:val="center"/>
              <w:rPr>
                <w:sz w:val="20"/>
              </w:rPr>
            </w:pPr>
            <w:r w:rsidRPr="60A05D1C">
              <w:rPr>
                <w:sz w:val="20"/>
              </w:rPr>
              <w:t>106,8</w:t>
            </w:r>
          </w:p>
        </w:tc>
        <w:tc>
          <w:tcPr>
            <w:tcW w:w="992" w:type="dxa"/>
            <w:tcBorders>
              <w:top w:val="nil"/>
              <w:left w:val="nil"/>
              <w:bottom w:val="single" w:sz="4" w:space="0" w:color="auto"/>
              <w:right w:val="single" w:sz="8" w:space="0" w:color="auto"/>
            </w:tcBorders>
            <w:shd w:val="clear" w:color="auto" w:fill="auto"/>
            <w:noWrap/>
          </w:tcPr>
          <w:p w14:paraId="77FC4294" w14:textId="1DFEB81A" w:rsidR="00B67841" w:rsidRPr="00B67841" w:rsidRDefault="60A05D1C" w:rsidP="60A05D1C">
            <w:pPr>
              <w:spacing w:after="0"/>
              <w:jc w:val="center"/>
              <w:rPr>
                <w:sz w:val="20"/>
              </w:rPr>
            </w:pPr>
            <w:r w:rsidRPr="60A05D1C">
              <w:rPr>
                <w:sz w:val="20"/>
              </w:rPr>
              <w:t>127,5</w:t>
            </w:r>
          </w:p>
        </w:tc>
        <w:tc>
          <w:tcPr>
            <w:tcW w:w="709" w:type="dxa"/>
            <w:tcBorders>
              <w:top w:val="nil"/>
              <w:left w:val="nil"/>
              <w:bottom w:val="single" w:sz="4" w:space="0" w:color="auto"/>
              <w:right w:val="single" w:sz="4" w:space="0" w:color="auto"/>
            </w:tcBorders>
            <w:shd w:val="clear" w:color="auto" w:fill="auto"/>
            <w:noWrap/>
          </w:tcPr>
          <w:p w14:paraId="23932EB7" w14:textId="4A7575B5" w:rsidR="00B67841" w:rsidRPr="00B67841" w:rsidRDefault="60A05D1C" w:rsidP="60A05D1C">
            <w:pPr>
              <w:spacing w:after="0"/>
              <w:jc w:val="center"/>
              <w:rPr>
                <w:color w:val="000000" w:themeColor="text1"/>
                <w:sz w:val="20"/>
              </w:rPr>
            </w:pPr>
            <w:r w:rsidRPr="60A05D1C">
              <w:rPr>
                <w:sz w:val="20"/>
              </w:rPr>
              <w:t>20,7</w:t>
            </w:r>
          </w:p>
        </w:tc>
        <w:tc>
          <w:tcPr>
            <w:tcW w:w="867" w:type="dxa"/>
            <w:tcBorders>
              <w:top w:val="nil"/>
              <w:left w:val="nil"/>
              <w:bottom w:val="single" w:sz="4" w:space="0" w:color="auto"/>
              <w:right w:val="single" w:sz="8" w:space="0" w:color="auto"/>
            </w:tcBorders>
            <w:shd w:val="clear" w:color="auto" w:fill="auto"/>
            <w:noWrap/>
          </w:tcPr>
          <w:p w14:paraId="6073DB33" w14:textId="56868D36" w:rsidR="00B67841" w:rsidRPr="00B67841" w:rsidRDefault="60A05D1C" w:rsidP="005D1548">
            <w:pPr>
              <w:spacing w:after="0"/>
              <w:jc w:val="center"/>
              <w:rPr>
                <w:sz w:val="20"/>
              </w:rPr>
            </w:pPr>
            <w:r w:rsidRPr="60A05D1C">
              <w:rPr>
                <w:sz w:val="20"/>
              </w:rPr>
              <w:t>119,</w:t>
            </w:r>
            <w:r w:rsidR="005D1548">
              <w:rPr>
                <w:sz w:val="20"/>
              </w:rPr>
              <w:t>4</w:t>
            </w:r>
          </w:p>
        </w:tc>
      </w:tr>
      <w:tr w:rsidR="00B67841" w:rsidRPr="00024A56" w14:paraId="2E89E7E2" w14:textId="77777777" w:rsidTr="60A05D1C">
        <w:trPr>
          <w:trHeight w:val="270"/>
          <w:jc w:val="center"/>
        </w:trPr>
        <w:tc>
          <w:tcPr>
            <w:tcW w:w="3118" w:type="dxa"/>
            <w:tcBorders>
              <w:top w:val="nil"/>
              <w:left w:val="single" w:sz="8" w:space="0" w:color="auto"/>
              <w:bottom w:val="nil"/>
              <w:right w:val="single" w:sz="8" w:space="0" w:color="auto"/>
            </w:tcBorders>
            <w:shd w:val="clear" w:color="auto" w:fill="auto"/>
            <w:noWrap/>
            <w:vAlign w:val="center"/>
            <w:hideMark/>
          </w:tcPr>
          <w:p w14:paraId="27C95F96" w14:textId="79969345" w:rsidR="00B67841" w:rsidRPr="00024A56" w:rsidRDefault="60A05D1C" w:rsidP="60A05D1C">
            <w:pPr>
              <w:spacing w:after="0"/>
              <w:jc w:val="left"/>
              <w:rPr>
                <w:b/>
                <w:bCs/>
                <w:sz w:val="20"/>
              </w:rPr>
            </w:pPr>
            <w:r w:rsidRPr="60A05D1C">
              <w:rPr>
                <w:b/>
                <w:bCs/>
                <w:sz w:val="20"/>
              </w:rPr>
              <w:t>Egyéb termék jövedéki adó</w:t>
            </w:r>
          </w:p>
        </w:tc>
        <w:tc>
          <w:tcPr>
            <w:tcW w:w="993" w:type="dxa"/>
            <w:tcBorders>
              <w:top w:val="nil"/>
              <w:left w:val="nil"/>
              <w:bottom w:val="nil"/>
              <w:right w:val="single" w:sz="8" w:space="0" w:color="auto"/>
            </w:tcBorders>
            <w:shd w:val="clear" w:color="auto" w:fill="auto"/>
            <w:noWrap/>
          </w:tcPr>
          <w:p w14:paraId="7364BF93" w14:textId="29C46979" w:rsidR="00B67841" w:rsidRPr="00B67841" w:rsidRDefault="60A05D1C" w:rsidP="60A05D1C">
            <w:pPr>
              <w:spacing w:after="0"/>
              <w:jc w:val="center"/>
              <w:rPr>
                <w:sz w:val="20"/>
              </w:rPr>
            </w:pPr>
            <w:r w:rsidRPr="60A05D1C">
              <w:rPr>
                <w:sz w:val="20"/>
              </w:rPr>
              <w:t>28,6</w:t>
            </w:r>
          </w:p>
        </w:tc>
        <w:tc>
          <w:tcPr>
            <w:tcW w:w="992" w:type="dxa"/>
            <w:tcBorders>
              <w:top w:val="nil"/>
              <w:left w:val="nil"/>
              <w:bottom w:val="nil"/>
              <w:right w:val="single" w:sz="8" w:space="0" w:color="auto"/>
            </w:tcBorders>
            <w:shd w:val="clear" w:color="auto" w:fill="auto"/>
            <w:noWrap/>
          </w:tcPr>
          <w:p w14:paraId="7B16728B" w14:textId="3189CDDF" w:rsidR="00B67841" w:rsidRPr="00B67841" w:rsidRDefault="60A05D1C" w:rsidP="60A05D1C">
            <w:pPr>
              <w:spacing w:after="0"/>
              <w:jc w:val="center"/>
              <w:rPr>
                <w:sz w:val="20"/>
              </w:rPr>
            </w:pPr>
            <w:r w:rsidRPr="60A05D1C">
              <w:rPr>
                <w:sz w:val="20"/>
              </w:rPr>
              <w:t>26,0</w:t>
            </w:r>
          </w:p>
        </w:tc>
        <w:tc>
          <w:tcPr>
            <w:tcW w:w="709" w:type="dxa"/>
            <w:tcBorders>
              <w:top w:val="nil"/>
              <w:left w:val="nil"/>
              <w:bottom w:val="nil"/>
              <w:right w:val="single" w:sz="4" w:space="0" w:color="auto"/>
            </w:tcBorders>
            <w:shd w:val="clear" w:color="auto" w:fill="auto"/>
            <w:noWrap/>
          </w:tcPr>
          <w:p w14:paraId="27354059" w14:textId="69FBCFC4" w:rsidR="00B67841" w:rsidRPr="00B67841" w:rsidRDefault="60A05D1C" w:rsidP="60A05D1C">
            <w:pPr>
              <w:spacing w:after="0"/>
              <w:jc w:val="center"/>
              <w:rPr>
                <w:color w:val="000000" w:themeColor="text1"/>
                <w:sz w:val="20"/>
              </w:rPr>
            </w:pPr>
            <w:r w:rsidRPr="60A05D1C">
              <w:rPr>
                <w:sz w:val="20"/>
              </w:rPr>
              <w:t>-2,6</w:t>
            </w:r>
          </w:p>
        </w:tc>
        <w:tc>
          <w:tcPr>
            <w:tcW w:w="867" w:type="dxa"/>
            <w:tcBorders>
              <w:top w:val="nil"/>
              <w:left w:val="nil"/>
              <w:bottom w:val="nil"/>
              <w:right w:val="single" w:sz="8" w:space="0" w:color="auto"/>
            </w:tcBorders>
            <w:shd w:val="clear" w:color="auto" w:fill="auto"/>
            <w:noWrap/>
          </w:tcPr>
          <w:p w14:paraId="40F267EE" w14:textId="523DC5D6" w:rsidR="00B67841" w:rsidRPr="00B67841" w:rsidRDefault="60A05D1C" w:rsidP="00261A18">
            <w:pPr>
              <w:spacing w:after="0"/>
              <w:jc w:val="center"/>
              <w:rPr>
                <w:sz w:val="20"/>
              </w:rPr>
            </w:pPr>
            <w:r w:rsidRPr="60A05D1C">
              <w:rPr>
                <w:sz w:val="20"/>
              </w:rPr>
              <w:t>9</w:t>
            </w:r>
            <w:r w:rsidR="00261A18">
              <w:rPr>
                <w:sz w:val="20"/>
              </w:rPr>
              <w:t>0,9</w:t>
            </w:r>
          </w:p>
        </w:tc>
      </w:tr>
      <w:tr w:rsidR="00B67841" w:rsidRPr="00024A56" w14:paraId="664D47E1" w14:textId="77777777" w:rsidTr="60A05D1C">
        <w:trPr>
          <w:trHeight w:val="270"/>
          <w:jc w:val="center"/>
        </w:trPr>
        <w:tc>
          <w:tcPr>
            <w:tcW w:w="3118" w:type="dxa"/>
            <w:tcBorders>
              <w:top w:val="single" w:sz="4" w:space="0" w:color="auto"/>
              <w:left w:val="single" w:sz="8" w:space="0" w:color="auto"/>
              <w:bottom w:val="nil"/>
              <w:right w:val="single" w:sz="8" w:space="0" w:color="auto"/>
            </w:tcBorders>
            <w:shd w:val="clear" w:color="auto" w:fill="auto"/>
            <w:noWrap/>
            <w:vAlign w:val="center"/>
            <w:hideMark/>
          </w:tcPr>
          <w:p w14:paraId="7B919B72" w14:textId="7F22971B" w:rsidR="00B67841" w:rsidRPr="00024A56" w:rsidRDefault="60A05D1C" w:rsidP="60A05D1C">
            <w:pPr>
              <w:spacing w:after="0"/>
              <w:jc w:val="left"/>
              <w:rPr>
                <w:b/>
                <w:bCs/>
                <w:sz w:val="20"/>
              </w:rPr>
            </w:pPr>
            <w:proofErr w:type="gramStart"/>
            <w:r w:rsidRPr="60A05D1C">
              <w:rPr>
                <w:b/>
                <w:bCs/>
                <w:sz w:val="20"/>
              </w:rPr>
              <w:t>Import</w:t>
            </w:r>
            <w:proofErr w:type="gramEnd"/>
            <w:r w:rsidRPr="60A05D1C">
              <w:rPr>
                <w:b/>
                <w:bCs/>
                <w:sz w:val="20"/>
              </w:rPr>
              <w:t xml:space="preserve"> jövedéki adó és energiaadó</w:t>
            </w:r>
          </w:p>
        </w:tc>
        <w:tc>
          <w:tcPr>
            <w:tcW w:w="993" w:type="dxa"/>
            <w:tcBorders>
              <w:top w:val="single" w:sz="4" w:space="0" w:color="auto"/>
              <w:left w:val="nil"/>
              <w:bottom w:val="nil"/>
              <w:right w:val="single" w:sz="8" w:space="0" w:color="auto"/>
            </w:tcBorders>
            <w:shd w:val="clear" w:color="auto" w:fill="auto"/>
            <w:noWrap/>
          </w:tcPr>
          <w:p w14:paraId="1C055628" w14:textId="0ACB3696" w:rsidR="00B67841" w:rsidRPr="00B67841" w:rsidRDefault="60A05D1C" w:rsidP="60A05D1C">
            <w:pPr>
              <w:spacing w:after="0"/>
              <w:jc w:val="center"/>
              <w:rPr>
                <w:sz w:val="20"/>
              </w:rPr>
            </w:pPr>
            <w:r w:rsidRPr="60A05D1C">
              <w:rPr>
                <w:sz w:val="20"/>
              </w:rPr>
              <w:t>7,3</w:t>
            </w:r>
          </w:p>
        </w:tc>
        <w:tc>
          <w:tcPr>
            <w:tcW w:w="992" w:type="dxa"/>
            <w:tcBorders>
              <w:top w:val="single" w:sz="4" w:space="0" w:color="auto"/>
              <w:left w:val="nil"/>
              <w:bottom w:val="nil"/>
              <w:right w:val="single" w:sz="8" w:space="0" w:color="auto"/>
            </w:tcBorders>
            <w:shd w:val="clear" w:color="auto" w:fill="auto"/>
            <w:noWrap/>
          </w:tcPr>
          <w:p w14:paraId="13C70C2F" w14:textId="7B042FE6" w:rsidR="00B67841" w:rsidRPr="00B67841" w:rsidRDefault="60A05D1C" w:rsidP="60A05D1C">
            <w:pPr>
              <w:spacing w:after="0"/>
              <w:jc w:val="center"/>
              <w:rPr>
                <w:sz w:val="20"/>
              </w:rPr>
            </w:pPr>
            <w:r w:rsidRPr="60A05D1C">
              <w:rPr>
                <w:sz w:val="20"/>
              </w:rPr>
              <w:t>8,1</w:t>
            </w:r>
          </w:p>
        </w:tc>
        <w:tc>
          <w:tcPr>
            <w:tcW w:w="709" w:type="dxa"/>
            <w:tcBorders>
              <w:top w:val="single" w:sz="4" w:space="0" w:color="auto"/>
              <w:left w:val="nil"/>
              <w:bottom w:val="nil"/>
              <w:right w:val="single" w:sz="4" w:space="0" w:color="auto"/>
            </w:tcBorders>
            <w:shd w:val="clear" w:color="auto" w:fill="auto"/>
            <w:noWrap/>
          </w:tcPr>
          <w:p w14:paraId="562B1DC5" w14:textId="44DA488D" w:rsidR="00B67841" w:rsidRPr="00B67841" w:rsidRDefault="60A05D1C" w:rsidP="60A05D1C">
            <w:pPr>
              <w:spacing w:after="0"/>
              <w:jc w:val="center"/>
              <w:rPr>
                <w:color w:val="000000" w:themeColor="text1"/>
                <w:sz w:val="20"/>
              </w:rPr>
            </w:pPr>
            <w:r w:rsidRPr="60A05D1C">
              <w:rPr>
                <w:sz w:val="20"/>
              </w:rPr>
              <w:t>0,8</w:t>
            </w:r>
          </w:p>
        </w:tc>
        <w:tc>
          <w:tcPr>
            <w:tcW w:w="867" w:type="dxa"/>
            <w:tcBorders>
              <w:top w:val="single" w:sz="4" w:space="0" w:color="auto"/>
              <w:left w:val="nil"/>
              <w:bottom w:val="nil"/>
              <w:right w:val="single" w:sz="8" w:space="0" w:color="auto"/>
            </w:tcBorders>
            <w:shd w:val="clear" w:color="auto" w:fill="auto"/>
            <w:noWrap/>
          </w:tcPr>
          <w:p w14:paraId="4F21FF55" w14:textId="7A3C88A1" w:rsidR="00B67841" w:rsidRPr="00B67841" w:rsidRDefault="00CA69FA" w:rsidP="00CA69FA">
            <w:pPr>
              <w:spacing w:after="0"/>
              <w:jc w:val="center"/>
              <w:rPr>
                <w:sz w:val="20"/>
              </w:rPr>
            </w:pPr>
            <w:r>
              <w:rPr>
                <w:sz w:val="20"/>
              </w:rPr>
              <w:t>111,0</w:t>
            </w:r>
          </w:p>
        </w:tc>
      </w:tr>
      <w:tr w:rsidR="00B67841" w:rsidRPr="000C321A" w14:paraId="65DFBFEE" w14:textId="77777777" w:rsidTr="60A05D1C">
        <w:trPr>
          <w:trHeight w:val="270"/>
          <w:jc w:val="center"/>
        </w:trPr>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B3BD6" w14:textId="36BFD6F0" w:rsidR="00B67841" w:rsidRPr="00024A56" w:rsidRDefault="60A05D1C" w:rsidP="60A05D1C">
            <w:pPr>
              <w:spacing w:after="0"/>
              <w:jc w:val="left"/>
              <w:rPr>
                <w:b/>
                <w:bCs/>
                <w:sz w:val="20"/>
              </w:rPr>
            </w:pPr>
            <w:r w:rsidRPr="60A05D1C">
              <w:rPr>
                <w:b/>
                <w:bCs/>
                <w:sz w:val="20"/>
              </w:rPr>
              <w:t>Jövedéki adók összesen</w:t>
            </w:r>
          </w:p>
        </w:tc>
        <w:tc>
          <w:tcPr>
            <w:tcW w:w="993" w:type="dxa"/>
            <w:tcBorders>
              <w:top w:val="single" w:sz="8" w:space="0" w:color="auto"/>
              <w:left w:val="nil"/>
              <w:bottom w:val="single" w:sz="8" w:space="0" w:color="auto"/>
              <w:right w:val="single" w:sz="8" w:space="0" w:color="auto"/>
            </w:tcBorders>
            <w:shd w:val="clear" w:color="auto" w:fill="auto"/>
            <w:noWrap/>
          </w:tcPr>
          <w:p w14:paraId="312362D3" w14:textId="5EAEF7C9" w:rsidR="00B67841" w:rsidRPr="00B67841" w:rsidRDefault="60A05D1C" w:rsidP="60A05D1C">
            <w:pPr>
              <w:spacing w:after="0"/>
              <w:jc w:val="center"/>
              <w:rPr>
                <w:b/>
                <w:bCs/>
                <w:sz w:val="20"/>
              </w:rPr>
            </w:pPr>
            <w:r w:rsidRPr="60A05D1C">
              <w:rPr>
                <w:b/>
                <w:bCs/>
                <w:sz w:val="20"/>
              </w:rPr>
              <w:t>344,1</w:t>
            </w:r>
          </w:p>
        </w:tc>
        <w:tc>
          <w:tcPr>
            <w:tcW w:w="992" w:type="dxa"/>
            <w:tcBorders>
              <w:top w:val="single" w:sz="8" w:space="0" w:color="auto"/>
              <w:left w:val="nil"/>
              <w:bottom w:val="single" w:sz="8" w:space="0" w:color="auto"/>
              <w:right w:val="single" w:sz="8" w:space="0" w:color="auto"/>
            </w:tcBorders>
            <w:shd w:val="clear" w:color="auto" w:fill="auto"/>
            <w:noWrap/>
          </w:tcPr>
          <w:p w14:paraId="35930993" w14:textId="27718F4D" w:rsidR="00B67841" w:rsidRPr="00B67841" w:rsidRDefault="60A05D1C" w:rsidP="60A05D1C">
            <w:pPr>
              <w:spacing w:after="0"/>
              <w:jc w:val="center"/>
              <w:rPr>
                <w:b/>
                <w:bCs/>
                <w:sz w:val="20"/>
              </w:rPr>
            </w:pPr>
            <w:r w:rsidRPr="60A05D1C">
              <w:rPr>
                <w:b/>
                <w:bCs/>
                <w:sz w:val="20"/>
              </w:rPr>
              <w:t>363,3</w:t>
            </w:r>
          </w:p>
        </w:tc>
        <w:tc>
          <w:tcPr>
            <w:tcW w:w="709" w:type="dxa"/>
            <w:tcBorders>
              <w:top w:val="single" w:sz="8" w:space="0" w:color="auto"/>
              <w:left w:val="nil"/>
              <w:bottom w:val="single" w:sz="8" w:space="0" w:color="auto"/>
              <w:right w:val="single" w:sz="4" w:space="0" w:color="auto"/>
            </w:tcBorders>
            <w:shd w:val="clear" w:color="auto" w:fill="auto"/>
            <w:noWrap/>
          </w:tcPr>
          <w:p w14:paraId="64E32CD5" w14:textId="10F7C0EE" w:rsidR="00B67841" w:rsidRPr="00B67841" w:rsidRDefault="60A05D1C" w:rsidP="60A05D1C">
            <w:pPr>
              <w:spacing w:after="0"/>
              <w:jc w:val="center"/>
              <w:rPr>
                <w:b/>
                <w:bCs/>
                <w:sz w:val="20"/>
              </w:rPr>
            </w:pPr>
            <w:r w:rsidRPr="60A05D1C">
              <w:rPr>
                <w:b/>
                <w:bCs/>
                <w:sz w:val="20"/>
              </w:rPr>
              <w:t>19,2</w:t>
            </w:r>
          </w:p>
        </w:tc>
        <w:tc>
          <w:tcPr>
            <w:tcW w:w="867" w:type="dxa"/>
            <w:tcBorders>
              <w:top w:val="single" w:sz="8" w:space="0" w:color="auto"/>
              <w:left w:val="nil"/>
              <w:bottom w:val="single" w:sz="8" w:space="0" w:color="auto"/>
              <w:right w:val="single" w:sz="8" w:space="0" w:color="auto"/>
            </w:tcBorders>
            <w:shd w:val="clear" w:color="auto" w:fill="auto"/>
            <w:noWrap/>
          </w:tcPr>
          <w:p w14:paraId="7A3BDED0" w14:textId="2332A4BE" w:rsidR="00B67841" w:rsidRPr="00B67841" w:rsidRDefault="60A05D1C" w:rsidP="60A05D1C">
            <w:pPr>
              <w:spacing w:after="0"/>
              <w:jc w:val="center"/>
              <w:rPr>
                <w:b/>
                <w:bCs/>
                <w:sz w:val="20"/>
              </w:rPr>
            </w:pPr>
            <w:r w:rsidRPr="60A05D1C">
              <w:rPr>
                <w:b/>
                <w:bCs/>
                <w:sz w:val="20"/>
              </w:rPr>
              <w:t>105,6</w:t>
            </w:r>
          </w:p>
        </w:tc>
      </w:tr>
    </w:tbl>
    <w:p w14:paraId="10743248" w14:textId="77777777" w:rsidR="001E4959" w:rsidRDefault="001E4959" w:rsidP="00F9316E">
      <w:pPr>
        <w:spacing w:after="0" w:line="259" w:lineRule="auto"/>
      </w:pPr>
    </w:p>
    <w:p w14:paraId="4FF6FA27" w14:textId="4F7E78AA" w:rsidR="0072669E" w:rsidRPr="00055D3F" w:rsidRDefault="60A05D1C" w:rsidP="60A05D1C">
      <w:pPr>
        <w:spacing w:before="240"/>
        <w:rPr>
          <w:b/>
          <w:bCs/>
        </w:rPr>
      </w:pPr>
      <w:r>
        <w:t>Az üzemanyagok utáni bevétel növekedését elsősorban a magasabb üzemanyag</w:t>
      </w:r>
      <w:r w:rsidR="00154A89">
        <w:t>-</w:t>
      </w:r>
      <w:r>
        <w:t>forgalom indokolja. A dohánytermékek utáni bevételek emelkedésének hátterében elsősorban az adómérték</w:t>
      </w:r>
      <w:r w:rsidR="00154A89">
        <w:t>-</w:t>
      </w:r>
      <w:r>
        <w:t>emelés áll. A</w:t>
      </w:r>
      <w:r w:rsidR="00BD2842">
        <w:t>z</w:t>
      </w:r>
      <w:r>
        <w:t xml:space="preserve"> egyéb termékek esetében a bevételek csökkenésének </w:t>
      </w:r>
      <w:r>
        <w:lastRenderedPageBreak/>
        <w:t>hátterében a népegészségügyi termékadót érintő</w:t>
      </w:r>
      <w:r w:rsidR="00A351F4">
        <w:t>,</w:t>
      </w:r>
      <w:r>
        <w:t xml:space="preserve"> 2019-től életbe lépő változásokhoz köthető készletezési hatás áll. A 2019. január 1-jétől szintén a jövedéki adó soron szereplő energiaadó</w:t>
      </w:r>
      <w:r w:rsidR="00C8352D">
        <w:t>-</w:t>
      </w:r>
      <w:r>
        <w:t>bevételek növekedésé</w:t>
      </w:r>
      <w:r w:rsidR="00F012A2">
        <w:t xml:space="preserve">t </w:t>
      </w:r>
      <w:r>
        <w:t xml:space="preserve">a magasabb energiafelhasználás </w:t>
      </w:r>
      <w:r w:rsidR="00F012A2">
        <w:t>okozza.</w:t>
      </w:r>
    </w:p>
    <w:p w14:paraId="63D96AEE" w14:textId="2408850D" w:rsidR="007B272A" w:rsidRPr="007B272A" w:rsidRDefault="60A05D1C" w:rsidP="007B272A">
      <w:r>
        <w:t xml:space="preserve">A </w:t>
      </w:r>
      <w:r w:rsidRPr="60A05D1C">
        <w:rPr>
          <w:b/>
          <w:bCs/>
        </w:rPr>
        <w:t>személyi jövedelemadó</w:t>
      </w:r>
      <w:r>
        <w:t xml:space="preserve"> államháztartási szintű bevétele az év első négy hónapjában 820,1</w:t>
      </w:r>
      <w:r w:rsidR="005D1312">
        <w:t> </w:t>
      </w:r>
      <w:r>
        <w:t>milliárd forint volt, amely 64,9</w:t>
      </w:r>
      <w:r w:rsidR="005D1312">
        <w:t> </w:t>
      </w:r>
      <w:r>
        <w:t xml:space="preserve"> milliárd forinttal magasabb az egy évvel korábbi összegnél. A bázisidőszaktól való eltérés oka a magasabb bérkiáramlás miatti </w:t>
      </w:r>
      <w:proofErr w:type="spellStart"/>
      <w:r>
        <w:t>befizetésnövekedés</w:t>
      </w:r>
      <w:proofErr w:type="spellEnd"/>
      <w:r>
        <w:t>. A koronavírus-járvány negatív gazdasági hatásai e hónaptól már jelentkeznek a pénzforgalmi adatokban.</w:t>
      </w:r>
    </w:p>
    <w:p w14:paraId="64BFF731" w14:textId="306A3E06" w:rsidR="00880623" w:rsidRDefault="00880623" w:rsidP="00F9316E">
      <w:pPr>
        <w:spacing w:after="0" w:line="259" w:lineRule="auto"/>
      </w:pPr>
    </w:p>
    <w:tbl>
      <w:tblPr>
        <w:tblW w:w="5620" w:type="dxa"/>
        <w:jc w:val="center"/>
        <w:tblCellMar>
          <w:left w:w="70" w:type="dxa"/>
          <w:right w:w="70" w:type="dxa"/>
        </w:tblCellMar>
        <w:tblLook w:val="04A0" w:firstRow="1" w:lastRow="0" w:firstColumn="1" w:lastColumn="0" w:noHBand="0" w:noVBand="1"/>
      </w:tblPr>
      <w:tblGrid>
        <w:gridCol w:w="1434"/>
        <w:gridCol w:w="1274"/>
        <w:gridCol w:w="1274"/>
        <w:gridCol w:w="947"/>
        <w:gridCol w:w="691"/>
      </w:tblGrid>
      <w:tr w:rsidR="003F1341" w:rsidRPr="003F1341" w14:paraId="5DA149F4" w14:textId="77777777" w:rsidTr="60A05D1C">
        <w:trPr>
          <w:trHeight w:val="270"/>
          <w:jc w:val="center"/>
        </w:trPr>
        <w:tc>
          <w:tcPr>
            <w:tcW w:w="5620" w:type="dxa"/>
            <w:gridSpan w:val="5"/>
            <w:tcBorders>
              <w:top w:val="nil"/>
              <w:left w:val="nil"/>
              <w:bottom w:val="nil"/>
              <w:right w:val="nil"/>
            </w:tcBorders>
            <w:shd w:val="clear" w:color="auto" w:fill="auto"/>
            <w:noWrap/>
            <w:vAlign w:val="bottom"/>
            <w:hideMark/>
          </w:tcPr>
          <w:p w14:paraId="3701DDA8" w14:textId="77777777" w:rsidR="003F1341" w:rsidRPr="003F1341" w:rsidRDefault="60A05D1C" w:rsidP="60A05D1C">
            <w:pPr>
              <w:spacing w:before="120"/>
              <w:jc w:val="center"/>
              <w:rPr>
                <w:b/>
                <w:bCs/>
                <w:color w:val="000000" w:themeColor="text1"/>
                <w:sz w:val="20"/>
              </w:rPr>
            </w:pPr>
            <w:r w:rsidRPr="60A05D1C">
              <w:rPr>
                <w:b/>
                <w:bCs/>
                <w:color w:val="000000" w:themeColor="text1"/>
                <w:sz w:val="20"/>
              </w:rPr>
              <w:t>Személyi jövedelemadó bevétel alakulása (milliárd forint)</w:t>
            </w:r>
          </w:p>
        </w:tc>
      </w:tr>
      <w:tr w:rsidR="003F1341" w:rsidRPr="003F1341" w14:paraId="28FCE067" w14:textId="77777777" w:rsidTr="60A05D1C">
        <w:trPr>
          <w:trHeight w:val="450"/>
          <w:jc w:val="center"/>
        </w:trPr>
        <w:tc>
          <w:tcPr>
            <w:tcW w:w="1434"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65D9E31" w14:textId="77777777" w:rsidR="003F1341" w:rsidRPr="003F1341" w:rsidRDefault="60A05D1C" w:rsidP="60A05D1C">
            <w:pPr>
              <w:spacing w:after="0"/>
              <w:jc w:val="center"/>
              <w:rPr>
                <w:b/>
                <w:bCs/>
                <w:color w:val="000000" w:themeColor="text1"/>
                <w:sz w:val="20"/>
              </w:rPr>
            </w:pPr>
            <w:r w:rsidRPr="60A05D1C">
              <w:rPr>
                <w:b/>
                <w:bCs/>
                <w:color w:val="000000" w:themeColor="text1"/>
                <w:sz w:val="20"/>
              </w:rPr>
              <w:t>Megnevezés</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308A9D09" w14:textId="5CB7417D" w:rsidR="003F1341" w:rsidRPr="003F1341" w:rsidRDefault="60A05D1C" w:rsidP="60A05D1C">
            <w:pPr>
              <w:spacing w:after="0"/>
              <w:jc w:val="center"/>
              <w:rPr>
                <w:b/>
                <w:bCs/>
                <w:sz w:val="20"/>
              </w:rPr>
            </w:pPr>
            <w:r w:rsidRPr="60A05D1C">
              <w:rPr>
                <w:b/>
                <w:bCs/>
                <w:sz w:val="20"/>
              </w:rPr>
              <w:t>2019.</w:t>
            </w:r>
            <w:r w:rsidR="25153DD4">
              <w:br/>
            </w:r>
            <w:r w:rsidRPr="60A05D1C">
              <w:rPr>
                <w:b/>
                <w:bCs/>
                <w:sz w:val="20"/>
              </w:rPr>
              <w:t>I-IV. hó</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0B736F0" w14:textId="0C3E8A08" w:rsidR="003F1341" w:rsidRPr="003F1341" w:rsidRDefault="60A05D1C" w:rsidP="60A05D1C">
            <w:pPr>
              <w:spacing w:after="0"/>
              <w:jc w:val="center"/>
              <w:rPr>
                <w:b/>
                <w:bCs/>
                <w:sz w:val="20"/>
              </w:rPr>
            </w:pPr>
            <w:r w:rsidRPr="60A05D1C">
              <w:rPr>
                <w:b/>
                <w:bCs/>
                <w:sz w:val="20"/>
              </w:rPr>
              <w:t>2020.</w:t>
            </w:r>
            <w:r w:rsidR="25153DD4">
              <w:br/>
            </w:r>
            <w:r w:rsidRPr="60A05D1C">
              <w:rPr>
                <w:b/>
                <w:bCs/>
                <w:sz w:val="20"/>
              </w:rPr>
              <w:t>I-IV. hó</w:t>
            </w:r>
          </w:p>
        </w:tc>
        <w:tc>
          <w:tcPr>
            <w:tcW w:w="1638" w:type="dxa"/>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center"/>
            <w:hideMark/>
          </w:tcPr>
          <w:p w14:paraId="1FC378C5" w14:textId="77777777" w:rsidR="003F1341" w:rsidRPr="003F1341" w:rsidRDefault="60A05D1C" w:rsidP="60A05D1C">
            <w:pPr>
              <w:spacing w:after="0"/>
              <w:jc w:val="center"/>
              <w:rPr>
                <w:b/>
                <w:bCs/>
                <w:color w:val="000000" w:themeColor="text1"/>
                <w:sz w:val="20"/>
              </w:rPr>
            </w:pPr>
            <w:r w:rsidRPr="60A05D1C">
              <w:rPr>
                <w:b/>
                <w:bCs/>
                <w:color w:val="000000" w:themeColor="text1"/>
                <w:sz w:val="20"/>
              </w:rPr>
              <w:t>Eltérés</w:t>
            </w:r>
          </w:p>
        </w:tc>
      </w:tr>
      <w:tr w:rsidR="003F1341" w:rsidRPr="003F1341" w14:paraId="04B141FD" w14:textId="77777777" w:rsidTr="60A05D1C">
        <w:trPr>
          <w:trHeight w:val="690"/>
          <w:jc w:val="center"/>
        </w:trPr>
        <w:tc>
          <w:tcPr>
            <w:tcW w:w="1434" w:type="dxa"/>
            <w:vMerge/>
            <w:tcBorders>
              <w:top w:val="single" w:sz="8" w:space="0" w:color="auto"/>
              <w:left w:val="single" w:sz="8" w:space="0" w:color="auto"/>
              <w:bottom w:val="single" w:sz="8" w:space="0" w:color="000000"/>
              <w:right w:val="single" w:sz="8" w:space="0" w:color="auto"/>
            </w:tcBorders>
            <w:vAlign w:val="center"/>
            <w:hideMark/>
          </w:tcPr>
          <w:p w14:paraId="0839AA29" w14:textId="77777777" w:rsidR="003F1341" w:rsidRPr="003F1341" w:rsidRDefault="003F1341" w:rsidP="003F1341">
            <w:pPr>
              <w:spacing w:after="0"/>
              <w:jc w:val="left"/>
              <w:rPr>
                <w:b/>
                <w:bCs/>
                <w:color w:val="000000"/>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27419919" w14:textId="77777777" w:rsidR="003F1341" w:rsidRPr="003F1341" w:rsidRDefault="003F1341" w:rsidP="003F1341">
            <w:pPr>
              <w:spacing w:after="0"/>
              <w:jc w:val="left"/>
              <w:rPr>
                <w:b/>
                <w:bCs/>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1A9B2262" w14:textId="77777777" w:rsidR="003F1341" w:rsidRPr="003F1341" w:rsidRDefault="003F1341" w:rsidP="003F1341">
            <w:pPr>
              <w:spacing w:after="0"/>
              <w:jc w:val="left"/>
              <w:rPr>
                <w:b/>
                <w:bCs/>
                <w:sz w:val="20"/>
              </w:rPr>
            </w:pPr>
          </w:p>
        </w:tc>
        <w:tc>
          <w:tcPr>
            <w:tcW w:w="947" w:type="dxa"/>
            <w:tcBorders>
              <w:top w:val="nil"/>
              <w:left w:val="single" w:sz="4" w:space="0" w:color="auto"/>
              <w:bottom w:val="single" w:sz="8" w:space="0" w:color="auto"/>
              <w:right w:val="single" w:sz="4" w:space="0" w:color="auto"/>
            </w:tcBorders>
            <w:shd w:val="clear" w:color="auto" w:fill="auto"/>
            <w:noWrap/>
            <w:vAlign w:val="center"/>
            <w:hideMark/>
          </w:tcPr>
          <w:p w14:paraId="4C82DC52" w14:textId="77777777" w:rsidR="003F1341" w:rsidRPr="003F1341" w:rsidRDefault="60A05D1C" w:rsidP="60A05D1C">
            <w:pPr>
              <w:spacing w:after="0"/>
              <w:jc w:val="center"/>
              <w:rPr>
                <w:b/>
                <w:bCs/>
                <w:color w:val="000000" w:themeColor="text1"/>
                <w:sz w:val="20"/>
              </w:rPr>
            </w:pPr>
            <w:r w:rsidRPr="60A05D1C">
              <w:rPr>
                <w:b/>
                <w:bCs/>
                <w:color w:val="000000" w:themeColor="text1"/>
                <w:sz w:val="20"/>
              </w:rPr>
              <w:t>Mrd Ft</w:t>
            </w:r>
          </w:p>
        </w:tc>
        <w:tc>
          <w:tcPr>
            <w:tcW w:w="691" w:type="dxa"/>
            <w:tcBorders>
              <w:top w:val="nil"/>
              <w:left w:val="nil"/>
              <w:bottom w:val="single" w:sz="8" w:space="0" w:color="auto"/>
              <w:right w:val="single" w:sz="8" w:space="0" w:color="auto"/>
            </w:tcBorders>
            <w:shd w:val="clear" w:color="auto" w:fill="auto"/>
            <w:noWrap/>
            <w:vAlign w:val="center"/>
            <w:hideMark/>
          </w:tcPr>
          <w:p w14:paraId="534B2402" w14:textId="77777777" w:rsidR="003F1341" w:rsidRPr="003F1341" w:rsidRDefault="60A05D1C" w:rsidP="60A05D1C">
            <w:pPr>
              <w:spacing w:after="0"/>
              <w:jc w:val="center"/>
              <w:rPr>
                <w:b/>
                <w:bCs/>
                <w:color w:val="000000" w:themeColor="text1"/>
                <w:sz w:val="20"/>
              </w:rPr>
            </w:pPr>
            <w:r w:rsidRPr="60A05D1C">
              <w:rPr>
                <w:b/>
                <w:bCs/>
                <w:color w:val="000000" w:themeColor="text1"/>
                <w:sz w:val="20"/>
              </w:rPr>
              <w:t>%</w:t>
            </w:r>
          </w:p>
        </w:tc>
      </w:tr>
      <w:tr w:rsidR="003237B2" w:rsidRPr="003F1341" w14:paraId="3312DFB3" w14:textId="77777777" w:rsidTr="60A05D1C">
        <w:trPr>
          <w:trHeight w:val="270"/>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1F3D318C" w14:textId="77777777" w:rsidR="003237B2" w:rsidRPr="003F1341" w:rsidRDefault="60A05D1C" w:rsidP="60A05D1C">
            <w:pPr>
              <w:spacing w:after="0"/>
              <w:jc w:val="center"/>
              <w:rPr>
                <w:b/>
                <w:bCs/>
                <w:sz w:val="20"/>
              </w:rPr>
            </w:pPr>
            <w:r w:rsidRPr="60A05D1C">
              <w:rPr>
                <w:b/>
                <w:bCs/>
                <w:sz w:val="20"/>
              </w:rPr>
              <w:t>Befizetés</w:t>
            </w:r>
          </w:p>
        </w:tc>
        <w:tc>
          <w:tcPr>
            <w:tcW w:w="1274" w:type="dxa"/>
            <w:tcBorders>
              <w:top w:val="nil"/>
              <w:left w:val="nil"/>
              <w:bottom w:val="single" w:sz="4" w:space="0" w:color="auto"/>
              <w:right w:val="single" w:sz="8" w:space="0" w:color="auto"/>
            </w:tcBorders>
            <w:shd w:val="clear" w:color="auto" w:fill="auto"/>
            <w:noWrap/>
          </w:tcPr>
          <w:p w14:paraId="09A288E7" w14:textId="5D267ADC" w:rsidR="003237B2" w:rsidRPr="003237B2" w:rsidRDefault="60A05D1C" w:rsidP="60A05D1C">
            <w:pPr>
              <w:spacing w:after="0"/>
              <w:jc w:val="right"/>
              <w:rPr>
                <w:sz w:val="20"/>
              </w:rPr>
            </w:pPr>
            <w:r w:rsidRPr="60A05D1C">
              <w:rPr>
                <w:sz w:val="20"/>
              </w:rPr>
              <w:t>809,9</w:t>
            </w:r>
          </w:p>
        </w:tc>
        <w:tc>
          <w:tcPr>
            <w:tcW w:w="1274" w:type="dxa"/>
            <w:tcBorders>
              <w:top w:val="nil"/>
              <w:left w:val="nil"/>
              <w:bottom w:val="single" w:sz="4" w:space="0" w:color="auto"/>
              <w:right w:val="nil"/>
            </w:tcBorders>
            <w:shd w:val="clear" w:color="auto" w:fill="auto"/>
            <w:noWrap/>
          </w:tcPr>
          <w:p w14:paraId="3B6AAC82" w14:textId="5A25359D" w:rsidR="003237B2" w:rsidRPr="003237B2" w:rsidRDefault="60A05D1C" w:rsidP="60A05D1C">
            <w:pPr>
              <w:spacing w:after="0"/>
              <w:jc w:val="right"/>
              <w:rPr>
                <w:sz w:val="20"/>
              </w:rPr>
            </w:pPr>
            <w:r w:rsidRPr="60A05D1C">
              <w:rPr>
                <w:sz w:val="20"/>
              </w:rPr>
              <w:t>884,0</w:t>
            </w:r>
          </w:p>
        </w:tc>
        <w:tc>
          <w:tcPr>
            <w:tcW w:w="947" w:type="dxa"/>
            <w:tcBorders>
              <w:top w:val="nil"/>
              <w:left w:val="single" w:sz="8" w:space="0" w:color="auto"/>
              <w:bottom w:val="single" w:sz="4" w:space="0" w:color="auto"/>
              <w:right w:val="single" w:sz="4" w:space="0" w:color="auto"/>
            </w:tcBorders>
            <w:shd w:val="clear" w:color="auto" w:fill="auto"/>
            <w:noWrap/>
          </w:tcPr>
          <w:p w14:paraId="0668BF9C" w14:textId="28981911" w:rsidR="003237B2" w:rsidRPr="003237B2" w:rsidRDefault="60A05D1C" w:rsidP="60A05D1C">
            <w:pPr>
              <w:spacing w:after="0"/>
              <w:jc w:val="right"/>
              <w:rPr>
                <w:sz w:val="20"/>
              </w:rPr>
            </w:pPr>
            <w:r w:rsidRPr="60A05D1C">
              <w:rPr>
                <w:sz w:val="20"/>
              </w:rPr>
              <w:t>74,1</w:t>
            </w:r>
          </w:p>
        </w:tc>
        <w:tc>
          <w:tcPr>
            <w:tcW w:w="691" w:type="dxa"/>
            <w:tcBorders>
              <w:top w:val="nil"/>
              <w:left w:val="nil"/>
              <w:bottom w:val="single" w:sz="4" w:space="0" w:color="auto"/>
              <w:right w:val="single" w:sz="8" w:space="0" w:color="auto"/>
            </w:tcBorders>
            <w:shd w:val="clear" w:color="auto" w:fill="auto"/>
            <w:noWrap/>
          </w:tcPr>
          <w:p w14:paraId="7B8B88FA" w14:textId="0F186715" w:rsidR="003237B2" w:rsidRPr="003237B2" w:rsidRDefault="60A05D1C" w:rsidP="001B5901">
            <w:pPr>
              <w:spacing w:after="0"/>
              <w:jc w:val="right"/>
              <w:rPr>
                <w:color w:val="000000" w:themeColor="text1"/>
                <w:sz w:val="20"/>
              </w:rPr>
            </w:pPr>
            <w:r w:rsidRPr="60A05D1C">
              <w:rPr>
                <w:sz w:val="20"/>
              </w:rPr>
              <w:t>109,</w:t>
            </w:r>
            <w:r w:rsidR="001B5901">
              <w:rPr>
                <w:sz w:val="20"/>
              </w:rPr>
              <w:t>1</w:t>
            </w:r>
          </w:p>
        </w:tc>
      </w:tr>
      <w:tr w:rsidR="003237B2" w:rsidRPr="003F1341" w14:paraId="77B87138" w14:textId="77777777" w:rsidTr="60A05D1C">
        <w:trPr>
          <w:trHeight w:val="285"/>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761C99AF" w14:textId="77777777" w:rsidR="003237B2" w:rsidRPr="003F1341" w:rsidRDefault="60A05D1C" w:rsidP="60A05D1C">
            <w:pPr>
              <w:spacing w:after="0"/>
              <w:jc w:val="center"/>
              <w:rPr>
                <w:b/>
                <w:bCs/>
                <w:sz w:val="20"/>
              </w:rPr>
            </w:pPr>
            <w:r w:rsidRPr="60A05D1C">
              <w:rPr>
                <w:b/>
                <w:bCs/>
                <w:sz w:val="20"/>
              </w:rPr>
              <w:t>Kiutalás</w:t>
            </w:r>
          </w:p>
        </w:tc>
        <w:tc>
          <w:tcPr>
            <w:tcW w:w="1274" w:type="dxa"/>
            <w:tcBorders>
              <w:top w:val="nil"/>
              <w:left w:val="nil"/>
              <w:bottom w:val="single" w:sz="4" w:space="0" w:color="auto"/>
              <w:right w:val="single" w:sz="8" w:space="0" w:color="auto"/>
            </w:tcBorders>
            <w:shd w:val="clear" w:color="auto" w:fill="auto"/>
            <w:noWrap/>
          </w:tcPr>
          <w:p w14:paraId="4240CF9A" w14:textId="44B82E12" w:rsidR="003237B2" w:rsidRPr="003237B2" w:rsidRDefault="60A05D1C" w:rsidP="60A05D1C">
            <w:pPr>
              <w:spacing w:after="0"/>
              <w:jc w:val="right"/>
              <w:rPr>
                <w:sz w:val="20"/>
              </w:rPr>
            </w:pPr>
            <w:r w:rsidRPr="60A05D1C">
              <w:rPr>
                <w:sz w:val="20"/>
              </w:rPr>
              <w:t>54,7</w:t>
            </w:r>
          </w:p>
        </w:tc>
        <w:tc>
          <w:tcPr>
            <w:tcW w:w="1274" w:type="dxa"/>
            <w:tcBorders>
              <w:top w:val="nil"/>
              <w:left w:val="nil"/>
              <w:bottom w:val="single" w:sz="4" w:space="0" w:color="auto"/>
              <w:right w:val="nil"/>
            </w:tcBorders>
            <w:shd w:val="clear" w:color="auto" w:fill="auto"/>
            <w:noWrap/>
          </w:tcPr>
          <w:p w14:paraId="4B69188B" w14:textId="3C12A726" w:rsidR="003237B2" w:rsidRPr="003237B2" w:rsidRDefault="60A05D1C" w:rsidP="00DC1B68">
            <w:pPr>
              <w:spacing w:after="0"/>
              <w:jc w:val="right"/>
              <w:rPr>
                <w:sz w:val="20"/>
              </w:rPr>
            </w:pPr>
            <w:r w:rsidRPr="60A05D1C">
              <w:rPr>
                <w:sz w:val="20"/>
              </w:rPr>
              <w:t>63,</w:t>
            </w:r>
            <w:r w:rsidR="00DC1B68">
              <w:rPr>
                <w:sz w:val="20"/>
              </w:rPr>
              <w:t>9</w:t>
            </w:r>
          </w:p>
        </w:tc>
        <w:tc>
          <w:tcPr>
            <w:tcW w:w="947" w:type="dxa"/>
            <w:tcBorders>
              <w:top w:val="nil"/>
              <w:left w:val="single" w:sz="8" w:space="0" w:color="auto"/>
              <w:bottom w:val="single" w:sz="4" w:space="0" w:color="auto"/>
              <w:right w:val="single" w:sz="4" w:space="0" w:color="auto"/>
            </w:tcBorders>
            <w:shd w:val="clear" w:color="auto" w:fill="auto"/>
            <w:noWrap/>
          </w:tcPr>
          <w:p w14:paraId="19DF5EEB" w14:textId="1DC2069D" w:rsidR="003237B2" w:rsidRPr="003237B2" w:rsidRDefault="60A05D1C" w:rsidP="60A05D1C">
            <w:pPr>
              <w:spacing w:after="0"/>
              <w:jc w:val="right"/>
              <w:rPr>
                <w:sz w:val="20"/>
              </w:rPr>
            </w:pPr>
            <w:r w:rsidRPr="60A05D1C">
              <w:rPr>
                <w:sz w:val="20"/>
              </w:rPr>
              <w:t>9,2</w:t>
            </w:r>
          </w:p>
        </w:tc>
        <w:tc>
          <w:tcPr>
            <w:tcW w:w="691" w:type="dxa"/>
            <w:tcBorders>
              <w:top w:val="nil"/>
              <w:left w:val="nil"/>
              <w:bottom w:val="single" w:sz="4" w:space="0" w:color="auto"/>
              <w:right w:val="single" w:sz="8" w:space="0" w:color="auto"/>
            </w:tcBorders>
            <w:shd w:val="clear" w:color="auto" w:fill="auto"/>
            <w:noWrap/>
          </w:tcPr>
          <w:p w14:paraId="29492FB8" w14:textId="6FB84398" w:rsidR="003237B2" w:rsidRPr="003237B2" w:rsidRDefault="60A05D1C" w:rsidP="60A05D1C">
            <w:pPr>
              <w:spacing w:after="0"/>
              <w:jc w:val="right"/>
              <w:rPr>
                <w:color w:val="000000" w:themeColor="text1"/>
                <w:sz w:val="20"/>
              </w:rPr>
            </w:pPr>
            <w:r w:rsidRPr="60A05D1C">
              <w:rPr>
                <w:sz w:val="20"/>
              </w:rPr>
              <w:t>116,8</w:t>
            </w:r>
          </w:p>
        </w:tc>
      </w:tr>
      <w:tr w:rsidR="003237B2" w:rsidRPr="003F1341" w14:paraId="4DC8FA19" w14:textId="77777777" w:rsidTr="60A05D1C">
        <w:trPr>
          <w:trHeight w:val="270"/>
          <w:jc w:val="center"/>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14:paraId="79DC6734" w14:textId="3151CAE9" w:rsidR="003237B2" w:rsidRPr="003F1341" w:rsidRDefault="60A05D1C" w:rsidP="60A05D1C">
            <w:pPr>
              <w:spacing w:after="0"/>
              <w:jc w:val="center"/>
              <w:rPr>
                <w:b/>
                <w:bCs/>
                <w:sz w:val="20"/>
              </w:rPr>
            </w:pPr>
            <w:r w:rsidRPr="60A05D1C">
              <w:rPr>
                <w:b/>
                <w:bCs/>
                <w:sz w:val="20"/>
              </w:rPr>
              <w:t>Egyenleg</w:t>
            </w:r>
          </w:p>
        </w:tc>
        <w:tc>
          <w:tcPr>
            <w:tcW w:w="1274" w:type="dxa"/>
            <w:tcBorders>
              <w:top w:val="nil"/>
              <w:left w:val="nil"/>
              <w:bottom w:val="single" w:sz="8" w:space="0" w:color="auto"/>
              <w:right w:val="single" w:sz="8" w:space="0" w:color="auto"/>
            </w:tcBorders>
            <w:shd w:val="clear" w:color="auto" w:fill="auto"/>
            <w:noWrap/>
          </w:tcPr>
          <w:p w14:paraId="17702B75" w14:textId="00EFF345" w:rsidR="003237B2" w:rsidRPr="003237B2" w:rsidRDefault="60A05D1C" w:rsidP="60A05D1C">
            <w:pPr>
              <w:spacing w:after="0"/>
              <w:jc w:val="right"/>
              <w:rPr>
                <w:b/>
                <w:bCs/>
                <w:sz w:val="20"/>
              </w:rPr>
            </w:pPr>
            <w:r w:rsidRPr="60A05D1C">
              <w:rPr>
                <w:b/>
                <w:bCs/>
                <w:sz w:val="20"/>
              </w:rPr>
              <w:t>755,2</w:t>
            </w:r>
          </w:p>
        </w:tc>
        <w:tc>
          <w:tcPr>
            <w:tcW w:w="1274" w:type="dxa"/>
            <w:tcBorders>
              <w:top w:val="nil"/>
              <w:left w:val="nil"/>
              <w:bottom w:val="single" w:sz="8" w:space="0" w:color="auto"/>
              <w:right w:val="nil"/>
            </w:tcBorders>
            <w:shd w:val="clear" w:color="auto" w:fill="auto"/>
            <w:noWrap/>
          </w:tcPr>
          <w:p w14:paraId="453FDAD4" w14:textId="0CD4BE2A" w:rsidR="003237B2" w:rsidRPr="003237B2" w:rsidRDefault="60A05D1C" w:rsidP="60A05D1C">
            <w:pPr>
              <w:spacing w:after="0"/>
              <w:jc w:val="right"/>
              <w:rPr>
                <w:b/>
                <w:bCs/>
                <w:sz w:val="20"/>
              </w:rPr>
            </w:pPr>
            <w:r w:rsidRPr="60A05D1C">
              <w:rPr>
                <w:b/>
                <w:bCs/>
                <w:sz w:val="20"/>
              </w:rPr>
              <w:t>820,1</w:t>
            </w:r>
          </w:p>
        </w:tc>
        <w:tc>
          <w:tcPr>
            <w:tcW w:w="947" w:type="dxa"/>
            <w:tcBorders>
              <w:top w:val="nil"/>
              <w:left w:val="single" w:sz="8" w:space="0" w:color="auto"/>
              <w:bottom w:val="single" w:sz="8" w:space="0" w:color="auto"/>
              <w:right w:val="single" w:sz="4" w:space="0" w:color="auto"/>
            </w:tcBorders>
            <w:shd w:val="clear" w:color="auto" w:fill="auto"/>
            <w:noWrap/>
          </w:tcPr>
          <w:p w14:paraId="3DBAE11D" w14:textId="2A7B063B" w:rsidR="003237B2" w:rsidRPr="003237B2" w:rsidRDefault="60A05D1C" w:rsidP="60A05D1C">
            <w:pPr>
              <w:spacing w:after="0"/>
              <w:jc w:val="right"/>
              <w:rPr>
                <w:b/>
                <w:bCs/>
                <w:sz w:val="20"/>
              </w:rPr>
            </w:pPr>
            <w:r w:rsidRPr="60A05D1C">
              <w:rPr>
                <w:b/>
                <w:bCs/>
                <w:sz w:val="20"/>
              </w:rPr>
              <w:t>64,9</w:t>
            </w:r>
          </w:p>
        </w:tc>
        <w:tc>
          <w:tcPr>
            <w:tcW w:w="691" w:type="dxa"/>
            <w:tcBorders>
              <w:top w:val="nil"/>
              <w:left w:val="nil"/>
              <w:bottom w:val="single" w:sz="8" w:space="0" w:color="auto"/>
              <w:right w:val="single" w:sz="8" w:space="0" w:color="auto"/>
            </w:tcBorders>
            <w:shd w:val="clear" w:color="auto" w:fill="auto"/>
            <w:noWrap/>
          </w:tcPr>
          <w:p w14:paraId="455AF72B" w14:textId="4F16D6B3" w:rsidR="003237B2" w:rsidRPr="003237B2" w:rsidRDefault="60A05D1C" w:rsidP="60A05D1C">
            <w:pPr>
              <w:spacing w:after="0"/>
              <w:jc w:val="right"/>
              <w:rPr>
                <w:b/>
                <w:bCs/>
                <w:color w:val="000000" w:themeColor="text1"/>
                <w:sz w:val="20"/>
              </w:rPr>
            </w:pPr>
            <w:r w:rsidRPr="60A05D1C">
              <w:rPr>
                <w:b/>
                <w:bCs/>
                <w:sz w:val="20"/>
              </w:rPr>
              <w:t>108,6</w:t>
            </w:r>
          </w:p>
        </w:tc>
      </w:tr>
    </w:tbl>
    <w:p w14:paraId="27EF02E4" w14:textId="79AEF943" w:rsidR="00FC780F" w:rsidRDefault="00FC780F" w:rsidP="00A9031A">
      <w:pPr>
        <w:spacing w:after="0"/>
        <w:rPr>
          <w:szCs w:val="26"/>
        </w:rPr>
      </w:pPr>
    </w:p>
    <w:p w14:paraId="489D829D" w14:textId="77777777" w:rsidR="000353E7" w:rsidRDefault="000353E7" w:rsidP="00A9031A">
      <w:pPr>
        <w:spacing w:after="0"/>
        <w:rPr>
          <w:szCs w:val="26"/>
        </w:rPr>
      </w:pPr>
    </w:p>
    <w:p w14:paraId="12199E07" w14:textId="77777777" w:rsidR="00C33CF9" w:rsidRPr="00C33CF9" w:rsidRDefault="60A05D1C" w:rsidP="60A05D1C">
      <w:pPr>
        <w:rPr>
          <w:rFonts w:cs="Tahoma"/>
          <w:color w:val="000000" w:themeColor="text1"/>
        </w:rPr>
      </w:pPr>
      <w:r w:rsidRPr="60A05D1C">
        <w:rPr>
          <w:rFonts w:cs="Tahoma"/>
          <w:color w:val="000000" w:themeColor="text1"/>
        </w:rPr>
        <w:t>A „</w:t>
      </w:r>
      <w:r w:rsidRPr="60A05D1C">
        <w:rPr>
          <w:rFonts w:cs="Tahoma"/>
          <w:b/>
          <w:bCs/>
          <w:color w:val="000000" w:themeColor="text1"/>
        </w:rPr>
        <w:t>Központi Maradványalapba történő befizetések</w:t>
      </w:r>
      <w:r w:rsidRPr="60A05D1C">
        <w:rPr>
          <w:rFonts w:cs="Tahoma"/>
          <w:color w:val="000000" w:themeColor="text1"/>
        </w:rPr>
        <w:t>” mérlegsorra, a költségvetési szervek és a szakmai fejezeti kezelésű előirányzatok terhére 2020. április végéig összesen 271,1 milliárd forint maradvány került befizetésre, amely 82,3 </w:t>
      </w:r>
      <w:r>
        <w:t>milliárd forinttal több az egy évvel korábbi összegnél.</w:t>
      </w:r>
    </w:p>
    <w:p w14:paraId="4776CD83" w14:textId="3B3FE088" w:rsidR="005E2FA1" w:rsidRDefault="60A05D1C" w:rsidP="009F59DE">
      <w:r>
        <w:t>Az</w:t>
      </w:r>
      <w:r w:rsidRPr="60A05D1C">
        <w:rPr>
          <w:b/>
          <w:bCs/>
        </w:rPr>
        <w:t xml:space="preserve"> állami vagyonnal kapcsolatos befizetések</w:t>
      </w:r>
      <w:r>
        <w:t xml:space="preserve"> összege április végéig 172,3 milliárd forint volt, melynek meghatározó tételei a frekvenciahasznosítás</w:t>
      </w:r>
      <w:r w:rsidR="00317B62">
        <w:t>sal</w:t>
      </w:r>
      <w:r>
        <w:t xml:space="preserve"> kapcsolatos 128,5</w:t>
      </w:r>
      <w:r w:rsidR="00393216">
        <w:t> </w:t>
      </w:r>
      <w:r>
        <w:t xml:space="preserve">milliárd forintos összeg, a </w:t>
      </w:r>
      <w:proofErr w:type="gramStart"/>
      <w:r>
        <w:t>kvóta</w:t>
      </w:r>
      <w:proofErr w:type="gramEnd"/>
      <w:r>
        <w:t xml:space="preserve">értékesítésből származó bevétel és az MNV </w:t>
      </w:r>
      <w:proofErr w:type="spellStart"/>
      <w:r>
        <w:t>Zrt</w:t>
      </w:r>
      <w:proofErr w:type="spellEnd"/>
      <w:r>
        <w:t>. rábízott vagyonával kapcsolatos bevételek.</w:t>
      </w:r>
      <w:r w:rsidRPr="60A05D1C">
        <w:rPr>
          <w:b/>
          <w:bCs/>
        </w:rPr>
        <w:t xml:space="preserve"> </w:t>
      </w:r>
      <w:r>
        <w:t>A befizetések összetételét a következő diagram szemlélteti.</w:t>
      </w:r>
    </w:p>
    <w:p w14:paraId="16414B49" w14:textId="16D20B7E" w:rsidR="0059503E" w:rsidRDefault="0059503E" w:rsidP="009F59DE">
      <w:r>
        <w:rPr>
          <w:noProof/>
        </w:rPr>
        <w:lastRenderedPageBreak/>
        <w:drawing>
          <wp:inline distT="0" distB="0" distL="0" distR="0" wp14:anchorId="130FABDB" wp14:editId="20F3D0B9">
            <wp:extent cx="5940425" cy="3771900"/>
            <wp:effectExtent l="0" t="0" r="3175"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befizetések.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771900"/>
                    </a:xfrm>
                    <a:prstGeom prst="rect">
                      <a:avLst/>
                    </a:prstGeom>
                  </pic:spPr>
                </pic:pic>
              </a:graphicData>
            </a:graphic>
          </wp:inline>
        </w:drawing>
      </w:r>
    </w:p>
    <w:p w14:paraId="68155718" w14:textId="2ECEA4D0" w:rsidR="00896FA0" w:rsidRDefault="60A05D1C" w:rsidP="7F7E3D1C">
      <w:pPr>
        <w:spacing w:before="240"/>
      </w:pPr>
      <w:r>
        <w:t xml:space="preserve">Az </w:t>
      </w:r>
      <w:r w:rsidRPr="005C503B">
        <w:rPr>
          <w:b/>
        </w:rPr>
        <w:t>uniós bevételek</w:t>
      </w:r>
      <w:r>
        <w:t xml:space="preserve"> főszabály szerint a XLII. </w:t>
      </w:r>
      <w:proofErr w:type="gramStart"/>
      <w:r>
        <w:t>A</w:t>
      </w:r>
      <w:proofErr w:type="gramEnd"/>
      <w:r>
        <w:t xml:space="preserve"> költségvetés közvetlen bevételei és kiadásai fejezetbe érkeznek, ezek kimutatására szolgál az „Uniós programok bevételei” mérlegsor, valamint az „Egyéb uniós bevételek” mérlegsor.</w:t>
      </w:r>
    </w:p>
    <w:p w14:paraId="2A9A20D1" w14:textId="023D72D8" w:rsidR="7710508F" w:rsidRDefault="60A05D1C" w:rsidP="59C21105">
      <w:pPr>
        <w:spacing w:before="240"/>
      </w:pPr>
      <w:r>
        <w:t>Az „</w:t>
      </w:r>
      <w:r w:rsidRPr="005C503B">
        <w:rPr>
          <w:b/>
        </w:rPr>
        <w:t>Uniós programok bevételei</w:t>
      </w:r>
      <w:r w:rsidRPr="00D62415">
        <w:t>”</w:t>
      </w:r>
      <w:r>
        <w:t xml:space="preserve"> mérlegsoron 2020. első </w:t>
      </w:r>
      <w:r w:rsidRPr="00D62415">
        <w:t>négy hónapjában 313,0</w:t>
      </w:r>
      <w:r w:rsidR="009F4804">
        <w:t> </w:t>
      </w:r>
      <w:r w:rsidRPr="00D62415">
        <w:t>milliárd forint bevétel keletkezett. Ez az összeg az éves előirányzat 21,1%-át teszi ki</w:t>
      </w:r>
      <w:r>
        <w:t>.</w:t>
      </w:r>
    </w:p>
    <w:p w14:paraId="69CE6340" w14:textId="589704FF" w:rsidR="007B0E38" w:rsidRPr="0019680E" w:rsidRDefault="60A05D1C" w:rsidP="59C21105">
      <w:pPr>
        <w:spacing w:before="240"/>
      </w:pPr>
      <w:r w:rsidRPr="0019680E">
        <w:t>A „</w:t>
      </w:r>
      <w:r w:rsidRPr="00A871A3">
        <w:rPr>
          <w:b/>
        </w:rPr>
        <w:t>Egyéb uniós bevétele</w:t>
      </w:r>
      <w:r w:rsidRPr="00A871A3">
        <w:t>k</w:t>
      </w:r>
      <w:r w:rsidRPr="0019680E">
        <w:t>” soron belül a vámbeszedési költség megtérítése 5,2</w:t>
      </w:r>
      <w:r w:rsidR="009153D4" w:rsidRPr="0019680E">
        <w:t> </w:t>
      </w:r>
      <w:r w:rsidRPr="0019680E">
        <w:t>milliárd forintot tett ki április végéig. Ez az összeg az éves előirányzat 30,3%-</w:t>
      </w:r>
      <w:proofErr w:type="gramStart"/>
      <w:r w:rsidRPr="0019680E">
        <w:t>a</w:t>
      </w:r>
      <w:proofErr w:type="gramEnd"/>
      <w:r w:rsidRPr="0019680E">
        <w:t>, és 0,</w:t>
      </w:r>
      <w:r w:rsidR="00B3505D">
        <w:t>3</w:t>
      </w:r>
      <w:r w:rsidR="009153D4" w:rsidRPr="0019680E">
        <w:t> </w:t>
      </w:r>
      <w:r w:rsidRPr="0019680E">
        <w:t>milliárd forinttal marad</w:t>
      </w:r>
      <w:r w:rsidR="009153D4" w:rsidRPr="0019680E">
        <w:t>t</w:t>
      </w:r>
      <w:r w:rsidRPr="0019680E">
        <w:t xml:space="preserve"> el a 2019. év azonos időszakában keletkezett bevételtől. Az </w:t>
      </w:r>
      <w:r w:rsidR="009153D4" w:rsidRPr="0019680E">
        <w:t>„</w:t>
      </w:r>
      <w:r w:rsidRPr="0019680E">
        <w:t>Uniós támogatások utólagos megtérítése</w:t>
      </w:r>
      <w:r w:rsidR="009153D4" w:rsidRPr="0019680E">
        <w:t>”</w:t>
      </w:r>
      <w:r w:rsidRPr="0019680E">
        <w:t xml:space="preserve"> soron 2020</w:t>
      </w:r>
      <w:r w:rsidR="00BC2B7F">
        <w:t>.</w:t>
      </w:r>
      <w:r w:rsidRPr="0019680E">
        <w:t xml:space="preserve"> április végéig </w:t>
      </w:r>
      <w:proofErr w:type="gramStart"/>
      <w:r w:rsidRPr="0019680E">
        <w:t>minimális</w:t>
      </w:r>
      <w:proofErr w:type="gramEnd"/>
      <w:r w:rsidRPr="0019680E">
        <w:t xml:space="preserve">, </w:t>
      </w:r>
      <w:r w:rsidR="00722A71">
        <w:t xml:space="preserve">78,8 millió </w:t>
      </w:r>
      <w:r w:rsidRPr="0019680E">
        <w:t>forint bevétel keletkezett, amely mögött maradvány és számlaegyenleg</w:t>
      </w:r>
      <w:r w:rsidR="009153D4" w:rsidRPr="0019680E">
        <w:t>-</w:t>
      </w:r>
      <w:r w:rsidRPr="0019680E">
        <w:t>beutalás áll.</w:t>
      </w:r>
    </w:p>
    <w:p w14:paraId="6D369440" w14:textId="0189DE54" w:rsidR="00271D40" w:rsidRDefault="60A05D1C" w:rsidP="00C132B3">
      <w:r>
        <w:t xml:space="preserve">Az év első négy hónapjában </w:t>
      </w:r>
      <w:r w:rsidRPr="60A05D1C">
        <w:rPr>
          <w:b/>
          <w:bCs/>
        </w:rPr>
        <w:t>a szociális hozzájárulási adóból és járulékokból a Nyugdíjbiztosítási Alapot megillető bevételek</w:t>
      </w:r>
      <w:r>
        <w:t xml:space="preserve"> (1127,4</w:t>
      </w:r>
      <w:r w:rsidR="00015230">
        <w:t> </w:t>
      </w:r>
      <w:r>
        <w:t>milliárd forint) 2,5%</w:t>
      </w:r>
      <w:r w:rsidR="00015230">
        <w:t>-</w:t>
      </w:r>
      <w:r>
        <w:t>kal, 27,5</w:t>
      </w:r>
      <w:r w:rsidR="00015230">
        <w:t> </w:t>
      </w:r>
      <w:r>
        <w:t xml:space="preserve">milliárd forinttal haladták meg az előző évi </w:t>
      </w:r>
      <w:r w:rsidR="000C18FE">
        <w:t xml:space="preserve">I-IV. </w:t>
      </w:r>
      <w:proofErr w:type="gramStart"/>
      <w:r w:rsidR="000C18FE">
        <w:t>havi</w:t>
      </w:r>
      <w:proofErr w:type="gramEnd"/>
      <w:r w:rsidR="000C18FE">
        <w:t xml:space="preserve"> </w:t>
      </w:r>
      <w:r>
        <w:t>bevételt. A szociális hozzájárulási adó és járulékok előző évhez viszonyított elemzésekor figyelembe kell venni, hogy 2020-ban a szociális hozzájárulási adó bevétel 71,63%-</w:t>
      </w:r>
      <w:proofErr w:type="gramStart"/>
      <w:r>
        <w:t>a</w:t>
      </w:r>
      <w:proofErr w:type="gramEnd"/>
      <w:r>
        <w:t>, 2019-b</w:t>
      </w:r>
      <w:r w:rsidR="006E2922">
        <w:t>e</w:t>
      </w:r>
      <w:r>
        <w:t>n 70,22%</w:t>
      </w:r>
      <w:r w:rsidR="005074E5">
        <w:noBreakHyphen/>
      </w:r>
      <w:r>
        <w:t>a illette meg a Ny</w:t>
      </w:r>
      <w:r w:rsidR="005074E5">
        <w:t>ugdíjbiztosítási</w:t>
      </w:r>
      <w:r>
        <w:t xml:space="preserve"> Alapot. 2020 januárjában továbbá 17,5%-os, 2019 januárjában pedig 19,5%-os szociális hozzájárulási adó teher mellett történt a befizetés. A koronavírus</w:t>
      </w:r>
      <w:r w:rsidR="002175E8">
        <w:t>-járvány</w:t>
      </w:r>
      <w:r>
        <w:t xml:space="preserve"> </w:t>
      </w:r>
      <w:r w:rsidR="002175E8">
        <w:t xml:space="preserve">negatív gazdasági </w:t>
      </w:r>
      <w:r>
        <w:t xml:space="preserve">hatásai e hónapokban már a bevételekben is jelentkeztek, </w:t>
      </w:r>
      <w:r w:rsidR="002175E8">
        <w:t xml:space="preserve">és </w:t>
      </w:r>
      <w:r>
        <w:t>a bevezetett munkaadói és munkavállalói kedvezmények további elmaradásokat eredményeztek. A fenti hatások eredőjeként az év első négy hónapjában a Ny</w:t>
      </w:r>
      <w:r w:rsidR="00D712AA">
        <w:t>ugdíjbiztosítási</w:t>
      </w:r>
      <w:r>
        <w:t xml:space="preserve"> Alapot megillető szociális hozzájárulási adóbevétel 1,7%-kal csökkent a 2019 azonos időszakában befolyt összeghez képest. Az adó- és járulékbevételeken belül a biztosítottak által fizetett nyugdíjjárulék 2020 első négy </w:t>
      </w:r>
      <w:r>
        <w:lastRenderedPageBreak/>
        <w:t>hónapjában 8,1%-kal növekedett a bázishoz képest, melynek hátterében a bruttókereset-növekedés áll</w:t>
      </w:r>
      <w:r w:rsidR="00E445C9">
        <w:t>.</w:t>
      </w:r>
      <w:r>
        <w:t xml:space="preserve"> </w:t>
      </w:r>
      <w:r w:rsidR="00757A0E">
        <w:t>Ezt</w:t>
      </w:r>
      <w:r>
        <w:t xml:space="preserve"> </w:t>
      </w:r>
      <w:r w:rsidR="00271D40">
        <w:t xml:space="preserve">mérsékelték </w:t>
      </w:r>
      <w:r>
        <w:t>a koronavírus</w:t>
      </w:r>
      <w:r w:rsidR="00757A0E">
        <w:t>-</w:t>
      </w:r>
      <w:r>
        <w:t>járvány miatt bevezetett intézkedések</w:t>
      </w:r>
      <w:r w:rsidR="00271D40">
        <w:t>.</w:t>
      </w:r>
    </w:p>
    <w:p w14:paraId="1ECF6ABB" w14:textId="44BF682C" w:rsidR="00C132B3" w:rsidRDefault="00271D40" w:rsidP="00C132B3">
      <w:r>
        <w:t>A</w:t>
      </w:r>
      <w:r w:rsidR="60A05D1C" w:rsidRPr="60A05D1C">
        <w:rPr>
          <w:rFonts w:eastAsia="Calibri"/>
        </w:rPr>
        <w:t xml:space="preserve">z </w:t>
      </w:r>
      <w:r w:rsidR="60A05D1C" w:rsidRPr="60A05D1C">
        <w:rPr>
          <w:rFonts w:eastAsia="Calibri"/>
          <w:b/>
          <w:bCs/>
        </w:rPr>
        <w:t xml:space="preserve">Egészségbiztosítási Alap </w:t>
      </w:r>
      <w:r w:rsidR="60A05D1C" w:rsidRPr="60A05D1C">
        <w:rPr>
          <w:rFonts w:eastAsia="Calibri"/>
        </w:rPr>
        <w:t xml:space="preserve">esetében a </w:t>
      </w:r>
      <w:r w:rsidR="60A05D1C" w:rsidRPr="60A05D1C">
        <w:rPr>
          <w:rFonts w:eastAsia="Calibri"/>
          <w:b/>
          <w:bCs/>
        </w:rPr>
        <w:t>szociális hozzájárulási adóból és járulékokból</w:t>
      </w:r>
      <w:r w:rsidR="60A05D1C" w:rsidRPr="60A05D1C">
        <w:rPr>
          <w:rFonts w:eastAsia="Calibri"/>
        </w:rPr>
        <w:t xml:space="preserve"> származó első négyhavi bevételek </w:t>
      </w:r>
      <w:r w:rsidR="60A05D1C">
        <w:t>(588,8</w:t>
      </w:r>
      <w:r w:rsidR="004831F7">
        <w:t> </w:t>
      </w:r>
      <w:r w:rsidR="60A05D1C">
        <w:t>milliárd forint) 4,9%-kal, 27,6</w:t>
      </w:r>
      <w:r w:rsidR="004831F7">
        <w:t> </w:t>
      </w:r>
      <w:r w:rsidR="60A05D1C">
        <w:t>milliárd forinttal haladták meg az előző év azonos időszakának bevételeit. A szociális hozzájárulási adó és járulékok előző évhez viszonyított elemzésekor figyelembe kell venni, hogy megváltozott a szociális hozzájárulási adó megosztási aránya. 2020-ban a szociális hozzájárulási adó megfizetett összegének 28,37%-</w:t>
      </w:r>
      <w:proofErr w:type="gramStart"/>
      <w:r w:rsidR="60A05D1C">
        <w:t>a</w:t>
      </w:r>
      <w:proofErr w:type="gramEnd"/>
      <w:r w:rsidR="60A05D1C">
        <w:t>, 2019-ben 27,31%-a az E</w:t>
      </w:r>
      <w:r w:rsidR="004831F7">
        <w:t>gészségbiztosítási</w:t>
      </w:r>
      <w:r w:rsidR="60A05D1C">
        <w:t xml:space="preserve"> Alapot illette meg. 2020 januárjában továbbá 17,5%-os, 2019 januárjában pedig 19,5%-os szociális hozzájárulási adó teher mellett történt a befizetés. A befolyt bevételből 240,8</w:t>
      </w:r>
      <w:r w:rsidR="00AF60B7">
        <w:t> </w:t>
      </w:r>
      <w:r w:rsidR="60A05D1C">
        <w:t>milliárd forint a szociális hozzájárulási adó (40,9%) és 348,0</w:t>
      </w:r>
      <w:r w:rsidR="00AF60B7">
        <w:t> </w:t>
      </w:r>
      <w:r w:rsidR="60A05D1C">
        <w:t xml:space="preserve">milliárd forint a </w:t>
      </w:r>
      <w:proofErr w:type="spellStart"/>
      <w:r w:rsidR="60A05D1C">
        <w:t>biztosítotti</w:t>
      </w:r>
      <w:proofErr w:type="spellEnd"/>
      <w:r w:rsidR="60A05D1C">
        <w:t xml:space="preserve"> egészségbiztosítási járulékbevétel (59,1%). A koronavírus</w:t>
      </w:r>
      <w:r w:rsidR="00AB1633">
        <w:t>-járvány negatív gazdasági</w:t>
      </w:r>
      <w:r w:rsidR="60A05D1C">
        <w:t xml:space="preserve"> hatásai e hónapokban már a bevételekben is jelentkeztek, </w:t>
      </w:r>
      <w:r w:rsidR="005408B5">
        <w:t xml:space="preserve">és </w:t>
      </w:r>
      <w:r w:rsidR="60A05D1C">
        <w:t>a bevezetett munkaadói és munkavállalói kedvezmények további elmaradásokat eredményeztek. Az előbbiek hatását a bevételek korábbi, dinamikus növekedési ütemének visszaes</w:t>
      </w:r>
      <w:r w:rsidR="00C21FF0">
        <w:t>és</w:t>
      </w:r>
      <w:r w:rsidR="00CC58B3">
        <w:t>e</w:t>
      </w:r>
      <w:r w:rsidR="60A05D1C">
        <w:t xml:space="preserve"> is jól tükrözi.</w:t>
      </w:r>
    </w:p>
    <w:p w14:paraId="6A4C12B9" w14:textId="5F693B3E" w:rsidR="00BF59D1" w:rsidRDefault="60A05D1C" w:rsidP="008A2E55">
      <w:r>
        <w:t xml:space="preserve">Az </w:t>
      </w:r>
      <w:r w:rsidRPr="60A05D1C">
        <w:rPr>
          <w:b/>
          <w:bCs/>
        </w:rPr>
        <w:t>egészségbiztosítási és munkaerő-piaci járulék Nemzeti Foglalkoztatási Alapot</w:t>
      </w:r>
      <w:r w:rsidR="00785147">
        <w:rPr>
          <w:b/>
          <w:bCs/>
        </w:rPr>
        <w:t xml:space="preserve"> </w:t>
      </w:r>
      <w:r w:rsidR="00785147" w:rsidRPr="00785147">
        <w:rPr>
          <w:bCs/>
        </w:rPr>
        <w:t>(NFA)</w:t>
      </w:r>
      <w:r w:rsidRPr="00785147">
        <w:rPr>
          <w:bCs/>
        </w:rPr>
        <w:t xml:space="preserve"> </w:t>
      </w:r>
      <w:r w:rsidRPr="60A05D1C">
        <w:rPr>
          <w:b/>
          <w:bCs/>
        </w:rPr>
        <w:t>megillető hányad</w:t>
      </w:r>
      <w:r w:rsidR="00AA3B84">
        <w:rPr>
          <w:b/>
          <w:bCs/>
        </w:rPr>
        <w:t xml:space="preserve">ából </w:t>
      </w:r>
      <w:r w:rsidR="00AA3B84" w:rsidRPr="00AA3B84">
        <w:rPr>
          <w:bCs/>
        </w:rPr>
        <w:t>származó</w:t>
      </w:r>
      <w:r w:rsidRPr="00AA3B84">
        <w:t xml:space="preserve"> </w:t>
      </w:r>
      <w:r w:rsidR="00AA3B84">
        <w:t xml:space="preserve">bevételek (77,2 milliárd forint) </w:t>
      </w:r>
      <w:r>
        <w:t>2020 első négy hónapjában a bevételek 8,</w:t>
      </w:r>
      <w:r w:rsidR="00661C92">
        <w:t>4</w:t>
      </w:r>
      <w:r>
        <w:t>%</w:t>
      </w:r>
      <w:r w:rsidR="006E7875">
        <w:noBreakHyphen/>
      </w:r>
      <w:r>
        <w:t>kal, 6,0</w:t>
      </w:r>
      <w:r w:rsidR="006E7875">
        <w:t> </w:t>
      </w:r>
      <w:r>
        <w:t xml:space="preserve">milliárd forinttal haladták meg a bázist. A bevétel növekedésének oka a bruttó keresetek növekedése. </w:t>
      </w:r>
      <w:r w:rsidR="00776678">
        <w:t xml:space="preserve">A </w:t>
      </w:r>
      <w:r w:rsidR="00776678" w:rsidRPr="003A746E">
        <w:rPr>
          <w:b/>
        </w:rPr>
        <w:t>s</w:t>
      </w:r>
      <w:r w:rsidR="00705AF8" w:rsidRPr="00705AF8">
        <w:rPr>
          <w:b/>
        </w:rPr>
        <w:t>zociális hozzájárulási adóból</w:t>
      </w:r>
      <w:r w:rsidR="00705AF8">
        <w:t xml:space="preserve"> az NFA idén nem részesül.</w:t>
      </w:r>
    </w:p>
    <w:p w14:paraId="5376B2A2" w14:textId="6A0E5CEC" w:rsidR="00C04F10" w:rsidRPr="00284495" w:rsidRDefault="60A05D1C" w:rsidP="60A05D1C">
      <w:pPr>
        <w:rPr>
          <w:rFonts w:eastAsia="Calibri"/>
        </w:rPr>
      </w:pPr>
      <w:r w:rsidRPr="60A05D1C">
        <w:rPr>
          <w:rFonts w:eastAsia="Calibri"/>
        </w:rPr>
        <w:t xml:space="preserve">Április végéig az Egészségbiztosítási Alap </w:t>
      </w:r>
      <w:r w:rsidRPr="60A05D1C">
        <w:rPr>
          <w:rFonts w:eastAsia="Calibri"/>
          <w:b/>
          <w:bCs/>
        </w:rPr>
        <w:t xml:space="preserve">egészségügyi hozzájárulásból </w:t>
      </w:r>
      <w:r w:rsidRPr="60A05D1C">
        <w:rPr>
          <w:rFonts w:eastAsia="Calibri"/>
        </w:rPr>
        <w:t>származó bevétele</w:t>
      </w:r>
      <w:r w:rsidR="008D3506">
        <w:rPr>
          <w:rFonts w:eastAsia="Calibri"/>
        </w:rPr>
        <w:t>i</w:t>
      </w:r>
      <w:r w:rsidRPr="60A05D1C">
        <w:rPr>
          <w:rFonts w:eastAsia="Calibri"/>
        </w:rPr>
        <w:t xml:space="preserve"> 0,5</w:t>
      </w:r>
      <w:r w:rsidR="00D06530">
        <w:rPr>
          <w:rFonts w:eastAsia="Calibri"/>
        </w:rPr>
        <w:t> </w:t>
      </w:r>
      <w:r w:rsidRPr="60A05D1C">
        <w:rPr>
          <w:rFonts w:eastAsia="Calibri"/>
        </w:rPr>
        <w:t>milliárd forintot tettek ki, amely 32,1</w:t>
      </w:r>
      <w:r w:rsidR="00E125C7">
        <w:rPr>
          <w:rFonts w:eastAsia="Calibri"/>
        </w:rPr>
        <w:t> </w:t>
      </w:r>
      <w:r w:rsidRPr="60A05D1C">
        <w:rPr>
          <w:rFonts w:eastAsia="Calibri"/>
        </w:rPr>
        <w:t>milliárd forinttal alacsonyabb, mint az előző év</w:t>
      </w:r>
      <w:r w:rsidR="00315639">
        <w:rPr>
          <w:rFonts w:eastAsia="Calibri"/>
        </w:rPr>
        <w:t xml:space="preserve"> azonos időszakában</w:t>
      </w:r>
      <w:r w:rsidRPr="60A05D1C">
        <w:rPr>
          <w:rFonts w:eastAsia="Calibri"/>
        </w:rPr>
        <w:t xml:space="preserve"> befolyt összeg. E bevétel alakulásában szerepet játszik, hogy </w:t>
      </w:r>
      <w:r w:rsidR="00206263" w:rsidRPr="60A05D1C">
        <w:rPr>
          <w:rFonts w:eastAsia="Calibri"/>
        </w:rPr>
        <w:t xml:space="preserve">2019-ben </w:t>
      </w:r>
      <w:r w:rsidRPr="60A05D1C">
        <w:rPr>
          <w:rFonts w:eastAsia="Calibri"/>
        </w:rPr>
        <w:t>az egészségügyi hozzájárulás adónem beolvadt a szociális hozzájárulási adóba, emiatt 2020</w:t>
      </w:r>
      <w:r w:rsidR="00EF6310">
        <w:rPr>
          <w:rFonts w:eastAsia="Calibri"/>
        </w:rPr>
        <w:noBreakHyphen/>
      </w:r>
      <w:r w:rsidRPr="60A05D1C">
        <w:rPr>
          <w:rFonts w:eastAsia="Calibri"/>
        </w:rPr>
        <w:t xml:space="preserve">ban </w:t>
      </w:r>
      <w:r w:rsidR="00206263" w:rsidRPr="60A05D1C">
        <w:rPr>
          <w:rFonts w:eastAsia="Calibri"/>
        </w:rPr>
        <w:t xml:space="preserve">az adónemben </w:t>
      </w:r>
      <w:r w:rsidRPr="60A05D1C">
        <w:rPr>
          <w:rFonts w:eastAsia="Calibri"/>
        </w:rPr>
        <w:t>már csak kis</w:t>
      </w:r>
      <w:r w:rsidR="00A7732F">
        <w:rPr>
          <w:rFonts w:eastAsia="Calibri"/>
        </w:rPr>
        <w:t>ebb tételek, önrevíziók várható</w:t>
      </w:r>
      <w:r w:rsidRPr="60A05D1C">
        <w:rPr>
          <w:rFonts w:eastAsia="Calibri"/>
        </w:rPr>
        <w:t>k.</w:t>
      </w:r>
    </w:p>
    <w:p w14:paraId="4BEA97A3" w14:textId="0C35B7C0" w:rsidR="00B26079" w:rsidRDefault="60A05D1C" w:rsidP="00E03210">
      <w:pPr>
        <w:spacing w:after="240"/>
      </w:pPr>
      <w:r>
        <w:t xml:space="preserve">A </w:t>
      </w:r>
      <w:r w:rsidRPr="60A05D1C">
        <w:rPr>
          <w:b/>
          <w:bCs/>
        </w:rPr>
        <w:t>Nyugdíjbiztosítási Alap</w:t>
      </w:r>
      <w:r>
        <w:t xml:space="preserve"> 2020-ban 46,9 milliárd forint </w:t>
      </w:r>
      <w:r w:rsidRPr="60A05D1C">
        <w:rPr>
          <w:b/>
          <w:bCs/>
        </w:rPr>
        <w:t>központi költségvetési támogatásban</w:t>
      </w:r>
      <w:r>
        <w:t xml:space="preserve"> részesül. A támogatás 15,6 milliárd forintos, I-IV. </w:t>
      </w:r>
      <w:proofErr w:type="gramStart"/>
      <w:r>
        <w:t>havi</w:t>
      </w:r>
      <w:proofErr w:type="gramEnd"/>
      <w:r>
        <w:t xml:space="preserve"> időarányos összegét a Magyar Államkincstár a Nyugdíjbiztosítási Alap részére átutalta.</w:t>
      </w:r>
    </w:p>
    <w:p w14:paraId="0B65FEAA" w14:textId="495FC961" w:rsidR="000F6073" w:rsidRDefault="60A05D1C" w:rsidP="60A05D1C">
      <w:pPr>
        <w:rPr>
          <w:b/>
          <w:bCs/>
          <w:smallCaps/>
        </w:rPr>
      </w:pPr>
      <w:r w:rsidRPr="00F5644C">
        <w:rPr>
          <w:rFonts w:eastAsia="Calibri"/>
        </w:rPr>
        <w:t xml:space="preserve">Az </w:t>
      </w:r>
      <w:r w:rsidRPr="00F5644C">
        <w:rPr>
          <w:rFonts w:eastAsia="Calibri"/>
          <w:b/>
        </w:rPr>
        <w:t>Egészségbiztosítási Alap költségvetési támogatásai, térítései</w:t>
      </w:r>
      <w:r w:rsidRPr="00F5644C">
        <w:rPr>
          <w:rFonts w:eastAsia="Calibri"/>
        </w:rPr>
        <w:t xml:space="preserve"> 2020 első négy hónapjában összesen 195,5</w:t>
      </w:r>
      <w:r w:rsidR="00B24482">
        <w:rPr>
          <w:rFonts w:eastAsia="Calibri"/>
        </w:rPr>
        <w:t> </w:t>
      </w:r>
      <w:r w:rsidRPr="00F5644C">
        <w:rPr>
          <w:rFonts w:eastAsia="Calibri"/>
        </w:rPr>
        <w:t>milliárd forintot tettek ki, amely 47,9</w:t>
      </w:r>
      <w:r w:rsidR="00B24482">
        <w:rPr>
          <w:rFonts w:eastAsia="Calibri"/>
        </w:rPr>
        <w:t> </w:t>
      </w:r>
      <w:r w:rsidRPr="00F5644C">
        <w:rPr>
          <w:rFonts w:eastAsia="Calibri"/>
        </w:rPr>
        <w:t xml:space="preserve">milliárd forinttal magasabb, mint az előző év azonos időszakában átutalt összeg. </w:t>
      </w:r>
      <w:r w:rsidR="00291950">
        <w:rPr>
          <w:rFonts w:eastAsia="Calibri"/>
        </w:rPr>
        <w:t xml:space="preserve">Ebből a </w:t>
      </w:r>
      <w:r w:rsidRPr="00F5644C">
        <w:rPr>
          <w:rFonts w:eastAsia="Calibri"/>
        </w:rPr>
        <w:t>2020</w:t>
      </w:r>
      <w:r w:rsidR="00291950">
        <w:rPr>
          <w:rFonts w:eastAsia="Calibri"/>
        </w:rPr>
        <w:t>. év</w:t>
      </w:r>
      <w:r w:rsidRPr="00F5644C">
        <w:rPr>
          <w:rFonts w:eastAsia="Calibri"/>
        </w:rPr>
        <w:t xml:space="preserve"> I-IV. hónapjában az Egészségbiztosítási Alap járulék címen átvett pénzeszközként 154,5</w:t>
      </w:r>
      <w:r w:rsidR="00B24482">
        <w:rPr>
          <w:rFonts w:eastAsia="Calibri"/>
        </w:rPr>
        <w:t> </w:t>
      </w:r>
      <w:r w:rsidRPr="00F5644C">
        <w:rPr>
          <w:rFonts w:eastAsia="Calibri"/>
        </w:rPr>
        <w:t xml:space="preserve">milliárd </w:t>
      </w:r>
      <w:proofErr w:type="gramStart"/>
      <w:r w:rsidRPr="00F5644C">
        <w:rPr>
          <w:rFonts w:eastAsia="Calibri"/>
        </w:rPr>
        <w:t>forint támogatást</w:t>
      </w:r>
      <w:proofErr w:type="gramEnd"/>
      <w:r w:rsidRPr="00F5644C">
        <w:rPr>
          <w:rFonts w:eastAsia="Calibri"/>
        </w:rPr>
        <w:t xml:space="preserve"> kapott, szemben a tavalyi év azonos időszakában átutalt 145,8</w:t>
      </w:r>
      <w:r w:rsidR="00B24482">
        <w:rPr>
          <w:rFonts w:eastAsia="Calibri"/>
        </w:rPr>
        <w:t> </w:t>
      </w:r>
      <w:r w:rsidRPr="00F5644C">
        <w:rPr>
          <w:rFonts w:eastAsia="Calibri"/>
        </w:rPr>
        <w:t xml:space="preserve">milliárd forintos összeggel. </w:t>
      </w:r>
      <w:r w:rsidR="25153DD4">
        <w:br w:type="page"/>
      </w:r>
    </w:p>
    <w:p w14:paraId="5D4F02CB" w14:textId="5640B4D4" w:rsidR="006E4EA6" w:rsidRDefault="60A05D1C" w:rsidP="60A05D1C">
      <w:pPr>
        <w:pStyle w:val="Cmsor3"/>
        <w:numPr>
          <w:ilvl w:val="0"/>
          <w:numId w:val="8"/>
        </w:numPr>
        <w:spacing w:before="0" w:after="120"/>
        <w:jc w:val="left"/>
        <w:rPr>
          <w:sz w:val="26"/>
          <w:szCs w:val="26"/>
        </w:rPr>
      </w:pPr>
      <w:r w:rsidRPr="60A05D1C">
        <w:rPr>
          <w:sz w:val="26"/>
          <w:szCs w:val="26"/>
        </w:rPr>
        <w:lastRenderedPageBreak/>
        <w:t xml:space="preserve">A főbb kiadások </w:t>
      </w:r>
    </w:p>
    <w:p w14:paraId="66A0F3A1" w14:textId="77777777" w:rsidR="00953258" w:rsidRDefault="00953258" w:rsidP="00953258">
      <w:pPr>
        <w:rPr>
          <w:b/>
        </w:rPr>
      </w:pPr>
    </w:p>
    <w:p w14:paraId="63013758" w14:textId="267D3EC6" w:rsidR="0093149E" w:rsidRPr="0093149E" w:rsidRDefault="60A05D1C" w:rsidP="60A05D1C">
      <w:pPr>
        <w:rPr>
          <w:b/>
          <w:bCs/>
        </w:rPr>
      </w:pPr>
      <w:r w:rsidRPr="60A05D1C">
        <w:rPr>
          <w:b/>
          <w:bCs/>
        </w:rPr>
        <w:t xml:space="preserve">A központi alrendszer 2020. évi április végi 8207,6 milliárd forint összegű kiadásai 1407,7 milliárd forinttal, 20,7%-kal haladták meg az előző év azonos időszakának a teljesítését, mely elsősorban a költségvetési szervek kiadásainak és az egyéb szakmai fejezeti kezelésű előirányzatok kiadásainak, valamint az uniós programok kiadásainak a 2019. év első négy hónapjához viszonyított magasabb teljesülésével függ össze. Magasabban alakultak továbbá az előző év azonos időszakához képest a kamatkiadások, a nyugellátásokra és a gyógyító-megelőző ellátásra fordított összegek is. </w:t>
      </w:r>
    </w:p>
    <w:p w14:paraId="7D7BB282" w14:textId="77777777" w:rsidR="00242D74" w:rsidRDefault="00242D74" w:rsidP="002109F5"/>
    <w:p w14:paraId="56F4D62A" w14:textId="79F41DC2" w:rsidR="0019518A" w:rsidRDefault="0094753F" w:rsidP="002109F5">
      <w:r>
        <w:rPr>
          <w:noProof/>
        </w:rPr>
        <w:drawing>
          <wp:inline distT="0" distB="0" distL="0" distR="0" wp14:anchorId="2526A353" wp14:editId="70A69492">
            <wp:extent cx="5940425" cy="2147570"/>
            <wp:effectExtent l="0" t="0" r="3175" b="508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dás_megoszlás.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2147570"/>
                    </a:xfrm>
                    <a:prstGeom prst="rect">
                      <a:avLst/>
                    </a:prstGeom>
                  </pic:spPr>
                </pic:pic>
              </a:graphicData>
            </a:graphic>
          </wp:inline>
        </w:drawing>
      </w:r>
    </w:p>
    <w:p w14:paraId="547BC2FD" w14:textId="77777777" w:rsidR="0094753F" w:rsidRDefault="0094753F" w:rsidP="002109F5"/>
    <w:p w14:paraId="05B672CC" w14:textId="753BDEE7" w:rsidR="00C35D30" w:rsidRDefault="60A05D1C" w:rsidP="00C35D30">
      <w:r>
        <w:t>Az</w:t>
      </w:r>
      <w:r w:rsidR="007E5844">
        <w:rPr>
          <w:b/>
          <w:bCs/>
        </w:rPr>
        <w:t xml:space="preserve"> </w:t>
      </w:r>
      <w:r w:rsidR="007E5844" w:rsidRPr="007E5844">
        <w:rPr>
          <w:b/>
          <w:bCs/>
        </w:rPr>
        <w:t>egyedi és normatív támogatásokra</w:t>
      </w:r>
      <w:r w:rsidR="007E5844" w:rsidRPr="007E5844">
        <w:rPr>
          <w:bCs/>
        </w:rPr>
        <w:t xml:space="preserve"> fordított kiadások április végéig 200,5</w:t>
      </w:r>
      <w:r w:rsidR="00F7610B">
        <w:rPr>
          <w:bCs/>
        </w:rPr>
        <w:t> </w:t>
      </w:r>
      <w:r w:rsidR="007E5844" w:rsidRPr="007E5844">
        <w:rPr>
          <w:bCs/>
        </w:rPr>
        <w:t>milliárd forintot tettek ki, amely 41,5</w:t>
      </w:r>
      <w:r w:rsidR="00F7610B">
        <w:rPr>
          <w:bCs/>
        </w:rPr>
        <w:t> </w:t>
      </w:r>
      <w:r w:rsidR="007E5844" w:rsidRPr="007E5844">
        <w:rPr>
          <w:bCs/>
        </w:rPr>
        <w:t>milliárd forinttal haladta meg az előző év azonos időszakának teljesítését. Az eltérést az magyarázza, hogy a vasúti pályahálózat-működtetési költségtérítésre idén 8,1</w:t>
      </w:r>
      <w:r w:rsidR="00F7610B">
        <w:rPr>
          <w:bCs/>
        </w:rPr>
        <w:t> </w:t>
      </w:r>
      <w:r w:rsidR="007E5844" w:rsidRPr="007E5844">
        <w:rPr>
          <w:bCs/>
        </w:rPr>
        <w:t>milliárd forinttal, az elővárosi közösségi közlekedés támogatására 1,4</w:t>
      </w:r>
      <w:r w:rsidR="00F7610B">
        <w:rPr>
          <w:bCs/>
        </w:rPr>
        <w:t> </w:t>
      </w:r>
      <w:r w:rsidR="007E5844" w:rsidRPr="007E5844">
        <w:rPr>
          <w:bCs/>
        </w:rPr>
        <w:t>milliárd forinttal, a közösségi közlekedés személyszállítási költségtérítésére pedig 39,2</w:t>
      </w:r>
      <w:r w:rsidR="00F7610B">
        <w:rPr>
          <w:bCs/>
        </w:rPr>
        <w:t> </w:t>
      </w:r>
      <w:r w:rsidR="007E5844" w:rsidRPr="007E5844">
        <w:rPr>
          <w:bCs/>
        </w:rPr>
        <w:t xml:space="preserve">milliárd forinttal </w:t>
      </w:r>
      <w:r w:rsidR="000A6FDB">
        <w:rPr>
          <w:bCs/>
        </w:rPr>
        <w:t>magasabb</w:t>
      </w:r>
      <w:r w:rsidR="003B680A">
        <w:rPr>
          <w:bCs/>
        </w:rPr>
        <w:t xml:space="preserve"> összeg került kifizetésre.</w:t>
      </w:r>
      <w:r w:rsidR="007E5844" w:rsidRPr="007E5844">
        <w:rPr>
          <w:bCs/>
        </w:rPr>
        <w:t xml:space="preserve"> Az </w:t>
      </w:r>
      <w:proofErr w:type="spellStart"/>
      <w:r w:rsidR="007E5844" w:rsidRPr="007E5844">
        <w:rPr>
          <w:bCs/>
        </w:rPr>
        <w:t>Eximbank</w:t>
      </w:r>
      <w:proofErr w:type="spellEnd"/>
      <w:r w:rsidR="007E5844" w:rsidRPr="007E5844">
        <w:rPr>
          <w:bCs/>
        </w:rPr>
        <w:t xml:space="preserve"> </w:t>
      </w:r>
      <w:proofErr w:type="spellStart"/>
      <w:r w:rsidR="007E5844" w:rsidRPr="007E5844">
        <w:rPr>
          <w:bCs/>
        </w:rPr>
        <w:t>Zrt</w:t>
      </w:r>
      <w:proofErr w:type="spellEnd"/>
      <w:r w:rsidR="007E5844" w:rsidRPr="007E5844">
        <w:rPr>
          <w:bCs/>
        </w:rPr>
        <w:t>. részére nyújtott kamatkiegyenlítés összege viszont 7,1</w:t>
      </w:r>
      <w:r w:rsidR="00F7610B">
        <w:rPr>
          <w:bCs/>
        </w:rPr>
        <w:t> </w:t>
      </w:r>
      <w:r w:rsidR="007E5844" w:rsidRPr="007E5844">
        <w:rPr>
          <w:bCs/>
        </w:rPr>
        <w:t>milliárd forinttal alacsonyabb lett az egy évvel korábbinál.</w:t>
      </w:r>
      <w:r>
        <w:t xml:space="preserve"> </w:t>
      </w:r>
    </w:p>
    <w:p w14:paraId="1BE6339D" w14:textId="71808173" w:rsidR="00693A8F" w:rsidRDefault="60A05D1C" w:rsidP="00693A8F">
      <w:r>
        <w:t>A főbb tételek alakulását a következő diagram szemlélteti:</w:t>
      </w:r>
    </w:p>
    <w:p w14:paraId="7CFB3505" w14:textId="7CE8D4DA" w:rsidR="0040524C" w:rsidRDefault="006E5A0B" w:rsidP="002109F5">
      <w:r>
        <w:rPr>
          <w:noProof/>
        </w:rPr>
        <w:lastRenderedPageBreak/>
        <w:drawing>
          <wp:inline distT="0" distB="0" distL="0" distR="0" wp14:anchorId="0B3A9FAB" wp14:editId="7A18F7E6">
            <wp:extent cx="5940425" cy="3522345"/>
            <wp:effectExtent l="0" t="0" r="3175" b="190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di_és_normatív_tám.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3522345"/>
                    </a:xfrm>
                    <a:prstGeom prst="rect">
                      <a:avLst/>
                    </a:prstGeom>
                  </pic:spPr>
                </pic:pic>
              </a:graphicData>
            </a:graphic>
          </wp:inline>
        </w:drawing>
      </w:r>
    </w:p>
    <w:p w14:paraId="2BDAEF5C" w14:textId="77777777" w:rsidR="00752FA6" w:rsidRDefault="00752FA6" w:rsidP="002109F5"/>
    <w:p w14:paraId="47E495F8" w14:textId="7BECDD19" w:rsidR="00567033" w:rsidRPr="00342044" w:rsidRDefault="60A05D1C" w:rsidP="60A05D1C">
      <w:pPr>
        <w:rPr>
          <w:rFonts w:cs="Tahoma"/>
          <w:color w:val="000000" w:themeColor="text1"/>
        </w:rPr>
      </w:pPr>
      <w:r w:rsidRPr="60A05D1C">
        <w:rPr>
          <w:rFonts w:cs="Tahoma"/>
          <w:color w:val="000000" w:themeColor="text1"/>
        </w:rPr>
        <w:t xml:space="preserve">A </w:t>
      </w:r>
      <w:r w:rsidRPr="60A05D1C">
        <w:rPr>
          <w:rFonts w:cs="Tahoma"/>
          <w:b/>
          <w:bCs/>
          <w:color w:val="000000" w:themeColor="text1"/>
        </w:rPr>
        <w:t>lakásépítési támogatásokra</w:t>
      </w:r>
      <w:r w:rsidRPr="60A05D1C">
        <w:rPr>
          <w:rFonts w:cs="Tahoma"/>
          <w:color w:val="000000" w:themeColor="text1"/>
        </w:rPr>
        <w:t xml:space="preserve"> fordított kiadások összege az év első négy hónapjában 87,4 milliárd forint volt, mely az előző év azonos időszakához viszonyítva 32,6</w:t>
      </w:r>
      <w:r w:rsidR="00146C74">
        <w:rPr>
          <w:rFonts w:cs="Tahoma"/>
          <w:color w:val="000000" w:themeColor="text1"/>
        </w:rPr>
        <w:t> </w:t>
      </w:r>
      <w:r w:rsidRPr="60A05D1C">
        <w:rPr>
          <w:rFonts w:cs="Tahoma"/>
          <w:color w:val="000000" w:themeColor="text1"/>
        </w:rPr>
        <w:t xml:space="preserve">milliárd forinttal teljesült magasabban. Az eltérés elsősorban a 2018. július 1-jétől egyes meglévő </w:t>
      </w:r>
      <w:proofErr w:type="gramStart"/>
      <w:r w:rsidRPr="60A05D1C">
        <w:rPr>
          <w:rFonts w:cs="Tahoma"/>
          <w:color w:val="000000" w:themeColor="text1"/>
        </w:rPr>
        <w:t>konstrukciók</w:t>
      </w:r>
      <w:proofErr w:type="gramEnd"/>
      <w:r w:rsidRPr="60A05D1C">
        <w:rPr>
          <w:rFonts w:cs="Tahoma"/>
          <w:color w:val="000000" w:themeColor="text1"/>
        </w:rPr>
        <w:t xml:space="preserve"> – ilyen a családi otthonteremtési kedvezmény – új elemekkel történő kiterjesztésére vezethető vissza. Az idei kifizetés emelkedését okozta még a szintén 2018. július 1-jétől kezdődően a többgyermekes családok lakáscélú jelzáloghitel-tartozásának csökkentésére nyújtott támogatás igénybevételi lehetőségének kibővítése, valamint összegének jelentős megemelése. </w:t>
      </w:r>
      <w:proofErr w:type="gramStart"/>
      <w:r w:rsidRPr="60A05D1C">
        <w:rPr>
          <w:rFonts w:cs="Tahoma"/>
          <w:color w:val="000000" w:themeColor="text1"/>
        </w:rPr>
        <w:t>Ezenfelül</w:t>
      </w:r>
      <w:proofErr w:type="gramEnd"/>
      <w:r w:rsidRPr="60A05D1C">
        <w:rPr>
          <w:rFonts w:cs="Tahoma"/>
          <w:color w:val="000000" w:themeColor="text1"/>
        </w:rPr>
        <w:t xml:space="preserve"> az árfolyam- és a referenciahozamok, valamint a további konstrukciókat igénybe vevők létszámának alakulása is befolyásolta a kifizetéseket.</w:t>
      </w:r>
    </w:p>
    <w:p w14:paraId="10F6EA13" w14:textId="3513840B" w:rsidR="009F77CF" w:rsidRDefault="60A05D1C" w:rsidP="51CD5D50">
      <w:r w:rsidRPr="60A05D1C">
        <w:rPr>
          <w:rFonts w:cs="Tahoma"/>
          <w:color w:val="000000" w:themeColor="text1"/>
        </w:rPr>
        <w:t xml:space="preserve">A </w:t>
      </w:r>
      <w:r w:rsidRPr="60A05D1C">
        <w:rPr>
          <w:rFonts w:cs="Tahoma"/>
          <w:b/>
          <w:bCs/>
          <w:color w:val="000000" w:themeColor="text1"/>
        </w:rPr>
        <w:t>Nemzeti Család- és Szociálpolitikai Alap</w:t>
      </w:r>
      <w:r w:rsidRPr="60A05D1C">
        <w:rPr>
          <w:rFonts w:cs="Tahoma"/>
          <w:color w:val="000000" w:themeColor="text1"/>
        </w:rPr>
        <w:t xml:space="preserve"> a családi támogatásokat, a korhatár alatti ellátásokat, a jövedelempótló és jövedelemkiegészítő szociális támogatásokat, </w:t>
      </w:r>
      <w:r>
        <w:t>valamint a különféle jogcímen adott térítéseket tartalmazza. A főbb támogatásokat a következő táblázat részletezi:</w:t>
      </w:r>
      <w:r w:rsidR="25153DD4">
        <w:br w:type="page"/>
      </w:r>
    </w:p>
    <w:tbl>
      <w:tblPr>
        <w:tblW w:w="7520" w:type="dxa"/>
        <w:tblInd w:w="496" w:type="dxa"/>
        <w:tblCellMar>
          <w:left w:w="70" w:type="dxa"/>
          <w:right w:w="70" w:type="dxa"/>
        </w:tblCellMar>
        <w:tblLook w:val="04A0" w:firstRow="1" w:lastRow="0" w:firstColumn="1" w:lastColumn="0" w:noHBand="0" w:noVBand="1"/>
      </w:tblPr>
      <w:tblGrid>
        <w:gridCol w:w="4180"/>
        <w:gridCol w:w="980"/>
        <w:gridCol w:w="960"/>
        <w:gridCol w:w="807"/>
        <w:gridCol w:w="593"/>
      </w:tblGrid>
      <w:tr w:rsidR="009F77CF" w:rsidRPr="009F77CF" w14:paraId="6CE8F978" w14:textId="77777777" w:rsidTr="60A05D1C">
        <w:trPr>
          <w:trHeight w:val="270"/>
        </w:trPr>
        <w:tc>
          <w:tcPr>
            <w:tcW w:w="4180"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2F9D56C4" w14:textId="77777777" w:rsidR="009F77CF" w:rsidRPr="009F77CF" w:rsidRDefault="60A05D1C" w:rsidP="60A05D1C">
            <w:pPr>
              <w:spacing w:after="0"/>
              <w:jc w:val="center"/>
              <w:rPr>
                <w:b/>
                <w:bCs/>
                <w:sz w:val="14"/>
                <w:szCs w:val="14"/>
              </w:rPr>
            </w:pPr>
            <w:r w:rsidRPr="60A05D1C">
              <w:rPr>
                <w:b/>
                <w:bCs/>
                <w:sz w:val="14"/>
                <w:szCs w:val="14"/>
              </w:rPr>
              <w:lastRenderedPageBreak/>
              <w:t>Megnevezés</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66642" w14:textId="77777777" w:rsidR="009F77CF" w:rsidRPr="009F77CF" w:rsidRDefault="60A05D1C" w:rsidP="60A05D1C">
            <w:pPr>
              <w:spacing w:after="0"/>
              <w:jc w:val="center"/>
              <w:rPr>
                <w:b/>
                <w:bCs/>
                <w:sz w:val="14"/>
                <w:szCs w:val="14"/>
              </w:rPr>
            </w:pPr>
            <w:r w:rsidRPr="60A05D1C">
              <w:rPr>
                <w:b/>
                <w:bCs/>
                <w:sz w:val="14"/>
                <w:szCs w:val="14"/>
              </w:rPr>
              <w:t xml:space="preserve">2019. </w:t>
            </w:r>
            <w:r w:rsidR="25153DD4">
              <w:br/>
            </w:r>
            <w:r w:rsidRPr="60A05D1C">
              <w:rPr>
                <w:b/>
                <w:bCs/>
                <w:sz w:val="14"/>
                <w:szCs w:val="14"/>
              </w:rPr>
              <w:t>I-IV. hó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DCFA2" w14:textId="77777777" w:rsidR="009F77CF" w:rsidRPr="009F77CF" w:rsidRDefault="60A05D1C" w:rsidP="60A05D1C">
            <w:pPr>
              <w:spacing w:after="0"/>
              <w:jc w:val="center"/>
              <w:rPr>
                <w:b/>
                <w:bCs/>
                <w:sz w:val="14"/>
                <w:szCs w:val="14"/>
              </w:rPr>
            </w:pPr>
            <w:r w:rsidRPr="60A05D1C">
              <w:rPr>
                <w:b/>
                <w:bCs/>
                <w:sz w:val="14"/>
                <w:szCs w:val="14"/>
              </w:rPr>
              <w:t>2020.</w:t>
            </w:r>
            <w:r w:rsidR="25153DD4">
              <w:br/>
            </w:r>
            <w:r w:rsidRPr="60A05D1C">
              <w:rPr>
                <w:b/>
                <w:bCs/>
                <w:sz w:val="14"/>
                <w:szCs w:val="14"/>
              </w:rPr>
              <w:t>I-IV. hó</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F37C00" w14:textId="77777777" w:rsidR="009F77CF" w:rsidRPr="009F77CF" w:rsidRDefault="60A05D1C" w:rsidP="60A05D1C">
            <w:pPr>
              <w:spacing w:after="0"/>
              <w:jc w:val="center"/>
              <w:rPr>
                <w:b/>
                <w:bCs/>
                <w:sz w:val="14"/>
                <w:szCs w:val="14"/>
              </w:rPr>
            </w:pPr>
            <w:r w:rsidRPr="60A05D1C">
              <w:rPr>
                <w:b/>
                <w:bCs/>
                <w:sz w:val="14"/>
                <w:szCs w:val="14"/>
              </w:rPr>
              <w:t>Eltérés</w:t>
            </w:r>
          </w:p>
        </w:tc>
      </w:tr>
      <w:tr w:rsidR="009F77CF" w:rsidRPr="009F77CF" w14:paraId="3D3FD2B6" w14:textId="77777777" w:rsidTr="60A05D1C">
        <w:trPr>
          <w:trHeight w:val="225"/>
        </w:trPr>
        <w:tc>
          <w:tcPr>
            <w:tcW w:w="4180" w:type="dxa"/>
            <w:vMerge/>
            <w:tcBorders>
              <w:top w:val="single" w:sz="4" w:space="0" w:color="auto"/>
              <w:left w:val="single" w:sz="4" w:space="0" w:color="auto"/>
              <w:bottom w:val="single" w:sz="4" w:space="0" w:color="000000"/>
              <w:right w:val="single" w:sz="4" w:space="0" w:color="auto"/>
            </w:tcBorders>
            <w:vAlign w:val="center"/>
            <w:hideMark/>
          </w:tcPr>
          <w:p w14:paraId="40B758E5" w14:textId="77777777" w:rsidR="009F77CF" w:rsidRPr="009F77CF" w:rsidRDefault="009F77CF" w:rsidP="009F77CF">
            <w:pPr>
              <w:spacing w:after="0"/>
              <w:jc w:val="left"/>
              <w:rPr>
                <w:b/>
                <w:bCs/>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54DA1D09" w14:textId="77777777" w:rsidR="009F77CF" w:rsidRPr="009F77CF" w:rsidRDefault="009F77CF" w:rsidP="009F77CF">
            <w:pPr>
              <w:spacing w:after="0"/>
              <w:jc w:val="left"/>
              <w:rPr>
                <w:b/>
                <w:bCs/>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E98C5EC" w14:textId="77777777" w:rsidR="009F77CF" w:rsidRPr="009F77CF" w:rsidRDefault="009F77CF" w:rsidP="009F77CF">
            <w:pPr>
              <w:spacing w:after="0"/>
              <w:jc w:val="left"/>
              <w:rPr>
                <w:b/>
                <w:bCs/>
                <w:sz w:val="14"/>
                <w:szCs w:val="14"/>
              </w:rPr>
            </w:pPr>
          </w:p>
        </w:tc>
        <w:tc>
          <w:tcPr>
            <w:tcW w:w="807" w:type="dxa"/>
            <w:tcBorders>
              <w:top w:val="nil"/>
              <w:left w:val="nil"/>
              <w:bottom w:val="single" w:sz="4" w:space="0" w:color="auto"/>
              <w:right w:val="single" w:sz="4" w:space="0" w:color="auto"/>
            </w:tcBorders>
            <w:shd w:val="clear" w:color="auto" w:fill="auto"/>
            <w:noWrap/>
            <w:vAlign w:val="bottom"/>
            <w:hideMark/>
          </w:tcPr>
          <w:p w14:paraId="55EDDEE7" w14:textId="77777777" w:rsidR="009F77CF" w:rsidRPr="009F77CF" w:rsidRDefault="60A05D1C" w:rsidP="60A05D1C">
            <w:pPr>
              <w:spacing w:after="0"/>
              <w:jc w:val="center"/>
              <w:rPr>
                <w:b/>
                <w:bCs/>
                <w:sz w:val="14"/>
                <w:szCs w:val="14"/>
              </w:rPr>
            </w:pPr>
            <w:r w:rsidRPr="60A05D1C">
              <w:rPr>
                <w:b/>
                <w:bCs/>
                <w:sz w:val="14"/>
                <w:szCs w:val="14"/>
              </w:rPr>
              <w:t>Mrd Ft</w:t>
            </w:r>
          </w:p>
        </w:tc>
        <w:tc>
          <w:tcPr>
            <w:tcW w:w="593" w:type="dxa"/>
            <w:tcBorders>
              <w:top w:val="nil"/>
              <w:left w:val="nil"/>
              <w:bottom w:val="single" w:sz="4" w:space="0" w:color="auto"/>
              <w:right w:val="single" w:sz="4" w:space="0" w:color="auto"/>
            </w:tcBorders>
            <w:shd w:val="clear" w:color="auto" w:fill="auto"/>
            <w:noWrap/>
            <w:vAlign w:val="bottom"/>
            <w:hideMark/>
          </w:tcPr>
          <w:p w14:paraId="218D1A8A" w14:textId="77777777" w:rsidR="009F77CF" w:rsidRPr="009F77CF" w:rsidRDefault="60A05D1C" w:rsidP="60A05D1C">
            <w:pPr>
              <w:spacing w:after="0"/>
              <w:jc w:val="center"/>
              <w:rPr>
                <w:b/>
                <w:bCs/>
                <w:sz w:val="14"/>
                <w:szCs w:val="14"/>
              </w:rPr>
            </w:pPr>
            <w:r w:rsidRPr="60A05D1C">
              <w:rPr>
                <w:b/>
                <w:bCs/>
                <w:sz w:val="14"/>
                <w:szCs w:val="14"/>
              </w:rPr>
              <w:t>%</w:t>
            </w:r>
          </w:p>
        </w:tc>
      </w:tr>
      <w:tr w:rsidR="009F77CF" w:rsidRPr="009F77CF" w14:paraId="7E13507E"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4835AE5" w14:textId="77777777" w:rsidR="009F77CF" w:rsidRPr="009F77CF" w:rsidRDefault="60A05D1C" w:rsidP="60A05D1C">
            <w:pPr>
              <w:spacing w:after="0"/>
              <w:jc w:val="left"/>
              <w:rPr>
                <w:b/>
                <w:bCs/>
                <w:sz w:val="14"/>
                <w:szCs w:val="14"/>
              </w:rPr>
            </w:pPr>
            <w:r w:rsidRPr="60A05D1C">
              <w:rPr>
                <w:b/>
                <w:bCs/>
                <w:sz w:val="14"/>
                <w:szCs w:val="14"/>
              </w:rPr>
              <w:t>Családi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4E42E7AB" w14:textId="77777777" w:rsidR="009F77CF" w:rsidRPr="009F77CF" w:rsidRDefault="60A05D1C" w:rsidP="60A05D1C">
            <w:pPr>
              <w:spacing w:after="0"/>
              <w:jc w:val="right"/>
              <w:rPr>
                <w:b/>
                <w:bCs/>
                <w:sz w:val="14"/>
                <w:szCs w:val="14"/>
              </w:rPr>
            </w:pPr>
            <w:r w:rsidRPr="60A05D1C">
              <w:rPr>
                <w:b/>
                <w:bCs/>
                <w:sz w:val="14"/>
                <w:szCs w:val="14"/>
              </w:rPr>
              <w:t>135,0</w:t>
            </w:r>
          </w:p>
        </w:tc>
        <w:tc>
          <w:tcPr>
            <w:tcW w:w="960" w:type="dxa"/>
            <w:tcBorders>
              <w:top w:val="nil"/>
              <w:left w:val="nil"/>
              <w:bottom w:val="single" w:sz="4" w:space="0" w:color="auto"/>
              <w:right w:val="single" w:sz="4" w:space="0" w:color="auto"/>
            </w:tcBorders>
            <w:shd w:val="clear" w:color="auto" w:fill="auto"/>
            <w:noWrap/>
            <w:vAlign w:val="bottom"/>
            <w:hideMark/>
          </w:tcPr>
          <w:p w14:paraId="77BE7B36" w14:textId="77777777" w:rsidR="009F77CF" w:rsidRPr="009F77CF" w:rsidRDefault="60A05D1C" w:rsidP="60A05D1C">
            <w:pPr>
              <w:spacing w:after="0"/>
              <w:jc w:val="right"/>
              <w:rPr>
                <w:b/>
                <w:bCs/>
                <w:sz w:val="14"/>
                <w:szCs w:val="14"/>
              </w:rPr>
            </w:pPr>
            <w:r w:rsidRPr="60A05D1C">
              <w:rPr>
                <w:b/>
                <w:bCs/>
                <w:sz w:val="14"/>
                <w:szCs w:val="14"/>
              </w:rPr>
              <w:t>134,8</w:t>
            </w:r>
          </w:p>
        </w:tc>
        <w:tc>
          <w:tcPr>
            <w:tcW w:w="807" w:type="dxa"/>
            <w:tcBorders>
              <w:top w:val="nil"/>
              <w:left w:val="nil"/>
              <w:bottom w:val="single" w:sz="4" w:space="0" w:color="auto"/>
              <w:right w:val="single" w:sz="4" w:space="0" w:color="auto"/>
            </w:tcBorders>
            <w:shd w:val="clear" w:color="auto" w:fill="auto"/>
            <w:noWrap/>
            <w:vAlign w:val="bottom"/>
            <w:hideMark/>
          </w:tcPr>
          <w:p w14:paraId="6189BCA1" w14:textId="77777777" w:rsidR="009F77CF" w:rsidRPr="009F77CF" w:rsidRDefault="60A05D1C" w:rsidP="60A05D1C">
            <w:pPr>
              <w:spacing w:after="0"/>
              <w:jc w:val="right"/>
              <w:rPr>
                <w:b/>
                <w:bCs/>
                <w:sz w:val="14"/>
                <w:szCs w:val="14"/>
              </w:rPr>
            </w:pPr>
            <w:r w:rsidRPr="60A05D1C">
              <w:rPr>
                <w:b/>
                <w:bCs/>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7C16499F" w14:textId="77777777" w:rsidR="009F77CF" w:rsidRPr="009F77CF" w:rsidRDefault="60A05D1C" w:rsidP="60A05D1C">
            <w:pPr>
              <w:spacing w:after="0"/>
              <w:jc w:val="right"/>
              <w:rPr>
                <w:b/>
                <w:bCs/>
                <w:sz w:val="14"/>
                <w:szCs w:val="14"/>
              </w:rPr>
            </w:pPr>
            <w:r w:rsidRPr="60A05D1C">
              <w:rPr>
                <w:b/>
                <w:bCs/>
                <w:sz w:val="14"/>
                <w:szCs w:val="14"/>
              </w:rPr>
              <w:t>99,9</w:t>
            </w:r>
          </w:p>
        </w:tc>
      </w:tr>
      <w:tr w:rsidR="009F77CF" w:rsidRPr="009F77CF" w14:paraId="0396F419"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603FC2A" w14:textId="77777777" w:rsidR="009F77CF" w:rsidRPr="009F77CF" w:rsidRDefault="60A05D1C" w:rsidP="60A05D1C">
            <w:pPr>
              <w:spacing w:after="0"/>
              <w:ind w:firstLineChars="100" w:firstLine="140"/>
              <w:jc w:val="left"/>
              <w:rPr>
                <w:i/>
                <w:iCs/>
                <w:sz w:val="14"/>
                <w:szCs w:val="14"/>
              </w:rPr>
            </w:pPr>
            <w:r w:rsidRPr="60A05D1C">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21EDC3FB" w14:textId="77777777" w:rsidR="009F77CF" w:rsidRPr="009F77CF" w:rsidRDefault="60A05D1C" w:rsidP="60A05D1C">
            <w:pPr>
              <w:spacing w:after="0"/>
              <w:jc w:val="right"/>
              <w:rPr>
                <w:sz w:val="14"/>
                <w:szCs w:val="14"/>
              </w:rPr>
            </w:pPr>
            <w:r w:rsidRPr="60A05D1C">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39843D2A" w14:textId="77777777" w:rsidR="009F77CF" w:rsidRPr="009F77CF" w:rsidRDefault="60A05D1C" w:rsidP="60A05D1C">
            <w:pPr>
              <w:spacing w:after="0"/>
              <w:jc w:val="right"/>
              <w:rPr>
                <w:sz w:val="14"/>
                <w:szCs w:val="14"/>
              </w:rPr>
            </w:pPr>
            <w:r w:rsidRPr="60A05D1C">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212B4AF4" w14:textId="77777777" w:rsidR="009F77CF" w:rsidRPr="009F77CF" w:rsidRDefault="60A05D1C" w:rsidP="60A05D1C">
            <w:pPr>
              <w:spacing w:after="0"/>
              <w:jc w:val="right"/>
              <w:rPr>
                <w:sz w:val="14"/>
                <w:szCs w:val="14"/>
              </w:rPr>
            </w:pPr>
            <w:r w:rsidRPr="60A05D1C">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14E72C30" w14:textId="77777777" w:rsidR="009F77CF" w:rsidRPr="009F77CF" w:rsidRDefault="60A05D1C" w:rsidP="60A05D1C">
            <w:pPr>
              <w:spacing w:after="0"/>
              <w:jc w:val="right"/>
              <w:rPr>
                <w:sz w:val="14"/>
                <w:szCs w:val="14"/>
              </w:rPr>
            </w:pPr>
            <w:r w:rsidRPr="60A05D1C">
              <w:rPr>
                <w:sz w:val="14"/>
                <w:szCs w:val="14"/>
              </w:rPr>
              <w:t> </w:t>
            </w:r>
          </w:p>
        </w:tc>
      </w:tr>
      <w:tr w:rsidR="009F77CF" w:rsidRPr="009F77CF" w14:paraId="02A22683"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11F2192" w14:textId="77777777" w:rsidR="009F77CF" w:rsidRPr="009F77CF" w:rsidRDefault="60A05D1C" w:rsidP="60A05D1C">
            <w:pPr>
              <w:spacing w:after="0"/>
              <w:ind w:firstLineChars="400" w:firstLine="560"/>
              <w:jc w:val="left"/>
              <w:rPr>
                <w:i/>
                <w:iCs/>
                <w:sz w:val="14"/>
                <w:szCs w:val="14"/>
              </w:rPr>
            </w:pPr>
            <w:r w:rsidRPr="60A05D1C">
              <w:rPr>
                <w:i/>
                <w:iCs/>
                <w:sz w:val="14"/>
                <w:szCs w:val="14"/>
              </w:rPr>
              <w:t>családi pótlék</w:t>
            </w:r>
          </w:p>
        </w:tc>
        <w:tc>
          <w:tcPr>
            <w:tcW w:w="980" w:type="dxa"/>
            <w:tcBorders>
              <w:top w:val="nil"/>
              <w:left w:val="nil"/>
              <w:bottom w:val="single" w:sz="4" w:space="0" w:color="auto"/>
              <w:right w:val="single" w:sz="4" w:space="0" w:color="auto"/>
            </w:tcBorders>
            <w:shd w:val="clear" w:color="auto" w:fill="auto"/>
            <w:noWrap/>
            <w:vAlign w:val="bottom"/>
            <w:hideMark/>
          </w:tcPr>
          <w:p w14:paraId="3257CA9C" w14:textId="77777777" w:rsidR="009F77CF" w:rsidRPr="009F77CF" w:rsidRDefault="60A05D1C" w:rsidP="60A05D1C">
            <w:pPr>
              <w:spacing w:after="0"/>
              <w:jc w:val="right"/>
              <w:rPr>
                <w:sz w:val="14"/>
                <w:szCs w:val="14"/>
              </w:rPr>
            </w:pPr>
            <w:r w:rsidRPr="60A05D1C">
              <w:rPr>
                <w:sz w:val="14"/>
                <w:szCs w:val="14"/>
              </w:rPr>
              <w:t>103,5</w:t>
            </w:r>
          </w:p>
        </w:tc>
        <w:tc>
          <w:tcPr>
            <w:tcW w:w="960" w:type="dxa"/>
            <w:tcBorders>
              <w:top w:val="nil"/>
              <w:left w:val="nil"/>
              <w:bottom w:val="single" w:sz="4" w:space="0" w:color="auto"/>
              <w:right w:val="single" w:sz="4" w:space="0" w:color="auto"/>
            </w:tcBorders>
            <w:shd w:val="clear" w:color="auto" w:fill="auto"/>
            <w:noWrap/>
            <w:vAlign w:val="bottom"/>
            <w:hideMark/>
          </w:tcPr>
          <w:p w14:paraId="6D04A414" w14:textId="77777777" w:rsidR="009F77CF" w:rsidRPr="009F77CF" w:rsidRDefault="60A05D1C" w:rsidP="60A05D1C">
            <w:pPr>
              <w:spacing w:after="0"/>
              <w:jc w:val="right"/>
              <w:rPr>
                <w:sz w:val="14"/>
                <w:szCs w:val="14"/>
              </w:rPr>
            </w:pPr>
            <w:r w:rsidRPr="60A05D1C">
              <w:rPr>
                <w:sz w:val="14"/>
                <w:szCs w:val="14"/>
              </w:rPr>
              <w:t>103,2</w:t>
            </w:r>
          </w:p>
        </w:tc>
        <w:tc>
          <w:tcPr>
            <w:tcW w:w="807" w:type="dxa"/>
            <w:tcBorders>
              <w:top w:val="nil"/>
              <w:left w:val="nil"/>
              <w:bottom w:val="single" w:sz="4" w:space="0" w:color="auto"/>
              <w:right w:val="single" w:sz="4" w:space="0" w:color="auto"/>
            </w:tcBorders>
            <w:shd w:val="clear" w:color="auto" w:fill="auto"/>
            <w:noWrap/>
            <w:vAlign w:val="bottom"/>
            <w:hideMark/>
          </w:tcPr>
          <w:p w14:paraId="66177233" w14:textId="77777777" w:rsidR="009F77CF" w:rsidRPr="009F77CF" w:rsidRDefault="60A05D1C" w:rsidP="60A05D1C">
            <w:pPr>
              <w:spacing w:after="0"/>
              <w:jc w:val="right"/>
              <w:rPr>
                <w:sz w:val="14"/>
                <w:szCs w:val="14"/>
              </w:rPr>
            </w:pPr>
            <w:r w:rsidRPr="60A05D1C">
              <w:rPr>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2C84EDC3" w14:textId="77777777" w:rsidR="009F77CF" w:rsidRPr="009F77CF" w:rsidRDefault="60A05D1C" w:rsidP="60A05D1C">
            <w:pPr>
              <w:spacing w:after="0"/>
              <w:jc w:val="right"/>
              <w:rPr>
                <w:sz w:val="14"/>
                <w:szCs w:val="14"/>
              </w:rPr>
            </w:pPr>
            <w:r w:rsidRPr="60A05D1C">
              <w:rPr>
                <w:sz w:val="14"/>
                <w:szCs w:val="14"/>
              </w:rPr>
              <w:t>99,7</w:t>
            </w:r>
          </w:p>
        </w:tc>
      </w:tr>
      <w:tr w:rsidR="009F77CF" w:rsidRPr="009F77CF" w14:paraId="52790FD4"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1AC2CCF" w14:textId="77777777" w:rsidR="009F77CF" w:rsidRPr="009F77CF" w:rsidRDefault="60A05D1C" w:rsidP="60A05D1C">
            <w:pPr>
              <w:spacing w:after="0"/>
              <w:ind w:firstLineChars="400" w:firstLine="560"/>
              <w:jc w:val="left"/>
              <w:rPr>
                <w:i/>
                <w:iCs/>
                <w:sz w:val="14"/>
                <w:szCs w:val="14"/>
              </w:rPr>
            </w:pPr>
            <w:r w:rsidRPr="60A05D1C">
              <w:rPr>
                <w:i/>
                <w:iCs/>
                <w:sz w:val="14"/>
                <w:szCs w:val="14"/>
              </w:rPr>
              <w:t>gyermekgondozást segítő ellátás</w:t>
            </w:r>
          </w:p>
        </w:tc>
        <w:tc>
          <w:tcPr>
            <w:tcW w:w="980" w:type="dxa"/>
            <w:tcBorders>
              <w:top w:val="nil"/>
              <w:left w:val="nil"/>
              <w:bottom w:val="single" w:sz="4" w:space="0" w:color="auto"/>
              <w:right w:val="single" w:sz="4" w:space="0" w:color="auto"/>
            </w:tcBorders>
            <w:shd w:val="clear" w:color="auto" w:fill="auto"/>
            <w:noWrap/>
            <w:vAlign w:val="bottom"/>
            <w:hideMark/>
          </w:tcPr>
          <w:p w14:paraId="653FC409" w14:textId="77777777" w:rsidR="009F77CF" w:rsidRPr="009F77CF" w:rsidRDefault="60A05D1C" w:rsidP="60A05D1C">
            <w:pPr>
              <w:spacing w:after="0"/>
              <w:jc w:val="right"/>
              <w:rPr>
                <w:sz w:val="14"/>
                <w:szCs w:val="14"/>
              </w:rPr>
            </w:pPr>
            <w:r w:rsidRPr="60A05D1C">
              <w:rPr>
                <w:sz w:val="14"/>
                <w:szCs w:val="14"/>
              </w:rPr>
              <w:t>20,4</w:t>
            </w:r>
          </w:p>
        </w:tc>
        <w:tc>
          <w:tcPr>
            <w:tcW w:w="960" w:type="dxa"/>
            <w:tcBorders>
              <w:top w:val="nil"/>
              <w:left w:val="nil"/>
              <w:bottom w:val="single" w:sz="4" w:space="0" w:color="auto"/>
              <w:right w:val="single" w:sz="4" w:space="0" w:color="auto"/>
            </w:tcBorders>
            <w:shd w:val="clear" w:color="auto" w:fill="auto"/>
            <w:noWrap/>
            <w:vAlign w:val="bottom"/>
            <w:hideMark/>
          </w:tcPr>
          <w:p w14:paraId="5A507F02" w14:textId="77777777" w:rsidR="009F77CF" w:rsidRPr="009F77CF" w:rsidRDefault="60A05D1C" w:rsidP="60A05D1C">
            <w:pPr>
              <w:spacing w:after="0"/>
              <w:jc w:val="right"/>
              <w:rPr>
                <w:sz w:val="14"/>
                <w:szCs w:val="14"/>
              </w:rPr>
            </w:pPr>
            <w:r w:rsidRPr="60A05D1C">
              <w:rPr>
                <w:sz w:val="14"/>
                <w:szCs w:val="14"/>
              </w:rPr>
              <w:t>19,1</w:t>
            </w:r>
          </w:p>
        </w:tc>
        <w:tc>
          <w:tcPr>
            <w:tcW w:w="807" w:type="dxa"/>
            <w:tcBorders>
              <w:top w:val="nil"/>
              <w:left w:val="nil"/>
              <w:bottom w:val="single" w:sz="4" w:space="0" w:color="auto"/>
              <w:right w:val="single" w:sz="4" w:space="0" w:color="auto"/>
            </w:tcBorders>
            <w:shd w:val="clear" w:color="auto" w:fill="auto"/>
            <w:noWrap/>
            <w:vAlign w:val="bottom"/>
            <w:hideMark/>
          </w:tcPr>
          <w:p w14:paraId="5D256596" w14:textId="77777777" w:rsidR="009F77CF" w:rsidRPr="009F77CF" w:rsidRDefault="60A05D1C" w:rsidP="60A05D1C">
            <w:pPr>
              <w:spacing w:after="0"/>
              <w:jc w:val="right"/>
              <w:rPr>
                <w:sz w:val="14"/>
                <w:szCs w:val="14"/>
              </w:rPr>
            </w:pPr>
            <w:r w:rsidRPr="60A05D1C">
              <w:rPr>
                <w:sz w:val="14"/>
                <w:szCs w:val="14"/>
              </w:rPr>
              <w:t>-1,3</w:t>
            </w:r>
          </w:p>
        </w:tc>
        <w:tc>
          <w:tcPr>
            <w:tcW w:w="593" w:type="dxa"/>
            <w:tcBorders>
              <w:top w:val="nil"/>
              <w:left w:val="nil"/>
              <w:bottom w:val="single" w:sz="4" w:space="0" w:color="auto"/>
              <w:right w:val="single" w:sz="4" w:space="0" w:color="auto"/>
            </w:tcBorders>
            <w:shd w:val="clear" w:color="auto" w:fill="auto"/>
            <w:noWrap/>
            <w:vAlign w:val="bottom"/>
            <w:hideMark/>
          </w:tcPr>
          <w:p w14:paraId="7EB720FA" w14:textId="77777777" w:rsidR="009F77CF" w:rsidRPr="009F77CF" w:rsidRDefault="60A05D1C" w:rsidP="60A05D1C">
            <w:pPr>
              <w:spacing w:after="0"/>
              <w:jc w:val="right"/>
              <w:rPr>
                <w:sz w:val="14"/>
                <w:szCs w:val="14"/>
              </w:rPr>
            </w:pPr>
            <w:r w:rsidRPr="60A05D1C">
              <w:rPr>
                <w:sz w:val="14"/>
                <w:szCs w:val="14"/>
              </w:rPr>
              <w:t>93,6</w:t>
            </w:r>
          </w:p>
        </w:tc>
      </w:tr>
      <w:tr w:rsidR="009F77CF" w:rsidRPr="009F77CF" w14:paraId="695DD42F"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9611F58" w14:textId="77777777" w:rsidR="009F77CF" w:rsidRPr="009F77CF" w:rsidRDefault="60A05D1C" w:rsidP="60A05D1C">
            <w:pPr>
              <w:spacing w:after="0"/>
              <w:ind w:firstLineChars="400" w:firstLine="560"/>
              <w:jc w:val="left"/>
              <w:rPr>
                <w:i/>
                <w:iCs/>
                <w:sz w:val="14"/>
                <w:szCs w:val="14"/>
              </w:rPr>
            </w:pPr>
            <w:r w:rsidRPr="60A05D1C">
              <w:rPr>
                <w:i/>
                <w:iCs/>
                <w:sz w:val="14"/>
                <w:szCs w:val="14"/>
              </w:rPr>
              <w:t>gyermeknevelési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6DFC38F3" w14:textId="77777777" w:rsidR="009F77CF" w:rsidRPr="009F77CF" w:rsidRDefault="60A05D1C" w:rsidP="60A05D1C">
            <w:pPr>
              <w:spacing w:after="0"/>
              <w:jc w:val="right"/>
              <w:rPr>
                <w:sz w:val="14"/>
                <w:szCs w:val="14"/>
              </w:rPr>
            </w:pPr>
            <w:r w:rsidRPr="60A05D1C">
              <w:rPr>
                <w:sz w:val="14"/>
                <w:szCs w:val="14"/>
              </w:rPr>
              <w:t>3,7</w:t>
            </w:r>
          </w:p>
        </w:tc>
        <w:tc>
          <w:tcPr>
            <w:tcW w:w="960" w:type="dxa"/>
            <w:tcBorders>
              <w:top w:val="nil"/>
              <w:left w:val="nil"/>
              <w:bottom w:val="single" w:sz="4" w:space="0" w:color="auto"/>
              <w:right w:val="single" w:sz="4" w:space="0" w:color="auto"/>
            </w:tcBorders>
            <w:shd w:val="clear" w:color="auto" w:fill="auto"/>
            <w:noWrap/>
            <w:vAlign w:val="bottom"/>
            <w:hideMark/>
          </w:tcPr>
          <w:p w14:paraId="0021B526" w14:textId="77777777" w:rsidR="009F77CF" w:rsidRPr="009F77CF" w:rsidRDefault="60A05D1C" w:rsidP="60A05D1C">
            <w:pPr>
              <w:spacing w:after="0"/>
              <w:jc w:val="right"/>
              <w:rPr>
                <w:sz w:val="14"/>
                <w:szCs w:val="14"/>
              </w:rPr>
            </w:pPr>
            <w:r w:rsidRPr="60A05D1C">
              <w:rPr>
                <w:sz w:val="14"/>
                <w:szCs w:val="14"/>
              </w:rPr>
              <w:t>4,0</w:t>
            </w:r>
          </w:p>
        </w:tc>
        <w:tc>
          <w:tcPr>
            <w:tcW w:w="807" w:type="dxa"/>
            <w:tcBorders>
              <w:top w:val="nil"/>
              <w:left w:val="nil"/>
              <w:bottom w:val="single" w:sz="4" w:space="0" w:color="auto"/>
              <w:right w:val="single" w:sz="4" w:space="0" w:color="auto"/>
            </w:tcBorders>
            <w:shd w:val="clear" w:color="auto" w:fill="auto"/>
            <w:noWrap/>
            <w:vAlign w:val="bottom"/>
            <w:hideMark/>
          </w:tcPr>
          <w:p w14:paraId="282F1174" w14:textId="77777777" w:rsidR="009F77CF" w:rsidRPr="009F77CF" w:rsidRDefault="60A05D1C" w:rsidP="60A05D1C">
            <w:pPr>
              <w:spacing w:after="0"/>
              <w:jc w:val="right"/>
              <w:rPr>
                <w:sz w:val="14"/>
                <w:szCs w:val="14"/>
              </w:rPr>
            </w:pPr>
            <w:r w:rsidRPr="60A05D1C">
              <w:rPr>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30BD4DC9" w14:textId="77777777" w:rsidR="009F77CF" w:rsidRPr="009F77CF" w:rsidRDefault="60A05D1C" w:rsidP="60A05D1C">
            <w:pPr>
              <w:spacing w:after="0"/>
              <w:jc w:val="right"/>
              <w:rPr>
                <w:sz w:val="14"/>
                <w:szCs w:val="14"/>
              </w:rPr>
            </w:pPr>
            <w:r w:rsidRPr="60A05D1C">
              <w:rPr>
                <w:sz w:val="14"/>
                <w:szCs w:val="14"/>
              </w:rPr>
              <w:t>108,1</w:t>
            </w:r>
          </w:p>
        </w:tc>
      </w:tr>
      <w:tr w:rsidR="009F77CF" w:rsidRPr="009F77CF" w14:paraId="5DB529B7"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FA209CE" w14:textId="77777777" w:rsidR="009F77CF" w:rsidRPr="009F77CF" w:rsidRDefault="60A05D1C" w:rsidP="60A05D1C">
            <w:pPr>
              <w:spacing w:after="0"/>
              <w:ind w:firstLineChars="400" w:firstLine="560"/>
              <w:jc w:val="left"/>
              <w:rPr>
                <w:i/>
                <w:iCs/>
                <w:sz w:val="14"/>
                <w:szCs w:val="14"/>
              </w:rPr>
            </w:pPr>
            <w:r w:rsidRPr="60A05D1C">
              <w:rPr>
                <w:i/>
                <w:iCs/>
                <w:sz w:val="14"/>
                <w:szCs w:val="14"/>
              </w:rPr>
              <w:t>életkezdési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165F11E9" w14:textId="77777777" w:rsidR="009F77CF" w:rsidRPr="009F77CF" w:rsidRDefault="60A05D1C" w:rsidP="60A05D1C">
            <w:pPr>
              <w:spacing w:after="0"/>
              <w:jc w:val="right"/>
              <w:rPr>
                <w:sz w:val="14"/>
                <w:szCs w:val="14"/>
              </w:rPr>
            </w:pPr>
            <w:r w:rsidRPr="60A05D1C">
              <w:rPr>
                <w:sz w:val="14"/>
                <w:szCs w:val="14"/>
              </w:rPr>
              <w:t>3,4</w:t>
            </w:r>
          </w:p>
        </w:tc>
        <w:tc>
          <w:tcPr>
            <w:tcW w:w="960" w:type="dxa"/>
            <w:tcBorders>
              <w:top w:val="nil"/>
              <w:left w:val="nil"/>
              <w:bottom w:val="single" w:sz="4" w:space="0" w:color="auto"/>
              <w:right w:val="single" w:sz="4" w:space="0" w:color="auto"/>
            </w:tcBorders>
            <w:shd w:val="clear" w:color="auto" w:fill="auto"/>
            <w:noWrap/>
            <w:vAlign w:val="bottom"/>
            <w:hideMark/>
          </w:tcPr>
          <w:p w14:paraId="583EC49A" w14:textId="77777777" w:rsidR="009F77CF" w:rsidRPr="009F77CF" w:rsidRDefault="60A05D1C" w:rsidP="60A05D1C">
            <w:pPr>
              <w:spacing w:after="0"/>
              <w:jc w:val="right"/>
              <w:rPr>
                <w:sz w:val="14"/>
                <w:szCs w:val="14"/>
              </w:rPr>
            </w:pPr>
            <w:r w:rsidRPr="60A05D1C">
              <w:rPr>
                <w:sz w:val="14"/>
                <w:szCs w:val="14"/>
              </w:rPr>
              <w:t>4,2</w:t>
            </w:r>
          </w:p>
        </w:tc>
        <w:tc>
          <w:tcPr>
            <w:tcW w:w="807" w:type="dxa"/>
            <w:tcBorders>
              <w:top w:val="nil"/>
              <w:left w:val="nil"/>
              <w:bottom w:val="single" w:sz="4" w:space="0" w:color="auto"/>
              <w:right w:val="single" w:sz="4" w:space="0" w:color="auto"/>
            </w:tcBorders>
            <w:shd w:val="clear" w:color="auto" w:fill="auto"/>
            <w:noWrap/>
            <w:vAlign w:val="bottom"/>
            <w:hideMark/>
          </w:tcPr>
          <w:p w14:paraId="7B09212E" w14:textId="77777777" w:rsidR="009F77CF" w:rsidRPr="009F77CF" w:rsidRDefault="60A05D1C" w:rsidP="60A05D1C">
            <w:pPr>
              <w:spacing w:after="0"/>
              <w:jc w:val="right"/>
              <w:rPr>
                <w:sz w:val="14"/>
                <w:szCs w:val="14"/>
              </w:rPr>
            </w:pPr>
            <w:r w:rsidRPr="60A05D1C">
              <w:rPr>
                <w:sz w:val="14"/>
                <w:szCs w:val="14"/>
              </w:rPr>
              <w:t>0,8</w:t>
            </w:r>
          </w:p>
        </w:tc>
        <w:tc>
          <w:tcPr>
            <w:tcW w:w="593" w:type="dxa"/>
            <w:tcBorders>
              <w:top w:val="nil"/>
              <w:left w:val="nil"/>
              <w:bottom w:val="single" w:sz="4" w:space="0" w:color="auto"/>
              <w:right w:val="single" w:sz="4" w:space="0" w:color="auto"/>
            </w:tcBorders>
            <w:shd w:val="clear" w:color="auto" w:fill="auto"/>
            <w:noWrap/>
            <w:vAlign w:val="bottom"/>
            <w:hideMark/>
          </w:tcPr>
          <w:p w14:paraId="284AEEBA" w14:textId="77777777" w:rsidR="009F77CF" w:rsidRPr="009F77CF" w:rsidRDefault="60A05D1C" w:rsidP="60A05D1C">
            <w:pPr>
              <w:spacing w:after="0"/>
              <w:jc w:val="right"/>
              <w:rPr>
                <w:sz w:val="14"/>
                <w:szCs w:val="14"/>
              </w:rPr>
            </w:pPr>
            <w:r w:rsidRPr="60A05D1C">
              <w:rPr>
                <w:sz w:val="14"/>
                <w:szCs w:val="14"/>
              </w:rPr>
              <w:t>123,5</w:t>
            </w:r>
          </w:p>
        </w:tc>
      </w:tr>
      <w:tr w:rsidR="009F77CF" w:rsidRPr="009F77CF" w14:paraId="4C6DEDC3"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A0E2AA6" w14:textId="77777777" w:rsidR="009F77CF" w:rsidRPr="009F77CF" w:rsidRDefault="60A05D1C" w:rsidP="60A05D1C">
            <w:pPr>
              <w:spacing w:after="0"/>
              <w:jc w:val="left"/>
              <w:rPr>
                <w:b/>
                <w:bCs/>
                <w:sz w:val="14"/>
                <w:szCs w:val="14"/>
              </w:rPr>
            </w:pPr>
            <w:r w:rsidRPr="60A05D1C">
              <w:rPr>
                <w:b/>
                <w:bCs/>
                <w:sz w:val="14"/>
                <w:szCs w:val="14"/>
              </w:rPr>
              <w:t>Korhatár alatti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5C86DBA0" w14:textId="77777777" w:rsidR="009F77CF" w:rsidRPr="009F77CF" w:rsidRDefault="60A05D1C" w:rsidP="60A05D1C">
            <w:pPr>
              <w:spacing w:after="0"/>
              <w:jc w:val="right"/>
              <w:rPr>
                <w:b/>
                <w:bCs/>
                <w:sz w:val="14"/>
                <w:szCs w:val="14"/>
              </w:rPr>
            </w:pPr>
            <w:r w:rsidRPr="60A05D1C">
              <w:rPr>
                <w:b/>
                <w:bCs/>
                <w:sz w:val="14"/>
                <w:szCs w:val="14"/>
              </w:rPr>
              <w:t>31,3</w:t>
            </w:r>
          </w:p>
        </w:tc>
        <w:tc>
          <w:tcPr>
            <w:tcW w:w="960" w:type="dxa"/>
            <w:tcBorders>
              <w:top w:val="nil"/>
              <w:left w:val="nil"/>
              <w:bottom w:val="single" w:sz="4" w:space="0" w:color="auto"/>
              <w:right w:val="single" w:sz="4" w:space="0" w:color="auto"/>
            </w:tcBorders>
            <w:shd w:val="clear" w:color="auto" w:fill="auto"/>
            <w:noWrap/>
            <w:vAlign w:val="bottom"/>
            <w:hideMark/>
          </w:tcPr>
          <w:p w14:paraId="3CA4613E" w14:textId="77777777" w:rsidR="009F77CF" w:rsidRPr="009F77CF" w:rsidRDefault="60A05D1C" w:rsidP="60A05D1C">
            <w:pPr>
              <w:spacing w:after="0"/>
              <w:jc w:val="right"/>
              <w:rPr>
                <w:b/>
                <w:bCs/>
                <w:sz w:val="14"/>
                <w:szCs w:val="14"/>
              </w:rPr>
            </w:pPr>
            <w:r w:rsidRPr="60A05D1C">
              <w:rPr>
                <w:b/>
                <w:bCs/>
                <w:sz w:val="14"/>
                <w:szCs w:val="14"/>
              </w:rPr>
              <w:t>30,5</w:t>
            </w:r>
          </w:p>
        </w:tc>
        <w:tc>
          <w:tcPr>
            <w:tcW w:w="807" w:type="dxa"/>
            <w:tcBorders>
              <w:top w:val="nil"/>
              <w:left w:val="nil"/>
              <w:bottom w:val="single" w:sz="4" w:space="0" w:color="auto"/>
              <w:right w:val="single" w:sz="4" w:space="0" w:color="auto"/>
            </w:tcBorders>
            <w:shd w:val="clear" w:color="auto" w:fill="auto"/>
            <w:noWrap/>
            <w:vAlign w:val="bottom"/>
            <w:hideMark/>
          </w:tcPr>
          <w:p w14:paraId="09335261" w14:textId="77777777" w:rsidR="009F77CF" w:rsidRPr="009F77CF" w:rsidRDefault="60A05D1C" w:rsidP="60A05D1C">
            <w:pPr>
              <w:spacing w:after="0"/>
              <w:jc w:val="right"/>
              <w:rPr>
                <w:b/>
                <w:bCs/>
                <w:sz w:val="14"/>
                <w:szCs w:val="14"/>
              </w:rPr>
            </w:pPr>
            <w:r w:rsidRPr="60A05D1C">
              <w:rPr>
                <w:b/>
                <w:bCs/>
                <w:sz w:val="14"/>
                <w:szCs w:val="14"/>
              </w:rPr>
              <w:t>-0,8</w:t>
            </w:r>
          </w:p>
        </w:tc>
        <w:tc>
          <w:tcPr>
            <w:tcW w:w="593" w:type="dxa"/>
            <w:tcBorders>
              <w:top w:val="nil"/>
              <w:left w:val="nil"/>
              <w:bottom w:val="single" w:sz="4" w:space="0" w:color="auto"/>
              <w:right w:val="single" w:sz="4" w:space="0" w:color="auto"/>
            </w:tcBorders>
            <w:shd w:val="clear" w:color="auto" w:fill="auto"/>
            <w:noWrap/>
            <w:vAlign w:val="bottom"/>
            <w:hideMark/>
          </w:tcPr>
          <w:p w14:paraId="10EC1853" w14:textId="77777777" w:rsidR="009F77CF" w:rsidRPr="009F77CF" w:rsidRDefault="60A05D1C" w:rsidP="60A05D1C">
            <w:pPr>
              <w:spacing w:after="0"/>
              <w:jc w:val="right"/>
              <w:rPr>
                <w:b/>
                <w:bCs/>
                <w:sz w:val="14"/>
                <w:szCs w:val="14"/>
              </w:rPr>
            </w:pPr>
            <w:r w:rsidRPr="60A05D1C">
              <w:rPr>
                <w:b/>
                <w:bCs/>
                <w:sz w:val="14"/>
                <w:szCs w:val="14"/>
              </w:rPr>
              <w:t>97,4</w:t>
            </w:r>
          </w:p>
        </w:tc>
      </w:tr>
      <w:tr w:rsidR="009F77CF" w:rsidRPr="009F77CF" w14:paraId="2542F059"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04721DD" w14:textId="77777777" w:rsidR="009F77CF" w:rsidRPr="009F77CF" w:rsidRDefault="60A05D1C" w:rsidP="60A05D1C">
            <w:pPr>
              <w:spacing w:after="0"/>
              <w:ind w:firstLineChars="100" w:firstLine="140"/>
              <w:jc w:val="left"/>
              <w:rPr>
                <w:i/>
                <w:iCs/>
                <w:sz w:val="14"/>
                <w:szCs w:val="14"/>
              </w:rPr>
            </w:pPr>
            <w:r w:rsidRPr="60A05D1C">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33EAF4D3" w14:textId="77777777" w:rsidR="009F77CF" w:rsidRPr="009F77CF" w:rsidRDefault="60A05D1C" w:rsidP="60A05D1C">
            <w:pPr>
              <w:spacing w:after="0"/>
              <w:jc w:val="right"/>
              <w:rPr>
                <w:sz w:val="14"/>
                <w:szCs w:val="14"/>
              </w:rPr>
            </w:pPr>
            <w:r w:rsidRPr="60A05D1C">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BF1ED0" w14:textId="77777777" w:rsidR="009F77CF" w:rsidRPr="009F77CF" w:rsidRDefault="60A05D1C" w:rsidP="60A05D1C">
            <w:pPr>
              <w:spacing w:after="0"/>
              <w:jc w:val="right"/>
              <w:rPr>
                <w:sz w:val="14"/>
                <w:szCs w:val="14"/>
              </w:rPr>
            </w:pPr>
            <w:r w:rsidRPr="60A05D1C">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5A0DFB6F" w14:textId="77777777" w:rsidR="009F77CF" w:rsidRPr="009F77CF" w:rsidRDefault="60A05D1C" w:rsidP="60A05D1C">
            <w:pPr>
              <w:spacing w:after="0"/>
              <w:jc w:val="right"/>
              <w:rPr>
                <w:sz w:val="14"/>
                <w:szCs w:val="14"/>
              </w:rPr>
            </w:pPr>
            <w:r w:rsidRPr="60A05D1C">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6573C46A" w14:textId="77777777" w:rsidR="009F77CF" w:rsidRPr="009F77CF" w:rsidRDefault="60A05D1C" w:rsidP="60A05D1C">
            <w:pPr>
              <w:spacing w:after="0"/>
              <w:jc w:val="right"/>
              <w:rPr>
                <w:sz w:val="14"/>
                <w:szCs w:val="14"/>
              </w:rPr>
            </w:pPr>
            <w:r w:rsidRPr="60A05D1C">
              <w:rPr>
                <w:sz w:val="14"/>
                <w:szCs w:val="14"/>
              </w:rPr>
              <w:t> </w:t>
            </w:r>
          </w:p>
        </w:tc>
      </w:tr>
      <w:tr w:rsidR="009F77CF" w:rsidRPr="009F77CF" w14:paraId="7CE1D0EF"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40B5802" w14:textId="77777777" w:rsidR="009F77CF" w:rsidRPr="009F77CF" w:rsidRDefault="60A05D1C" w:rsidP="60A05D1C">
            <w:pPr>
              <w:spacing w:after="0"/>
              <w:ind w:firstLineChars="400" w:firstLine="560"/>
              <w:jc w:val="left"/>
              <w:rPr>
                <w:i/>
                <w:iCs/>
                <w:sz w:val="14"/>
                <w:szCs w:val="14"/>
              </w:rPr>
            </w:pPr>
            <w:r w:rsidRPr="60A05D1C">
              <w:rPr>
                <w:i/>
                <w:iCs/>
                <w:sz w:val="14"/>
                <w:szCs w:val="14"/>
              </w:rPr>
              <w:t>korhatár előtti ellátás és táncművészeti életjáradék</w:t>
            </w:r>
          </w:p>
        </w:tc>
        <w:tc>
          <w:tcPr>
            <w:tcW w:w="980" w:type="dxa"/>
            <w:tcBorders>
              <w:top w:val="nil"/>
              <w:left w:val="nil"/>
              <w:bottom w:val="single" w:sz="4" w:space="0" w:color="auto"/>
              <w:right w:val="single" w:sz="4" w:space="0" w:color="auto"/>
            </w:tcBorders>
            <w:shd w:val="clear" w:color="auto" w:fill="auto"/>
            <w:noWrap/>
            <w:vAlign w:val="bottom"/>
            <w:hideMark/>
          </w:tcPr>
          <w:p w14:paraId="123BF7C1" w14:textId="77777777" w:rsidR="009F77CF" w:rsidRPr="009F77CF" w:rsidRDefault="60A05D1C" w:rsidP="60A05D1C">
            <w:pPr>
              <w:spacing w:after="0"/>
              <w:jc w:val="right"/>
              <w:rPr>
                <w:sz w:val="14"/>
                <w:szCs w:val="14"/>
              </w:rPr>
            </w:pPr>
            <w:r w:rsidRPr="60A05D1C">
              <w:rPr>
                <w:sz w:val="14"/>
                <w:szCs w:val="14"/>
              </w:rPr>
              <w:t>6,8</w:t>
            </w:r>
          </w:p>
        </w:tc>
        <w:tc>
          <w:tcPr>
            <w:tcW w:w="960" w:type="dxa"/>
            <w:tcBorders>
              <w:top w:val="nil"/>
              <w:left w:val="nil"/>
              <w:bottom w:val="single" w:sz="4" w:space="0" w:color="auto"/>
              <w:right w:val="single" w:sz="4" w:space="0" w:color="auto"/>
            </w:tcBorders>
            <w:shd w:val="clear" w:color="auto" w:fill="auto"/>
            <w:noWrap/>
            <w:vAlign w:val="bottom"/>
            <w:hideMark/>
          </w:tcPr>
          <w:p w14:paraId="219C7557" w14:textId="77777777" w:rsidR="009F77CF" w:rsidRPr="009F77CF" w:rsidRDefault="60A05D1C" w:rsidP="60A05D1C">
            <w:pPr>
              <w:spacing w:after="0"/>
              <w:jc w:val="right"/>
              <w:rPr>
                <w:sz w:val="14"/>
                <w:szCs w:val="14"/>
              </w:rPr>
            </w:pPr>
            <w:r w:rsidRPr="60A05D1C">
              <w:rPr>
                <w:sz w:val="14"/>
                <w:szCs w:val="14"/>
              </w:rPr>
              <w:t>6,8</w:t>
            </w:r>
          </w:p>
        </w:tc>
        <w:tc>
          <w:tcPr>
            <w:tcW w:w="807" w:type="dxa"/>
            <w:tcBorders>
              <w:top w:val="nil"/>
              <w:left w:val="nil"/>
              <w:bottom w:val="single" w:sz="4" w:space="0" w:color="auto"/>
              <w:right w:val="single" w:sz="4" w:space="0" w:color="auto"/>
            </w:tcBorders>
            <w:shd w:val="clear" w:color="auto" w:fill="auto"/>
            <w:noWrap/>
            <w:vAlign w:val="bottom"/>
            <w:hideMark/>
          </w:tcPr>
          <w:p w14:paraId="0A4E565D" w14:textId="77777777" w:rsidR="009F77CF" w:rsidRPr="009F77CF" w:rsidRDefault="60A05D1C" w:rsidP="60A05D1C">
            <w:pPr>
              <w:spacing w:after="0"/>
              <w:jc w:val="right"/>
              <w:rPr>
                <w:sz w:val="14"/>
                <w:szCs w:val="14"/>
              </w:rPr>
            </w:pPr>
            <w:r w:rsidRPr="60A05D1C">
              <w:rPr>
                <w:sz w:val="14"/>
                <w:szCs w:val="14"/>
              </w:rPr>
              <w:t>0,</w:t>
            </w:r>
            <w:proofErr w:type="spellStart"/>
            <w:r w:rsidRPr="60A05D1C">
              <w:rPr>
                <w:sz w:val="14"/>
                <w:szCs w:val="14"/>
              </w:rPr>
              <w:t>0</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14:paraId="7A53D365" w14:textId="77777777" w:rsidR="009F77CF" w:rsidRPr="009F77CF" w:rsidRDefault="60A05D1C" w:rsidP="60A05D1C">
            <w:pPr>
              <w:spacing w:after="0"/>
              <w:jc w:val="right"/>
              <w:rPr>
                <w:sz w:val="14"/>
                <w:szCs w:val="14"/>
              </w:rPr>
            </w:pPr>
            <w:r w:rsidRPr="60A05D1C">
              <w:rPr>
                <w:sz w:val="14"/>
                <w:szCs w:val="14"/>
              </w:rPr>
              <w:t>100,0</w:t>
            </w:r>
          </w:p>
        </w:tc>
      </w:tr>
      <w:tr w:rsidR="009F77CF" w:rsidRPr="009F77CF" w14:paraId="35D4C8AF"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E195BC7" w14:textId="77777777" w:rsidR="009F77CF" w:rsidRPr="009F77CF" w:rsidRDefault="60A05D1C" w:rsidP="60A05D1C">
            <w:pPr>
              <w:spacing w:after="0"/>
              <w:ind w:firstLineChars="400" w:firstLine="560"/>
              <w:jc w:val="left"/>
              <w:rPr>
                <w:i/>
                <w:iCs/>
                <w:sz w:val="14"/>
                <w:szCs w:val="14"/>
              </w:rPr>
            </w:pPr>
            <w:r w:rsidRPr="60A05D1C">
              <w:rPr>
                <w:i/>
                <w:iCs/>
                <w:sz w:val="14"/>
                <w:szCs w:val="14"/>
              </w:rPr>
              <w:t>szolgálati járandóság</w:t>
            </w:r>
          </w:p>
        </w:tc>
        <w:tc>
          <w:tcPr>
            <w:tcW w:w="980" w:type="dxa"/>
            <w:tcBorders>
              <w:top w:val="nil"/>
              <w:left w:val="nil"/>
              <w:bottom w:val="single" w:sz="4" w:space="0" w:color="auto"/>
              <w:right w:val="single" w:sz="4" w:space="0" w:color="auto"/>
            </w:tcBorders>
            <w:shd w:val="clear" w:color="auto" w:fill="auto"/>
            <w:noWrap/>
            <w:vAlign w:val="bottom"/>
            <w:hideMark/>
          </w:tcPr>
          <w:p w14:paraId="2DE2E458" w14:textId="77777777" w:rsidR="009F77CF" w:rsidRPr="009F77CF" w:rsidRDefault="60A05D1C" w:rsidP="60A05D1C">
            <w:pPr>
              <w:spacing w:after="0"/>
              <w:jc w:val="right"/>
              <w:rPr>
                <w:sz w:val="14"/>
                <w:szCs w:val="14"/>
              </w:rPr>
            </w:pPr>
            <w:r w:rsidRPr="60A05D1C">
              <w:rPr>
                <w:sz w:val="14"/>
                <w:szCs w:val="14"/>
              </w:rPr>
              <w:t>24,5</w:t>
            </w:r>
          </w:p>
        </w:tc>
        <w:tc>
          <w:tcPr>
            <w:tcW w:w="960" w:type="dxa"/>
            <w:tcBorders>
              <w:top w:val="nil"/>
              <w:left w:val="nil"/>
              <w:bottom w:val="single" w:sz="4" w:space="0" w:color="auto"/>
              <w:right w:val="single" w:sz="4" w:space="0" w:color="auto"/>
            </w:tcBorders>
            <w:shd w:val="clear" w:color="auto" w:fill="auto"/>
            <w:noWrap/>
            <w:vAlign w:val="bottom"/>
            <w:hideMark/>
          </w:tcPr>
          <w:p w14:paraId="745ED1F7" w14:textId="77777777" w:rsidR="009F77CF" w:rsidRPr="009F77CF" w:rsidRDefault="60A05D1C" w:rsidP="60A05D1C">
            <w:pPr>
              <w:spacing w:after="0"/>
              <w:jc w:val="right"/>
              <w:rPr>
                <w:sz w:val="14"/>
                <w:szCs w:val="14"/>
              </w:rPr>
            </w:pPr>
            <w:r w:rsidRPr="60A05D1C">
              <w:rPr>
                <w:sz w:val="14"/>
                <w:szCs w:val="14"/>
              </w:rPr>
              <w:t>23,7</w:t>
            </w:r>
          </w:p>
        </w:tc>
        <w:tc>
          <w:tcPr>
            <w:tcW w:w="807" w:type="dxa"/>
            <w:tcBorders>
              <w:top w:val="nil"/>
              <w:left w:val="nil"/>
              <w:bottom w:val="single" w:sz="4" w:space="0" w:color="auto"/>
              <w:right w:val="single" w:sz="4" w:space="0" w:color="auto"/>
            </w:tcBorders>
            <w:shd w:val="clear" w:color="auto" w:fill="auto"/>
            <w:noWrap/>
            <w:vAlign w:val="bottom"/>
            <w:hideMark/>
          </w:tcPr>
          <w:p w14:paraId="74A9F44D" w14:textId="77777777" w:rsidR="009F77CF" w:rsidRPr="009F77CF" w:rsidRDefault="60A05D1C" w:rsidP="60A05D1C">
            <w:pPr>
              <w:spacing w:after="0"/>
              <w:jc w:val="right"/>
              <w:rPr>
                <w:sz w:val="14"/>
                <w:szCs w:val="14"/>
              </w:rPr>
            </w:pPr>
            <w:r w:rsidRPr="60A05D1C">
              <w:rPr>
                <w:sz w:val="14"/>
                <w:szCs w:val="14"/>
              </w:rPr>
              <w:t>-0,8</w:t>
            </w:r>
          </w:p>
        </w:tc>
        <w:tc>
          <w:tcPr>
            <w:tcW w:w="593" w:type="dxa"/>
            <w:tcBorders>
              <w:top w:val="nil"/>
              <w:left w:val="nil"/>
              <w:bottom w:val="single" w:sz="4" w:space="0" w:color="auto"/>
              <w:right w:val="single" w:sz="4" w:space="0" w:color="auto"/>
            </w:tcBorders>
            <w:shd w:val="clear" w:color="auto" w:fill="auto"/>
            <w:noWrap/>
            <w:vAlign w:val="bottom"/>
            <w:hideMark/>
          </w:tcPr>
          <w:p w14:paraId="370E2CAD" w14:textId="77777777" w:rsidR="009F77CF" w:rsidRPr="009F77CF" w:rsidRDefault="60A05D1C" w:rsidP="60A05D1C">
            <w:pPr>
              <w:spacing w:after="0"/>
              <w:jc w:val="right"/>
              <w:rPr>
                <w:sz w:val="14"/>
                <w:szCs w:val="14"/>
              </w:rPr>
            </w:pPr>
            <w:r w:rsidRPr="60A05D1C">
              <w:rPr>
                <w:sz w:val="14"/>
                <w:szCs w:val="14"/>
              </w:rPr>
              <w:t>96,7</w:t>
            </w:r>
          </w:p>
        </w:tc>
      </w:tr>
      <w:tr w:rsidR="009F77CF" w:rsidRPr="009F77CF" w14:paraId="27B517F1"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F23A143" w14:textId="77777777" w:rsidR="009F77CF" w:rsidRPr="009F77CF" w:rsidRDefault="60A05D1C" w:rsidP="60A05D1C">
            <w:pPr>
              <w:spacing w:after="0"/>
              <w:jc w:val="left"/>
              <w:rPr>
                <w:b/>
                <w:bCs/>
                <w:sz w:val="14"/>
                <w:szCs w:val="14"/>
              </w:rPr>
            </w:pPr>
            <w:r w:rsidRPr="60A05D1C">
              <w:rPr>
                <w:b/>
                <w:bCs/>
                <w:sz w:val="14"/>
                <w:szCs w:val="14"/>
              </w:rPr>
              <w:t>Jövedelempótló és jövedelemkiegészítő szociális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54EE7050" w14:textId="77777777" w:rsidR="009F77CF" w:rsidRPr="009F77CF" w:rsidRDefault="60A05D1C" w:rsidP="60A05D1C">
            <w:pPr>
              <w:spacing w:after="0"/>
              <w:jc w:val="right"/>
              <w:rPr>
                <w:b/>
                <w:bCs/>
                <w:sz w:val="14"/>
                <w:szCs w:val="14"/>
              </w:rPr>
            </w:pPr>
            <w:r w:rsidRPr="60A05D1C">
              <w:rPr>
                <w:b/>
                <w:bCs/>
                <w:sz w:val="14"/>
                <w:szCs w:val="14"/>
              </w:rPr>
              <w:t>48,0</w:t>
            </w:r>
          </w:p>
        </w:tc>
        <w:tc>
          <w:tcPr>
            <w:tcW w:w="960" w:type="dxa"/>
            <w:tcBorders>
              <w:top w:val="nil"/>
              <w:left w:val="nil"/>
              <w:bottom w:val="single" w:sz="4" w:space="0" w:color="auto"/>
              <w:right w:val="single" w:sz="4" w:space="0" w:color="auto"/>
            </w:tcBorders>
            <w:shd w:val="clear" w:color="auto" w:fill="auto"/>
            <w:noWrap/>
            <w:vAlign w:val="bottom"/>
            <w:hideMark/>
          </w:tcPr>
          <w:p w14:paraId="5A579942" w14:textId="77777777" w:rsidR="009F77CF" w:rsidRPr="009F77CF" w:rsidRDefault="60A05D1C" w:rsidP="60A05D1C">
            <w:pPr>
              <w:spacing w:after="0"/>
              <w:jc w:val="right"/>
              <w:rPr>
                <w:b/>
                <w:bCs/>
                <w:sz w:val="14"/>
                <w:szCs w:val="14"/>
              </w:rPr>
            </w:pPr>
            <w:r w:rsidRPr="60A05D1C">
              <w:rPr>
                <w:b/>
                <w:bCs/>
                <w:sz w:val="14"/>
                <w:szCs w:val="14"/>
              </w:rPr>
              <w:t>46,5</w:t>
            </w:r>
          </w:p>
        </w:tc>
        <w:tc>
          <w:tcPr>
            <w:tcW w:w="807" w:type="dxa"/>
            <w:tcBorders>
              <w:top w:val="nil"/>
              <w:left w:val="nil"/>
              <w:bottom w:val="single" w:sz="4" w:space="0" w:color="auto"/>
              <w:right w:val="single" w:sz="4" w:space="0" w:color="auto"/>
            </w:tcBorders>
            <w:shd w:val="clear" w:color="auto" w:fill="auto"/>
            <w:noWrap/>
            <w:vAlign w:val="bottom"/>
            <w:hideMark/>
          </w:tcPr>
          <w:p w14:paraId="6D9F5DE7" w14:textId="77777777" w:rsidR="009F77CF" w:rsidRPr="009F77CF" w:rsidRDefault="60A05D1C" w:rsidP="60A05D1C">
            <w:pPr>
              <w:spacing w:after="0"/>
              <w:jc w:val="right"/>
              <w:rPr>
                <w:b/>
                <w:bCs/>
                <w:sz w:val="14"/>
                <w:szCs w:val="14"/>
              </w:rPr>
            </w:pPr>
            <w:r w:rsidRPr="60A05D1C">
              <w:rPr>
                <w:b/>
                <w:bCs/>
                <w:sz w:val="14"/>
                <w:szCs w:val="14"/>
              </w:rPr>
              <w:t>-1,5</w:t>
            </w:r>
          </w:p>
        </w:tc>
        <w:tc>
          <w:tcPr>
            <w:tcW w:w="593" w:type="dxa"/>
            <w:tcBorders>
              <w:top w:val="nil"/>
              <w:left w:val="nil"/>
              <w:bottom w:val="single" w:sz="4" w:space="0" w:color="auto"/>
              <w:right w:val="single" w:sz="4" w:space="0" w:color="auto"/>
            </w:tcBorders>
            <w:shd w:val="clear" w:color="auto" w:fill="auto"/>
            <w:noWrap/>
            <w:vAlign w:val="bottom"/>
            <w:hideMark/>
          </w:tcPr>
          <w:p w14:paraId="15E25A76" w14:textId="77777777" w:rsidR="009F77CF" w:rsidRPr="009F77CF" w:rsidRDefault="60A05D1C" w:rsidP="60A05D1C">
            <w:pPr>
              <w:spacing w:after="0"/>
              <w:jc w:val="right"/>
              <w:rPr>
                <w:b/>
                <w:bCs/>
                <w:sz w:val="14"/>
                <w:szCs w:val="14"/>
              </w:rPr>
            </w:pPr>
            <w:r w:rsidRPr="60A05D1C">
              <w:rPr>
                <w:b/>
                <w:bCs/>
                <w:sz w:val="14"/>
                <w:szCs w:val="14"/>
              </w:rPr>
              <w:t>96,9</w:t>
            </w:r>
          </w:p>
        </w:tc>
      </w:tr>
      <w:tr w:rsidR="009F77CF" w:rsidRPr="009F77CF" w14:paraId="72A58C40"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9643F6E" w14:textId="77777777" w:rsidR="009F77CF" w:rsidRPr="009F77CF" w:rsidRDefault="60A05D1C" w:rsidP="60A05D1C">
            <w:pPr>
              <w:spacing w:after="0"/>
              <w:ind w:firstLineChars="100" w:firstLine="140"/>
              <w:jc w:val="left"/>
              <w:rPr>
                <w:i/>
                <w:iCs/>
                <w:sz w:val="14"/>
                <w:szCs w:val="14"/>
              </w:rPr>
            </w:pPr>
            <w:r w:rsidRPr="60A05D1C">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45E258B8" w14:textId="77777777" w:rsidR="009F77CF" w:rsidRPr="009F77CF" w:rsidRDefault="60A05D1C" w:rsidP="60A05D1C">
            <w:pPr>
              <w:spacing w:after="0"/>
              <w:jc w:val="right"/>
              <w:rPr>
                <w:sz w:val="14"/>
                <w:szCs w:val="14"/>
              </w:rPr>
            </w:pPr>
            <w:r w:rsidRPr="60A05D1C">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726B0E" w14:textId="77777777" w:rsidR="009F77CF" w:rsidRPr="009F77CF" w:rsidRDefault="60A05D1C" w:rsidP="60A05D1C">
            <w:pPr>
              <w:spacing w:after="0"/>
              <w:jc w:val="right"/>
              <w:rPr>
                <w:sz w:val="14"/>
                <w:szCs w:val="14"/>
              </w:rPr>
            </w:pPr>
            <w:r w:rsidRPr="60A05D1C">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1B81B442" w14:textId="77777777" w:rsidR="009F77CF" w:rsidRPr="009F77CF" w:rsidRDefault="60A05D1C" w:rsidP="60A05D1C">
            <w:pPr>
              <w:spacing w:after="0"/>
              <w:jc w:val="right"/>
              <w:rPr>
                <w:sz w:val="14"/>
                <w:szCs w:val="14"/>
              </w:rPr>
            </w:pPr>
            <w:r w:rsidRPr="60A05D1C">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59ECF5FB" w14:textId="77777777" w:rsidR="009F77CF" w:rsidRPr="009F77CF" w:rsidRDefault="60A05D1C" w:rsidP="60A05D1C">
            <w:pPr>
              <w:spacing w:after="0"/>
              <w:jc w:val="right"/>
              <w:rPr>
                <w:b/>
                <w:bCs/>
                <w:sz w:val="14"/>
                <w:szCs w:val="14"/>
              </w:rPr>
            </w:pPr>
            <w:r w:rsidRPr="60A05D1C">
              <w:rPr>
                <w:b/>
                <w:bCs/>
                <w:sz w:val="14"/>
                <w:szCs w:val="14"/>
              </w:rPr>
              <w:t> </w:t>
            </w:r>
          </w:p>
        </w:tc>
      </w:tr>
      <w:tr w:rsidR="009F77CF" w:rsidRPr="009F77CF" w14:paraId="1F0E1E52"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4026CEF" w14:textId="77777777" w:rsidR="009F77CF" w:rsidRPr="009F77CF" w:rsidRDefault="60A05D1C" w:rsidP="60A05D1C">
            <w:pPr>
              <w:spacing w:after="0"/>
              <w:ind w:firstLineChars="400" w:firstLine="560"/>
              <w:jc w:val="left"/>
              <w:rPr>
                <w:i/>
                <w:iCs/>
                <w:sz w:val="14"/>
                <w:szCs w:val="14"/>
              </w:rPr>
            </w:pPr>
            <w:r w:rsidRPr="60A05D1C">
              <w:rPr>
                <w:i/>
                <w:iCs/>
                <w:sz w:val="14"/>
                <w:szCs w:val="14"/>
              </w:rPr>
              <w:t>járási szociális feladatok ellátása</w:t>
            </w:r>
          </w:p>
        </w:tc>
        <w:tc>
          <w:tcPr>
            <w:tcW w:w="980" w:type="dxa"/>
            <w:tcBorders>
              <w:top w:val="nil"/>
              <w:left w:val="nil"/>
              <w:bottom w:val="single" w:sz="4" w:space="0" w:color="auto"/>
              <w:right w:val="single" w:sz="4" w:space="0" w:color="auto"/>
            </w:tcBorders>
            <w:shd w:val="clear" w:color="auto" w:fill="auto"/>
            <w:noWrap/>
            <w:vAlign w:val="bottom"/>
            <w:hideMark/>
          </w:tcPr>
          <w:p w14:paraId="7C19E60F" w14:textId="77777777" w:rsidR="009F77CF" w:rsidRPr="009F77CF" w:rsidRDefault="60A05D1C" w:rsidP="60A05D1C">
            <w:pPr>
              <w:spacing w:after="0"/>
              <w:jc w:val="right"/>
              <w:rPr>
                <w:sz w:val="14"/>
                <w:szCs w:val="14"/>
              </w:rPr>
            </w:pPr>
            <w:r w:rsidRPr="60A05D1C">
              <w:rPr>
                <w:sz w:val="14"/>
                <w:szCs w:val="14"/>
              </w:rPr>
              <w:t>25,9</w:t>
            </w:r>
          </w:p>
        </w:tc>
        <w:tc>
          <w:tcPr>
            <w:tcW w:w="960" w:type="dxa"/>
            <w:tcBorders>
              <w:top w:val="nil"/>
              <w:left w:val="nil"/>
              <w:bottom w:val="single" w:sz="4" w:space="0" w:color="auto"/>
              <w:right w:val="single" w:sz="4" w:space="0" w:color="auto"/>
            </w:tcBorders>
            <w:shd w:val="clear" w:color="auto" w:fill="auto"/>
            <w:noWrap/>
            <w:vAlign w:val="bottom"/>
            <w:hideMark/>
          </w:tcPr>
          <w:p w14:paraId="089BDA78" w14:textId="77777777" w:rsidR="009F77CF" w:rsidRPr="009F77CF" w:rsidRDefault="60A05D1C" w:rsidP="60A05D1C">
            <w:pPr>
              <w:spacing w:after="0"/>
              <w:jc w:val="right"/>
              <w:rPr>
                <w:sz w:val="14"/>
                <w:szCs w:val="14"/>
              </w:rPr>
            </w:pPr>
            <w:r w:rsidRPr="60A05D1C">
              <w:rPr>
                <w:sz w:val="14"/>
                <w:szCs w:val="14"/>
              </w:rPr>
              <w:t>27,0</w:t>
            </w:r>
          </w:p>
        </w:tc>
        <w:tc>
          <w:tcPr>
            <w:tcW w:w="807" w:type="dxa"/>
            <w:tcBorders>
              <w:top w:val="nil"/>
              <w:left w:val="nil"/>
              <w:bottom w:val="single" w:sz="4" w:space="0" w:color="auto"/>
              <w:right w:val="single" w:sz="4" w:space="0" w:color="auto"/>
            </w:tcBorders>
            <w:shd w:val="clear" w:color="auto" w:fill="auto"/>
            <w:noWrap/>
            <w:vAlign w:val="bottom"/>
            <w:hideMark/>
          </w:tcPr>
          <w:p w14:paraId="5E18DB60" w14:textId="77777777" w:rsidR="009F77CF" w:rsidRPr="009F77CF" w:rsidRDefault="60A05D1C" w:rsidP="60A05D1C">
            <w:pPr>
              <w:spacing w:after="0"/>
              <w:jc w:val="right"/>
              <w:rPr>
                <w:sz w:val="14"/>
                <w:szCs w:val="14"/>
              </w:rPr>
            </w:pPr>
            <w:r w:rsidRPr="60A05D1C">
              <w:rPr>
                <w:sz w:val="14"/>
                <w:szCs w:val="14"/>
              </w:rPr>
              <w:t>1,</w:t>
            </w:r>
            <w:proofErr w:type="spellStart"/>
            <w:r w:rsidRPr="60A05D1C">
              <w:rPr>
                <w:sz w:val="14"/>
                <w:szCs w:val="14"/>
              </w:rPr>
              <w:t>1</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14:paraId="7AA4CB09" w14:textId="77777777" w:rsidR="009F77CF" w:rsidRPr="009F77CF" w:rsidRDefault="60A05D1C" w:rsidP="60A05D1C">
            <w:pPr>
              <w:spacing w:after="0"/>
              <w:jc w:val="right"/>
              <w:rPr>
                <w:sz w:val="14"/>
                <w:szCs w:val="14"/>
              </w:rPr>
            </w:pPr>
            <w:r w:rsidRPr="60A05D1C">
              <w:rPr>
                <w:sz w:val="14"/>
                <w:szCs w:val="14"/>
              </w:rPr>
              <w:t>104,2</w:t>
            </w:r>
          </w:p>
        </w:tc>
      </w:tr>
      <w:tr w:rsidR="009F77CF" w:rsidRPr="009F77CF" w14:paraId="13AB8B05"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7BADE19D" w14:textId="77777777" w:rsidR="009F77CF" w:rsidRPr="009F77CF" w:rsidRDefault="60A05D1C" w:rsidP="60A05D1C">
            <w:pPr>
              <w:spacing w:after="0"/>
              <w:ind w:firstLineChars="400" w:firstLine="560"/>
              <w:jc w:val="left"/>
              <w:rPr>
                <w:i/>
                <w:iCs/>
                <w:sz w:val="14"/>
                <w:szCs w:val="14"/>
              </w:rPr>
            </w:pPr>
            <w:r w:rsidRPr="60A05D1C">
              <w:rPr>
                <w:i/>
                <w:iCs/>
                <w:sz w:val="14"/>
                <w:szCs w:val="14"/>
              </w:rPr>
              <w:t>fogyatékossági támogatás és vakok személyi járadéka</w:t>
            </w:r>
          </w:p>
        </w:tc>
        <w:tc>
          <w:tcPr>
            <w:tcW w:w="980" w:type="dxa"/>
            <w:tcBorders>
              <w:top w:val="nil"/>
              <w:left w:val="nil"/>
              <w:bottom w:val="single" w:sz="4" w:space="0" w:color="auto"/>
              <w:right w:val="single" w:sz="4" w:space="0" w:color="auto"/>
            </w:tcBorders>
            <w:shd w:val="clear" w:color="auto" w:fill="auto"/>
            <w:noWrap/>
            <w:vAlign w:val="bottom"/>
            <w:hideMark/>
          </w:tcPr>
          <w:p w14:paraId="58B53C38" w14:textId="77777777" w:rsidR="009F77CF" w:rsidRPr="009F77CF" w:rsidRDefault="60A05D1C" w:rsidP="60A05D1C">
            <w:pPr>
              <w:spacing w:after="0"/>
              <w:jc w:val="right"/>
              <w:rPr>
                <w:sz w:val="14"/>
                <w:szCs w:val="14"/>
              </w:rPr>
            </w:pPr>
            <w:r w:rsidRPr="60A05D1C">
              <w:rPr>
                <w:sz w:val="14"/>
                <w:szCs w:val="14"/>
              </w:rPr>
              <w:t>14,1</w:t>
            </w:r>
          </w:p>
        </w:tc>
        <w:tc>
          <w:tcPr>
            <w:tcW w:w="960" w:type="dxa"/>
            <w:tcBorders>
              <w:top w:val="nil"/>
              <w:left w:val="nil"/>
              <w:bottom w:val="single" w:sz="4" w:space="0" w:color="auto"/>
              <w:right w:val="single" w:sz="4" w:space="0" w:color="auto"/>
            </w:tcBorders>
            <w:shd w:val="clear" w:color="auto" w:fill="auto"/>
            <w:noWrap/>
            <w:vAlign w:val="bottom"/>
            <w:hideMark/>
          </w:tcPr>
          <w:p w14:paraId="3BD417AC" w14:textId="77777777" w:rsidR="009F77CF" w:rsidRPr="009F77CF" w:rsidRDefault="60A05D1C" w:rsidP="60A05D1C">
            <w:pPr>
              <w:spacing w:after="0"/>
              <w:jc w:val="right"/>
              <w:rPr>
                <w:sz w:val="14"/>
                <w:szCs w:val="14"/>
              </w:rPr>
            </w:pPr>
            <w:r w:rsidRPr="60A05D1C">
              <w:rPr>
                <w:sz w:val="14"/>
                <w:szCs w:val="14"/>
              </w:rPr>
              <w:t>11,9</w:t>
            </w:r>
          </w:p>
        </w:tc>
        <w:tc>
          <w:tcPr>
            <w:tcW w:w="807" w:type="dxa"/>
            <w:tcBorders>
              <w:top w:val="nil"/>
              <w:left w:val="nil"/>
              <w:bottom w:val="single" w:sz="4" w:space="0" w:color="auto"/>
              <w:right w:val="single" w:sz="4" w:space="0" w:color="auto"/>
            </w:tcBorders>
            <w:shd w:val="clear" w:color="auto" w:fill="auto"/>
            <w:noWrap/>
            <w:vAlign w:val="bottom"/>
            <w:hideMark/>
          </w:tcPr>
          <w:p w14:paraId="529CE777" w14:textId="77777777" w:rsidR="009F77CF" w:rsidRPr="009F77CF" w:rsidRDefault="60A05D1C" w:rsidP="60A05D1C">
            <w:pPr>
              <w:spacing w:after="0"/>
              <w:jc w:val="right"/>
              <w:rPr>
                <w:sz w:val="14"/>
                <w:szCs w:val="14"/>
              </w:rPr>
            </w:pPr>
            <w:r w:rsidRPr="60A05D1C">
              <w:rPr>
                <w:sz w:val="14"/>
                <w:szCs w:val="14"/>
              </w:rPr>
              <w:t>-2,2</w:t>
            </w:r>
          </w:p>
        </w:tc>
        <w:tc>
          <w:tcPr>
            <w:tcW w:w="593" w:type="dxa"/>
            <w:tcBorders>
              <w:top w:val="nil"/>
              <w:left w:val="nil"/>
              <w:bottom w:val="single" w:sz="4" w:space="0" w:color="auto"/>
              <w:right w:val="single" w:sz="4" w:space="0" w:color="auto"/>
            </w:tcBorders>
            <w:shd w:val="clear" w:color="auto" w:fill="auto"/>
            <w:noWrap/>
            <w:vAlign w:val="bottom"/>
            <w:hideMark/>
          </w:tcPr>
          <w:p w14:paraId="6868B318" w14:textId="77777777" w:rsidR="009F77CF" w:rsidRPr="009F77CF" w:rsidRDefault="60A05D1C" w:rsidP="60A05D1C">
            <w:pPr>
              <w:spacing w:after="0"/>
              <w:jc w:val="right"/>
              <w:rPr>
                <w:sz w:val="14"/>
                <w:szCs w:val="14"/>
              </w:rPr>
            </w:pPr>
            <w:r w:rsidRPr="60A05D1C">
              <w:rPr>
                <w:sz w:val="14"/>
                <w:szCs w:val="14"/>
              </w:rPr>
              <w:t>84,4</w:t>
            </w:r>
          </w:p>
        </w:tc>
      </w:tr>
      <w:tr w:rsidR="009F77CF" w:rsidRPr="009F77CF" w14:paraId="0B83FB34"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3700F67D" w14:textId="77777777" w:rsidR="009F77CF" w:rsidRPr="009F77CF" w:rsidRDefault="60A05D1C" w:rsidP="60A05D1C">
            <w:pPr>
              <w:spacing w:after="0"/>
              <w:ind w:firstLineChars="400" w:firstLine="560"/>
              <w:jc w:val="left"/>
              <w:rPr>
                <w:i/>
                <w:iCs/>
                <w:sz w:val="14"/>
                <w:szCs w:val="14"/>
              </w:rPr>
            </w:pPr>
            <w:r w:rsidRPr="60A05D1C">
              <w:rPr>
                <w:i/>
                <w:iCs/>
                <w:sz w:val="14"/>
                <w:szCs w:val="14"/>
              </w:rPr>
              <w:t>politikai rehabilitációs és más nyugdíj-kiegészítések</w:t>
            </w:r>
          </w:p>
        </w:tc>
        <w:tc>
          <w:tcPr>
            <w:tcW w:w="980" w:type="dxa"/>
            <w:tcBorders>
              <w:top w:val="nil"/>
              <w:left w:val="nil"/>
              <w:bottom w:val="single" w:sz="4" w:space="0" w:color="auto"/>
              <w:right w:val="single" w:sz="4" w:space="0" w:color="auto"/>
            </w:tcBorders>
            <w:shd w:val="clear" w:color="auto" w:fill="auto"/>
            <w:noWrap/>
            <w:vAlign w:val="bottom"/>
            <w:hideMark/>
          </w:tcPr>
          <w:p w14:paraId="3AFCF1AD" w14:textId="77777777" w:rsidR="009F77CF" w:rsidRPr="009F77CF" w:rsidRDefault="60A05D1C" w:rsidP="60A05D1C">
            <w:pPr>
              <w:spacing w:after="0"/>
              <w:jc w:val="right"/>
              <w:rPr>
                <w:sz w:val="14"/>
                <w:szCs w:val="14"/>
              </w:rPr>
            </w:pPr>
            <w:r w:rsidRPr="60A05D1C">
              <w:rPr>
                <w:sz w:val="14"/>
                <w:szCs w:val="14"/>
              </w:rPr>
              <w:t>4,7</w:t>
            </w:r>
          </w:p>
        </w:tc>
        <w:tc>
          <w:tcPr>
            <w:tcW w:w="960" w:type="dxa"/>
            <w:tcBorders>
              <w:top w:val="nil"/>
              <w:left w:val="nil"/>
              <w:bottom w:val="single" w:sz="4" w:space="0" w:color="auto"/>
              <w:right w:val="single" w:sz="4" w:space="0" w:color="auto"/>
            </w:tcBorders>
            <w:shd w:val="clear" w:color="auto" w:fill="auto"/>
            <w:noWrap/>
            <w:vAlign w:val="bottom"/>
            <w:hideMark/>
          </w:tcPr>
          <w:p w14:paraId="14D052A4" w14:textId="77777777" w:rsidR="009F77CF" w:rsidRPr="009F77CF" w:rsidRDefault="60A05D1C" w:rsidP="60A05D1C">
            <w:pPr>
              <w:spacing w:after="0"/>
              <w:jc w:val="right"/>
              <w:rPr>
                <w:sz w:val="14"/>
                <w:szCs w:val="14"/>
              </w:rPr>
            </w:pPr>
            <w:r w:rsidRPr="60A05D1C">
              <w:rPr>
                <w:sz w:val="14"/>
                <w:szCs w:val="14"/>
              </w:rPr>
              <w:t>4,5</w:t>
            </w:r>
          </w:p>
        </w:tc>
        <w:tc>
          <w:tcPr>
            <w:tcW w:w="807" w:type="dxa"/>
            <w:tcBorders>
              <w:top w:val="nil"/>
              <w:left w:val="nil"/>
              <w:bottom w:val="single" w:sz="4" w:space="0" w:color="auto"/>
              <w:right w:val="single" w:sz="4" w:space="0" w:color="auto"/>
            </w:tcBorders>
            <w:shd w:val="clear" w:color="auto" w:fill="auto"/>
            <w:noWrap/>
            <w:vAlign w:val="bottom"/>
            <w:hideMark/>
          </w:tcPr>
          <w:p w14:paraId="16FF1A6C" w14:textId="77777777" w:rsidR="009F77CF" w:rsidRPr="009F77CF" w:rsidRDefault="60A05D1C" w:rsidP="60A05D1C">
            <w:pPr>
              <w:spacing w:after="0"/>
              <w:jc w:val="right"/>
              <w:rPr>
                <w:sz w:val="14"/>
                <w:szCs w:val="14"/>
              </w:rPr>
            </w:pPr>
            <w:r w:rsidRPr="60A05D1C">
              <w:rPr>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53A56797" w14:textId="77777777" w:rsidR="009F77CF" w:rsidRPr="009F77CF" w:rsidRDefault="60A05D1C" w:rsidP="60A05D1C">
            <w:pPr>
              <w:spacing w:after="0"/>
              <w:jc w:val="right"/>
              <w:rPr>
                <w:sz w:val="14"/>
                <w:szCs w:val="14"/>
              </w:rPr>
            </w:pPr>
            <w:r w:rsidRPr="60A05D1C">
              <w:rPr>
                <w:sz w:val="14"/>
                <w:szCs w:val="14"/>
              </w:rPr>
              <w:t>95,7</w:t>
            </w:r>
          </w:p>
        </w:tc>
      </w:tr>
      <w:tr w:rsidR="009F77CF" w:rsidRPr="009F77CF" w14:paraId="201842B4"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148AA38" w14:textId="77777777" w:rsidR="009F77CF" w:rsidRPr="009F77CF" w:rsidRDefault="60A05D1C" w:rsidP="60A05D1C">
            <w:pPr>
              <w:spacing w:after="0"/>
              <w:jc w:val="left"/>
              <w:rPr>
                <w:b/>
                <w:bCs/>
                <w:sz w:val="14"/>
                <w:szCs w:val="14"/>
              </w:rPr>
            </w:pPr>
            <w:r w:rsidRPr="60A05D1C">
              <w:rPr>
                <w:b/>
                <w:bCs/>
                <w:sz w:val="14"/>
                <w:szCs w:val="14"/>
              </w:rPr>
              <w:t>Különféle jogcímen adott térítések</w:t>
            </w:r>
          </w:p>
        </w:tc>
        <w:tc>
          <w:tcPr>
            <w:tcW w:w="980" w:type="dxa"/>
            <w:tcBorders>
              <w:top w:val="nil"/>
              <w:left w:val="nil"/>
              <w:bottom w:val="single" w:sz="4" w:space="0" w:color="auto"/>
              <w:right w:val="single" w:sz="4" w:space="0" w:color="auto"/>
            </w:tcBorders>
            <w:shd w:val="clear" w:color="auto" w:fill="auto"/>
            <w:noWrap/>
            <w:vAlign w:val="bottom"/>
            <w:hideMark/>
          </w:tcPr>
          <w:p w14:paraId="3BB70641" w14:textId="77777777" w:rsidR="009F77CF" w:rsidRPr="009F77CF" w:rsidRDefault="60A05D1C" w:rsidP="60A05D1C">
            <w:pPr>
              <w:spacing w:after="0"/>
              <w:jc w:val="right"/>
              <w:rPr>
                <w:b/>
                <w:bCs/>
                <w:sz w:val="14"/>
                <w:szCs w:val="14"/>
              </w:rPr>
            </w:pPr>
            <w:r w:rsidRPr="60A05D1C">
              <w:rPr>
                <w:b/>
                <w:bCs/>
                <w:sz w:val="14"/>
                <w:szCs w:val="14"/>
              </w:rPr>
              <w:t>7,8</w:t>
            </w:r>
          </w:p>
        </w:tc>
        <w:tc>
          <w:tcPr>
            <w:tcW w:w="960" w:type="dxa"/>
            <w:tcBorders>
              <w:top w:val="nil"/>
              <w:left w:val="nil"/>
              <w:bottom w:val="single" w:sz="4" w:space="0" w:color="auto"/>
              <w:right w:val="single" w:sz="4" w:space="0" w:color="auto"/>
            </w:tcBorders>
            <w:shd w:val="clear" w:color="auto" w:fill="auto"/>
            <w:noWrap/>
            <w:vAlign w:val="bottom"/>
            <w:hideMark/>
          </w:tcPr>
          <w:p w14:paraId="7777B245" w14:textId="77777777" w:rsidR="009F77CF" w:rsidRPr="009F77CF" w:rsidRDefault="60A05D1C" w:rsidP="60A05D1C">
            <w:pPr>
              <w:spacing w:after="0"/>
              <w:jc w:val="right"/>
              <w:rPr>
                <w:b/>
                <w:bCs/>
                <w:sz w:val="14"/>
                <w:szCs w:val="14"/>
              </w:rPr>
            </w:pPr>
            <w:r w:rsidRPr="60A05D1C">
              <w:rPr>
                <w:b/>
                <w:bCs/>
                <w:sz w:val="14"/>
                <w:szCs w:val="14"/>
              </w:rPr>
              <w:t>8,1</w:t>
            </w:r>
          </w:p>
        </w:tc>
        <w:tc>
          <w:tcPr>
            <w:tcW w:w="807" w:type="dxa"/>
            <w:tcBorders>
              <w:top w:val="nil"/>
              <w:left w:val="nil"/>
              <w:bottom w:val="single" w:sz="4" w:space="0" w:color="auto"/>
              <w:right w:val="single" w:sz="4" w:space="0" w:color="auto"/>
            </w:tcBorders>
            <w:shd w:val="clear" w:color="auto" w:fill="auto"/>
            <w:noWrap/>
            <w:vAlign w:val="bottom"/>
            <w:hideMark/>
          </w:tcPr>
          <w:p w14:paraId="45FEE5EB" w14:textId="77777777" w:rsidR="009F77CF" w:rsidRPr="009F77CF" w:rsidRDefault="60A05D1C" w:rsidP="60A05D1C">
            <w:pPr>
              <w:spacing w:after="0"/>
              <w:jc w:val="right"/>
              <w:rPr>
                <w:b/>
                <w:bCs/>
                <w:sz w:val="14"/>
                <w:szCs w:val="14"/>
              </w:rPr>
            </w:pPr>
            <w:r w:rsidRPr="60A05D1C">
              <w:rPr>
                <w:b/>
                <w:bCs/>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5EC75517" w14:textId="77777777" w:rsidR="009F77CF" w:rsidRPr="009F77CF" w:rsidRDefault="60A05D1C" w:rsidP="60A05D1C">
            <w:pPr>
              <w:spacing w:after="0"/>
              <w:jc w:val="right"/>
              <w:rPr>
                <w:b/>
                <w:bCs/>
                <w:sz w:val="14"/>
                <w:szCs w:val="14"/>
              </w:rPr>
            </w:pPr>
            <w:r w:rsidRPr="60A05D1C">
              <w:rPr>
                <w:b/>
                <w:bCs/>
                <w:sz w:val="14"/>
                <w:szCs w:val="14"/>
              </w:rPr>
              <w:t>103,8</w:t>
            </w:r>
          </w:p>
        </w:tc>
      </w:tr>
      <w:tr w:rsidR="009F77CF" w:rsidRPr="009F77CF" w14:paraId="42257E88"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DC3A3B8" w14:textId="77777777" w:rsidR="009F77CF" w:rsidRPr="009F77CF" w:rsidRDefault="60A05D1C" w:rsidP="60A05D1C">
            <w:pPr>
              <w:spacing w:after="0"/>
              <w:ind w:firstLineChars="100" w:firstLine="140"/>
              <w:jc w:val="left"/>
              <w:rPr>
                <w:i/>
                <w:iCs/>
                <w:sz w:val="14"/>
                <w:szCs w:val="14"/>
              </w:rPr>
            </w:pPr>
            <w:r w:rsidRPr="60A05D1C">
              <w:rPr>
                <w:i/>
                <w:iCs/>
                <w:sz w:val="14"/>
                <w:szCs w:val="14"/>
              </w:rPr>
              <w:t xml:space="preserve">Ebből: </w:t>
            </w:r>
          </w:p>
        </w:tc>
        <w:tc>
          <w:tcPr>
            <w:tcW w:w="980" w:type="dxa"/>
            <w:tcBorders>
              <w:top w:val="nil"/>
              <w:left w:val="nil"/>
              <w:bottom w:val="single" w:sz="4" w:space="0" w:color="auto"/>
              <w:right w:val="single" w:sz="4" w:space="0" w:color="auto"/>
            </w:tcBorders>
            <w:shd w:val="clear" w:color="auto" w:fill="auto"/>
            <w:noWrap/>
            <w:vAlign w:val="bottom"/>
            <w:hideMark/>
          </w:tcPr>
          <w:p w14:paraId="356CA9C1" w14:textId="77777777" w:rsidR="009F77CF" w:rsidRPr="009F77CF" w:rsidRDefault="60A05D1C" w:rsidP="60A05D1C">
            <w:pPr>
              <w:spacing w:after="0"/>
              <w:jc w:val="right"/>
              <w:rPr>
                <w:sz w:val="14"/>
                <w:szCs w:val="14"/>
              </w:rPr>
            </w:pPr>
            <w:r w:rsidRPr="60A05D1C">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24B917C6" w14:textId="77777777" w:rsidR="009F77CF" w:rsidRPr="009F77CF" w:rsidRDefault="60A05D1C" w:rsidP="60A05D1C">
            <w:pPr>
              <w:spacing w:after="0"/>
              <w:jc w:val="right"/>
              <w:rPr>
                <w:sz w:val="14"/>
                <w:szCs w:val="14"/>
              </w:rPr>
            </w:pPr>
            <w:r w:rsidRPr="60A05D1C">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6BD1C56B" w14:textId="77777777" w:rsidR="009F77CF" w:rsidRPr="009F77CF" w:rsidRDefault="60A05D1C" w:rsidP="60A05D1C">
            <w:pPr>
              <w:spacing w:after="0"/>
              <w:jc w:val="right"/>
              <w:rPr>
                <w:sz w:val="14"/>
                <w:szCs w:val="14"/>
              </w:rPr>
            </w:pPr>
            <w:r w:rsidRPr="60A05D1C">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698F8671" w14:textId="77777777" w:rsidR="009F77CF" w:rsidRPr="009F77CF" w:rsidRDefault="60A05D1C" w:rsidP="60A05D1C">
            <w:pPr>
              <w:spacing w:after="0"/>
              <w:jc w:val="right"/>
              <w:rPr>
                <w:sz w:val="14"/>
                <w:szCs w:val="14"/>
              </w:rPr>
            </w:pPr>
            <w:r w:rsidRPr="60A05D1C">
              <w:rPr>
                <w:sz w:val="14"/>
                <w:szCs w:val="14"/>
              </w:rPr>
              <w:t> </w:t>
            </w:r>
          </w:p>
        </w:tc>
      </w:tr>
      <w:tr w:rsidR="009F77CF" w:rsidRPr="009F77CF" w14:paraId="10CD7445"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3740D4F" w14:textId="77777777" w:rsidR="009F77CF" w:rsidRPr="009F77CF" w:rsidRDefault="60A05D1C" w:rsidP="60A05D1C">
            <w:pPr>
              <w:spacing w:after="0"/>
              <w:ind w:firstLineChars="400" w:firstLine="560"/>
              <w:jc w:val="left"/>
              <w:rPr>
                <w:i/>
                <w:iCs/>
                <w:sz w:val="14"/>
                <w:szCs w:val="14"/>
              </w:rPr>
            </w:pPr>
            <w:r w:rsidRPr="60A05D1C">
              <w:rPr>
                <w:i/>
                <w:iCs/>
                <w:sz w:val="14"/>
                <w:szCs w:val="14"/>
              </w:rPr>
              <w:t>közgyógyellátás</w:t>
            </w:r>
          </w:p>
        </w:tc>
        <w:tc>
          <w:tcPr>
            <w:tcW w:w="980" w:type="dxa"/>
            <w:tcBorders>
              <w:top w:val="nil"/>
              <w:left w:val="nil"/>
              <w:bottom w:val="single" w:sz="4" w:space="0" w:color="auto"/>
              <w:right w:val="single" w:sz="4" w:space="0" w:color="auto"/>
            </w:tcBorders>
            <w:shd w:val="clear" w:color="auto" w:fill="auto"/>
            <w:noWrap/>
            <w:vAlign w:val="bottom"/>
            <w:hideMark/>
          </w:tcPr>
          <w:p w14:paraId="062F6ABE" w14:textId="77777777" w:rsidR="009F77CF" w:rsidRPr="009F77CF" w:rsidRDefault="60A05D1C" w:rsidP="60A05D1C">
            <w:pPr>
              <w:spacing w:after="0"/>
              <w:jc w:val="right"/>
              <w:rPr>
                <w:sz w:val="14"/>
                <w:szCs w:val="14"/>
              </w:rPr>
            </w:pPr>
            <w:r w:rsidRPr="60A05D1C">
              <w:rPr>
                <w:sz w:val="14"/>
                <w:szCs w:val="14"/>
              </w:rPr>
              <w:t>5,3</w:t>
            </w:r>
          </w:p>
        </w:tc>
        <w:tc>
          <w:tcPr>
            <w:tcW w:w="960" w:type="dxa"/>
            <w:tcBorders>
              <w:top w:val="nil"/>
              <w:left w:val="nil"/>
              <w:bottom w:val="single" w:sz="4" w:space="0" w:color="auto"/>
              <w:right w:val="single" w:sz="4" w:space="0" w:color="auto"/>
            </w:tcBorders>
            <w:shd w:val="clear" w:color="auto" w:fill="auto"/>
            <w:noWrap/>
            <w:vAlign w:val="bottom"/>
            <w:hideMark/>
          </w:tcPr>
          <w:p w14:paraId="641EA2BC" w14:textId="77777777" w:rsidR="009F77CF" w:rsidRPr="009F77CF" w:rsidRDefault="60A05D1C" w:rsidP="60A05D1C">
            <w:pPr>
              <w:spacing w:after="0"/>
              <w:jc w:val="right"/>
              <w:rPr>
                <w:sz w:val="14"/>
                <w:szCs w:val="14"/>
              </w:rPr>
            </w:pPr>
            <w:r w:rsidRPr="60A05D1C">
              <w:rPr>
                <w:sz w:val="14"/>
                <w:szCs w:val="14"/>
              </w:rPr>
              <w:t>5,7</w:t>
            </w:r>
          </w:p>
        </w:tc>
        <w:tc>
          <w:tcPr>
            <w:tcW w:w="807" w:type="dxa"/>
            <w:tcBorders>
              <w:top w:val="nil"/>
              <w:left w:val="nil"/>
              <w:bottom w:val="single" w:sz="4" w:space="0" w:color="auto"/>
              <w:right w:val="single" w:sz="4" w:space="0" w:color="auto"/>
            </w:tcBorders>
            <w:shd w:val="clear" w:color="auto" w:fill="auto"/>
            <w:noWrap/>
            <w:vAlign w:val="bottom"/>
            <w:hideMark/>
          </w:tcPr>
          <w:p w14:paraId="0655EA7B" w14:textId="77777777" w:rsidR="009F77CF" w:rsidRPr="009F77CF" w:rsidRDefault="60A05D1C" w:rsidP="60A05D1C">
            <w:pPr>
              <w:spacing w:after="0"/>
              <w:jc w:val="right"/>
              <w:rPr>
                <w:sz w:val="14"/>
                <w:szCs w:val="14"/>
              </w:rPr>
            </w:pPr>
            <w:r w:rsidRPr="60A05D1C">
              <w:rPr>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29111E8B" w14:textId="77777777" w:rsidR="009F77CF" w:rsidRPr="009F77CF" w:rsidRDefault="60A05D1C" w:rsidP="60A05D1C">
            <w:pPr>
              <w:spacing w:after="0"/>
              <w:jc w:val="right"/>
              <w:rPr>
                <w:sz w:val="14"/>
                <w:szCs w:val="14"/>
              </w:rPr>
            </w:pPr>
            <w:r w:rsidRPr="60A05D1C">
              <w:rPr>
                <w:sz w:val="14"/>
                <w:szCs w:val="14"/>
              </w:rPr>
              <w:t>107,5</w:t>
            </w:r>
          </w:p>
        </w:tc>
      </w:tr>
      <w:tr w:rsidR="009F77CF" w:rsidRPr="009F77CF" w14:paraId="2A69228A" w14:textId="77777777" w:rsidTr="60A05D1C">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4F23044" w14:textId="77777777" w:rsidR="009F77CF" w:rsidRPr="009F77CF" w:rsidRDefault="60A05D1C" w:rsidP="60A05D1C">
            <w:pPr>
              <w:spacing w:after="0"/>
              <w:jc w:val="left"/>
              <w:rPr>
                <w:b/>
                <w:bCs/>
                <w:sz w:val="14"/>
                <w:szCs w:val="14"/>
              </w:rPr>
            </w:pPr>
            <w:r w:rsidRPr="60A05D1C">
              <w:rPr>
                <w:b/>
                <w:bCs/>
                <w:sz w:val="14"/>
                <w:szCs w:val="14"/>
              </w:rPr>
              <w:t>Összesen</w:t>
            </w:r>
          </w:p>
        </w:tc>
        <w:tc>
          <w:tcPr>
            <w:tcW w:w="980" w:type="dxa"/>
            <w:tcBorders>
              <w:top w:val="nil"/>
              <w:left w:val="nil"/>
              <w:bottom w:val="single" w:sz="4" w:space="0" w:color="auto"/>
              <w:right w:val="single" w:sz="4" w:space="0" w:color="auto"/>
            </w:tcBorders>
            <w:shd w:val="clear" w:color="auto" w:fill="auto"/>
            <w:noWrap/>
            <w:vAlign w:val="bottom"/>
            <w:hideMark/>
          </w:tcPr>
          <w:p w14:paraId="4A327931" w14:textId="77777777" w:rsidR="009F77CF" w:rsidRPr="009F77CF" w:rsidRDefault="60A05D1C" w:rsidP="60A05D1C">
            <w:pPr>
              <w:spacing w:after="0"/>
              <w:jc w:val="right"/>
              <w:rPr>
                <w:b/>
                <w:bCs/>
                <w:sz w:val="14"/>
                <w:szCs w:val="14"/>
              </w:rPr>
            </w:pPr>
            <w:r w:rsidRPr="60A05D1C">
              <w:rPr>
                <w:b/>
                <w:bCs/>
                <w:sz w:val="14"/>
                <w:szCs w:val="14"/>
              </w:rPr>
              <w:t>222,1</w:t>
            </w:r>
          </w:p>
        </w:tc>
        <w:tc>
          <w:tcPr>
            <w:tcW w:w="960" w:type="dxa"/>
            <w:tcBorders>
              <w:top w:val="nil"/>
              <w:left w:val="nil"/>
              <w:bottom w:val="single" w:sz="4" w:space="0" w:color="auto"/>
              <w:right w:val="single" w:sz="4" w:space="0" w:color="auto"/>
            </w:tcBorders>
            <w:shd w:val="clear" w:color="auto" w:fill="auto"/>
            <w:noWrap/>
            <w:vAlign w:val="bottom"/>
            <w:hideMark/>
          </w:tcPr>
          <w:p w14:paraId="0D603A80" w14:textId="77777777" w:rsidR="009F77CF" w:rsidRPr="009F77CF" w:rsidRDefault="60A05D1C" w:rsidP="60A05D1C">
            <w:pPr>
              <w:spacing w:after="0"/>
              <w:jc w:val="right"/>
              <w:rPr>
                <w:b/>
                <w:bCs/>
                <w:sz w:val="14"/>
                <w:szCs w:val="14"/>
              </w:rPr>
            </w:pPr>
            <w:r w:rsidRPr="60A05D1C">
              <w:rPr>
                <w:b/>
                <w:bCs/>
                <w:sz w:val="14"/>
                <w:szCs w:val="14"/>
              </w:rPr>
              <w:t>219,9</w:t>
            </w:r>
          </w:p>
        </w:tc>
        <w:tc>
          <w:tcPr>
            <w:tcW w:w="807" w:type="dxa"/>
            <w:tcBorders>
              <w:top w:val="nil"/>
              <w:left w:val="nil"/>
              <w:bottom w:val="single" w:sz="4" w:space="0" w:color="auto"/>
              <w:right w:val="single" w:sz="4" w:space="0" w:color="auto"/>
            </w:tcBorders>
            <w:shd w:val="clear" w:color="auto" w:fill="auto"/>
            <w:noWrap/>
            <w:vAlign w:val="bottom"/>
            <w:hideMark/>
          </w:tcPr>
          <w:p w14:paraId="3FB0F0FB" w14:textId="77777777" w:rsidR="009F77CF" w:rsidRPr="009F77CF" w:rsidRDefault="60A05D1C" w:rsidP="60A05D1C">
            <w:pPr>
              <w:spacing w:after="0"/>
              <w:jc w:val="right"/>
              <w:rPr>
                <w:b/>
                <w:bCs/>
                <w:sz w:val="14"/>
                <w:szCs w:val="14"/>
              </w:rPr>
            </w:pPr>
            <w:r w:rsidRPr="60A05D1C">
              <w:rPr>
                <w:b/>
                <w:bCs/>
                <w:sz w:val="14"/>
                <w:szCs w:val="14"/>
              </w:rPr>
              <w:t>-2,2</w:t>
            </w:r>
          </w:p>
        </w:tc>
        <w:tc>
          <w:tcPr>
            <w:tcW w:w="593" w:type="dxa"/>
            <w:tcBorders>
              <w:top w:val="nil"/>
              <w:left w:val="nil"/>
              <w:bottom w:val="single" w:sz="4" w:space="0" w:color="auto"/>
              <w:right w:val="single" w:sz="4" w:space="0" w:color="auto"/>
            </w:tcBorders>
            <w:shd w:val="clear" w:color="auto" w:fill="auto"/>
            <w:noWrap/>
            <w:vAlign w:val="bottom"/>
            <w:hideMark/>
          </w:tcPr>
          <w:p w14:paraId="021994AB" w14:textId="77777777" w:rsidR="009F77CF" w:rsidRPr="009F77CF" w:rsidRDefault="60A05D1C" w:rsidP="60A05D1C">
            <w:pPr>
              <w:spacing w:after="0"/>
              <w:jc w:val="right"/>
              <w:rPr>
                <w:b/>
                <w:bCs/>
                <w:sz w:val="14"/>
                <w:szCs w:val="14"/>
              </w:rPr>
            </w:pPr>
            <w:r w:rsidRPr="60A05D1C">
              <w:rPr>
                <w:b/>
                <w:bCs/>
                <w:sz w:val="14"/>
                <w:szCs w:val="14"/>
              </w:rPr>
              <w:t>99,0</w:t>
            </w:r>
          </w:p>
        </w:tc>
      </w:tr>
    </w:tbl>
    <w:p w14:paraId="7187CCA4" w14:textId="77777777" w:rsidR="009F77CF" w:rsidRDefault="009F77CF" w:rsidP="51CD5D50"/>
    <w:p w14:paraId="529CCA7A" w14:textId="314DD8CF" w:rsidR="00C62FBD" w:rsidRPr="00C62FBD" w:rsidRDefault="60A05D1C" w:rsidP="60A05D1C">
      <w:pPr>
        <w:rPr>
          <w:rFonts w:cs="Tahoma"/>
          <w:color w:val="000000" w:themeColor="text1"/>
        </w:rPr>
      </w:pPr>
      <w:r w:rsidRPr="60A05D1C">
        <w:rPr>
          <w:rFonts w:cs="Tahoma"/>
          <w:color w:val="000000" w:themeColor="text1"/>
        </w:rPr>
        <w:t xml:space="preserve">A </w:t>
      </w:r>
      <w:r w:rsidRPr="60A05D1C">
        <w:rPr>
          <w:rFonts w:cs="Tahoma"/>
          <w:b/>
          <w:bCs/>
          <w:color w:val="000000" w:themeColor="text1"/>
        </w:rPr>
        <w:t>családi támogatásokra</w:t>
      </w:r>
      <w:r w:rsidRPr="60A05D1C">
        <w:rPr>
          <w:rFonts w:cs="Tahoma"/>
          <w:color w:val="000000" w:themeColor="text1"/>
        </w:rPr>
        <w:t xml:space="preserve"> 2020. április végéig összesen 134,8 milliárd forintot fordítottak, mely mindössze 0,2 milliárd forinttal maradt el az előző év azonos időszakának teljesítésétől. Ezen belül a gyermekgondozást segítő ellátás összege 1,3 milliárd forinttal volt kevesebb az egy évvel korábbi kifizetésnél. Ez utóbbi hátterében az áll, hogy a kisgyermeket nevelők közül többen szereznek jogosultságot a biztosítási alapú és a gyermekgondozást segítő ellátásnál magasabb összegű gyermekgondozási díjra. Az életkezdési támogatásra fordított összeg viszont 0,8 milliárd forinttal haladta meg a 2019. április végi teljesítést. Az idei kiadás azért magasabb a tavalyi év azonos időszakához képest, mert az életkezdési letéti számlákon nyilvántartott követelés összege</w:t>
      </w:r>
      <w:r w:rsidR="00377AA0">
        <w:rPr>
          <w:rFonts w:cs="Tahoma"/>
          <w:color w:val="000000" w:themeColor="text1"/>
        </w:rPr>
        <w:t>,</w:t>
      </w:r>
      <w:r w:rsidRPr="60A05D1C">
        <w:rPr>
          <w:rFonts w:cs="Tahoma"/>
          <w:color w:val="000000" w:themeColor="text1"/>
        </w:rPr>
        <w:t xml:space="preserve"> és az erre az összegre tekintettel fizetett kamat mértéke is magasabb volt a tavalyihoz képest.</w:t>
      </w:r>
    </w:p>
    <w:p w14:paraId="64108DE6" w14:textId="77777777" w:rsidR="00C62FBD" w:rsidRPr="00C62FBD" w:rsidRDefault="60A05D1C" w:rsidP="60A05D1C">
      <w:pPr>
        <w:rPr>
          <w:rFonts w:cs="Tahoma"/>
          <w:color w:val="000000" w:themeColor="text1"/>
        </w:rPr>
      </w:pPr>
      <w:r w:rsidRPr="60A05D1C">
        <w:rPr>
          <w:rFonts w:cs="Tahoma"/>
          <w:color w:val="000000" w:themeColor="text1"/>
        </w:rPr>
        <w:t xml:space="preserve">A </w:t>
      </w:r>
      <w:r w:rsidRPr="60A05D1C">
        <w:rPr>
          <w:rFonts w:cs="Tahoma"/>
          <w:b/>
          <w:bCs/>
          <w:color w:val="000000" w:themeColor="text1"/>
        </w:rPr>
        <w:t>korhatár alatti ellátásokra</w:t>
      </w:r>
      <w:r w:rsidRPr="60A05D1C">
        <w:rPr>
          <w:rFonts w:cs="Tahoma"/>
          <w:color w:val="000000" w:themeColor="text1"/>
        </w:rPr>
        <w:t xml:space="preserve"> idén az első négy hónapban 30,5 milliárd forintot folyósítottak, amely 0,8 milliárd forinttal alacsonyabb az előző év azonos időszakában e célra kifizetett összegnél. Ebből korhatár előtti ellátásra és táncművészeti életjáradékra 6,8 milliárd forintot, a szolgálati járandóságra pedig 23,7 milliárd forintot folyósítottak. Az adatok tartalmazzák ezen ellátások januárban végrehajtott emelésének (a nyugdíjakra vonatkozó szabályok szerint végrehajtott 2020.  évi januári 2,8%-os emelés, valamint a 2019. évi novemberi 0,7%-os kiegészítő emelés) hatását. A korhatár előtti ellátásban és a szolgálati járandóságban részesülők közül azok, akik elérik a nyugdíjkorhatárt, öregségi nyugdíjra válnak jogosulttá. </w:t>
      </w:r>
    </w:p>
    <w:p w14:paraId="6A2099C0" w14:textId="4B8558D1" w:rsidR="00C62FBD" w:rsidRPr="00C62FBD" w:rsidRDefault="60A05D1C" w:rsidP="60A05D1C">
      <w:pPr>
        <w:rPr>
          <w:rFonts w:cs="Tahoma"/>
          <w:color w:val="000000" w:themeColor="text1"/>
        </w:rPr>
      </w:pPr>
      <w:r w:rsidRPr="60A05D1C">
        <w:rPr>
          <w:rFonts w:cs="Tahoma"/>
          <w:b/>
          <w:bCs/>
          <w:color w:val="000000" w:themeColor="text1"/>
        </w:rPr>
        <w:t>A jövedelempótló és jövedelemkiegészítő szociális támogatásokra</w:t>
      </w:r>
      <w:r w:rsidRPr="60A05D1C">
        <w:rPr>
          <w:rFonts w:cs="Tahoma"/>
          <w:color w:val="000000" w:themeColor="text1"/>
        </w:rPr>
        <w:t xml:space="preserve"> 2020. április végéig 46,5 milliárd forintot fizettek ki, mely 1,5 milliárd forinttal maradt el az egy évvel korábbi kiadástól. A jövedelempótló és jövedelemkiegészítő szociális támogatásokon belül a legnagyobb összeget (27,0 milliárd forint) a járási szociális feladatok ellátására (gyermekek otthongondozási díja, ápolási díj, időskorúak járadéka, foglalkoztatást helyettesítő támogatás, egészségkárosodási és gyermekfelügyeleti támogatás) fordították, e kiadások 1,</w:t>
      </w:r>
      <w:proofErr w:type="spellStart"/>
      <w:r w:rsidRPr="60A05D1C">
        <w:rPr>
          <w:rFonts w:cs="Tahoma"/>
          <w:color w:val="000000" w:themeColor="text1"/>
        </w:rPr>
        <w:t>1</w:t>
      </w:r>
      <w:proofErr w:type="spellEnd"/>
      <w:r w:rsidRPr="60A05D1C">
        <w:rPr>
          <w:rFonts w:cs="Tahoma"/>
          <w:color w:val="000000" w:themeColor="text1"/>
        </w:rPr>
        <w:t> milliárd forinttal haladták meg az előző évi első négyhavi kiadásokat. Az adatok tartalmazzák az ápolási díj 5%-os, valamint a gyermekek otthongondozási díja közel 24%-os emelésének hatását. A politikai rehabilitációs és más nyugdíj-</w:t>
      </w:r>
      <w:r w:rsidRPr="60A05D1C">
        <w:rPr>
          <w:rFonts w:cs="Tahoma"/>
          <w:color w:val="000000" w:themeColor="text1"/>
        </w:rPr>
        <w:lastRenderedPageBreak/>
        <w:t>kiegészítéseknél (4,5 milliárd forint), továbbá egyéb kisebb ellátásoknál (például mezőgazdasági járadék, házastársi pótlék) viszont csökkenés látható, figyelemmel arra, hogy ezek kifutó jellegű ellátások. 2020 első négy hónapjában a fogyatékossági támogatásra és a vakok személyi járadékára folyósított összeg is elmaradt az előző évi azonos időszaki kifizetéstől.</w:t>
      </w:r>
    </w:p>
    <w:p w14:paraId="7FB75BD9" w14:textId="77777777" w:rsidR="00C62FBD" w:rsidRPr="00C62FBD" w:rsidRDefault="60A05D1C" w:rsidP="60A05D1C">
      <w:pPr>
        <w:rPr>
          <w:rFonts w:cs="Tahoma"/>
          <w:color w:val="000000" w:themeColor="text1"/>
        </w:rPr>
      </w:pPr>
      <w:r w:rsidRPr="60A05D1C">
        <w:rPr>
          <w:rFonts w:cs="Tahoma"/>
          <w:color w:val="000000" w:themeColor="text1"/>
        </w:rPr>
        <w:t xml:space="preserve">A </w:t>
      </w:r>
      <w:r w:rsidRPr="60A05D1C">
        <w:rPr>
          <w:rFonts w:cs="Tahoma"/>
          <w:b/>
          <w:bCs/>
          <w:color w:val="000000" w:themeColor="text1"/>
        </w:rPr>
        <w:t>különféle jogcímen adott térítések</w:t>
      </w:r>
      <w:r w:rsidRPr="60A05D1C">
        <w:rPr>
          <w:rFonts w:cs="Tahoma"/>
          <w:color w:val="000000" w:themeColor="text1"/>
        </w:rPr>
        <w:t xml:space="preserve"> 2020. évi április végi összege (8,1 milliárd forint) 0,3 milliárd forinttal volt magasabb az előző év azonos időszakában kifizetett összegnél. A térítéseken belül a legnagyobb összeget, 5,7 milliárd forintot a közgyógyellátásra fizették ki, meghaladva a 2019. évi április végi összeget.</w:t>
      </w:r>
    </w:p>
    <w:p w14:paraId="5D419C8B" w14:textId="198ED752" w:rsidR="00FE76A5" w:rsidRDefault="00FE76A5" w:rsidP="00FE76A5">
      <w:r>
        <w:t xml:space="preserve">A </w:t>
      </w:r>
      <w:r w:rsidRPr="25153DD4">
        <w:rPr>
          <w:b/>
          <w:bCs/>
        </w:rPr>
        <w:t>helyi önkormányzatok</w:t>
      </w:r>
      <w:r>
        <w:t xml:space="preserve"> 2020. évi feladataihoz a hatályos költségvetési törvény 739,0</w:t>
      </w:r>
      <w:r w:rsidR="004E1D7B">
        <w:t> </w:t>
      </w:r>
      <w:r>
        <w:t>milliárd forint állami támogatást biztosít, ami a 2019. évi 728,9</w:t>
      </w:r>
      <w:r w:rsidR="004E1D7B">
        <w:t> </w:t>
      </w:r>
      <w:r>
        <w:t>milliárd forintos törvényi előirányzatnál 10,1</w:t>
      </w:r>
      <w:r w:rsidR="004E1D7B">
        <w:t> </w:t>
      </w:r>
      <w:r>
        <w:t>milliárd forinttal magasabb. E többlet döntően a 2017</w:t>
      </w:r>
      <w:r w:rsidR="004E1D7B">
        <w:noBreakHyphen/>
      </w:r>
      <w:r>
        <w:t>2019.</w:t>
      </w:r>
      <w:r w:rsidR="004E1D7B">
        <w:t> </w:t>
      </w:r>
      <w:r>
        <w:t>évi bérintézkedések hatásainak ágazati (így a köznevelési, szociális, gyermekétkeztetési, valamint a kulturális) támogatásokba való beépítésére, valamint kisebb részben egyes működési célú feladatok ellátására szolgál fedezetül. Az említett ágazati bérintézkedések hatása ténylegesen 24,5</w:t>
      </w:r>
      <w:r w:rsidR="00CF22E3">
        <w:t> </w:t>
      </w:r>
      <w:r>
        <w:t>milliárd forint többletet jelent a fejlesztési célú előirányzatok előző évhez viszonyított 2,9</w:t>
      </w:r>
      <w:r w:rsidR="00CF22E3">
        <w:t> százalék</w:t>
      </w:r>
      <w:r>
        <w:t xml:space="preserve">pontos csökkenése mellett. A csökkenés oka, hogy főként néhány kiemelt beruházás megvalósítása a végéhez közeledik (Pannon Park, Normafa Park beruházások), így az előirányzatuk összege is jelentősen csökkent. </w:t>
      </w:r>
    </w:p>
    <w:p w14:paraId="391F7430" w14:textId="5E4C8896" w:rsidR="00FE76A5" w:rsidRDefault="60A05D1C" w:rsidP="00FE76A5">
      <w:r>
        <w:t>Fentieken túl a kormány az 1047/2020. (II. 18.) Korm. határozatban 10,3 milliárd forint egyszeri előirányzat-átcsoportosításáról döntött a IX. Helyi önkormányzatok támogatásai fejezet terhére, az XX. Emberi Erőforrások Minisztériuma fejezet javára, annak érdekében, hogy az érintett színházak támogatása a 2020. évben megfeleljen az előadó-művészeti szervezetek támogatásáról és sajátos foglalkoztatási szabályairól szóló 2008. évi XCIX. törvény előírásainak.</w:t>
      </w:r>
    </w:p>
    <w:p w14:paraId="14F80CAD" w14:textId="13FDE959" w:rsidR="00180C76" w:rsidRDefault="60A05D1C" w:rsidP="00FE76A5">
      <w:r>
        <w:t>A jelentősebb tételek alakulását a következő táblázat mutatja:</w:t>
      </w:r>
    </w:p>
    <w:tbl>
      <w:tblPr>
        <w:tblW w:w="8261" w:type="dxa"/>
        <w:jc w:val="center"/>
        <w:tblCellMar>
          <w:left w:w="0" w:type="dxa"/>
          <w:right w:w="0" w:type="dxa"/>
        </w:tblCellMar>
        <w:tblLook w:val="04A0" w:firstRow="1" w:lastRow="0" w:firstColumn="1" w:lastColumn="0" w:noHBand="0" w:noVBand="1"/>
      </w:tblPr>
      <w:tblGrid>
        <w:gridCol w:w="4406"/>
        <w:gridCol w:w="1124"/>
        <w:gridCol w:w="1110"/>
        <w:gridCol w:w="888"/>
        <w:gridCol w:w="733"/>
      </w:tblGrid>
      <w:tr w:rsidR="00D82E5C" w:rsidRPr="00D82E5C" w14:paraId="3BBCFB07" w14:textId="77777777" w:rsidTr="60A05D1C">
        <w:trPr>
          <w:trHeight w:val="300"/>
          <w:jc w:val="center"/>
        </w:trPr>
        <w:tc>
          <w:tcPr>
            <w:tcW w:w="8261" w:type="dxa"/>
            <w:gridSpan w:val="5"/>
            <w:noWrap/>
            <w:tcMar>
              <w:top w:w="0" w:type="dxa"/>
              <w:left w:w="70" w:type="dxa"/>
              <w:bottom w:w="0" w:type="dxa"/>
              <w:right w:w="70" w:type="dxa"/>
            </w:tcMar>
            <w:vAlign w:val="bottom"/>
            <w:hideMark/>
          </w:tcPr>
          <w:p w14:paraId="0ACB7E67" w14:textId="77777777" w:rsidR="00D82E5C" w:rsidRPr="00D82E5C" w:rsidRDefault="60A05D1C" w:rsidP="60A05D1C">
            <w:pPr>
              <w:spacing w:line="276" w:lineRule="auto"/>
              <w:jc w:val="center"/>
              <w:rPr>
                <w:rFonts w:eastAsiaTheme="minorEastAsia"/>
                <w:b/>
                <w:bCs/>
                <w:color w:val="000000" w:themeColor="text1"/>
                <w:sz w:val="20"/>
                <w:lang w:eastAsia="en-US"/>
              </w:rPr>
            </w:pPr>
            <w:r w:rsidRPr="60A05D1C">
              <w:rPr>
                <w:b/>
                <w:bCs/>
                <w:color w:val="000000" w:themeColor="text1"/>
                <w:sz w:val="20"/>
              </w:rPr>
              <w:t>A helyi önkormányzatok támogatásának alakulása (milliárd forint)</w:t>
            </w:r>
          </w:p>
        </w:tc>
      </w:tr>
      <w:tr w:rsidR="00D82E5C" w:rsidRPr="00D82E5C" w14:paraId="4798FC5E" w14:textId="77777777" w:rsidTr="60A05D1C">
        <w:trPr>
          <w:trHeight w:val="300"/>
          <w:jc w:val="center"/>
        </w:trPr>
        <w:tc>
          <w:tcPr>
            <w:tcW w:w="4406" w:type="dxa"/>
            <w:vMerge w:val="restart"/>
            <w:tcBorders>
              <w:top w:val="single" w:sz="8" w:space="0" w:color="auto"/>
              <w:left w:val="single" w:sz="8" w:space="0" w:color="auto"/>
              <w:bottom w:val="single" w:sz="8" w:space="0" w:color="000000" w:themeColor="text1"/>
              <w:right w:val="single" w:sz="8" w:space="0" w:color="auto"/>
            </w:tcBorders>
            <w:noWrap/>
            <w:tcMar>
              <w:top w:w="0" w:type="dxa"/>
              <w:left w:w="70" w:type="dxa"/>
              <w:bottom w:w="0" w:type="dxa"/>
              <w:right w:w="70" w:type="dxa"/>
            </w:tcMar>
            <w:vAlign w:val="center"/>
            <w:hideMark/>
          </w:tcPr>
          <w:p w14:paraId="5BF70B91" w14:textId="77777777" w:rsidR="00D82E5C" w:rsidRPr="00D82E5C" w:rsidRDefault="60A05D1C" w:rsidP="60A05D1C">
            <w:pPr>
              <w:spacing w:line="276" w:lineRule="auto"/>
              <w:jc w:val="center"/>
              <w:rPr>
                <w:rFonts w:eastAsiaTheme="minorEastAsia"/>
                <w:b/>
                <w:bCs/>
                <w:color w:val="000000" w:themeColor="text1"/>
                <w:sz w:val="20"/>
                <w:lang w:eastAsia="en-US"/>
              </w:rPr>
            </w:pPr>
            <w:r w:rsidRPr="60A05D1C">
              <w:rPr>
                <w:b/>
                <w:bCs/>
                <w:color w:val="000000" w:themeColor="text1"/>
                <w:sz w:val="20"/>
              </w:rPr>
              <w:t>Megnevezés</w:t>
            </w:r>
          </w:p>
        </w:tc>
        <w:tc>
          <w:tcPr>
            <w:tcW w:w="112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F839337" w14:textId="5CA20049" w:rsidR="00D82E5C" w:rsidRPr="00D82E5C" w:rsidRDefault="60A05D1C" w:rsidP="60A05D1C">
            <w:pPr>
              <w:jc w:val="center"/>
              <w:rPr>
                <w:b/>
                <w:bCs/>
                <w:color w:val="000000" w:themeColor="text1"/>
                <w:sz w:val="20"/>
              </w:rPr>
            </w:pPr>
            <w:r w:rsidRPr="60A05D1C">
              <w:rPr>
                <w:b/>
                <w:bCs/>
                <w:color w:val="000000" w:themeColor="text1"/>
                <w:sz w:val="20"/>
              </w:rPr>
              <w:t xml:space="preserve">2019. </w:t>
            </w:r>
            <w:r w:rsidR="25153DD4">
              <w:br/>
            </w:r>
            <w:r w:rsidRPr="60A05D1C">
              <w:rPr>
                <w:b/>
                <w:bCs/>
                <w:color w:val="000000" w:themeColor="text1"/>
                <w:sz w:val="20"/>
              </w:rPr>
              <w:t>I-IV. hó</w:t>
            </w:r>
          </w:p>
        </w:tc>
        <w:tc>
          <w:tcPr>
            <w:tcW w:w="11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5B38124" w14:textId="1D4CC4B2" w:rsidR="00D82E5C" w:rsidRPr="00D82E5C" w:rsidRDefault="60A05D1C" w:rsidP="60A05D1C">
            <w:pPr>
              <w:jc w:val="center"/>
              <w:rPr>
                <w:b/>
                <w:bCs/>
                <w:color w:val="000000" w:themeColor="text1"/>
                <w:sz w:val="20"/>
              </w:rPr>
            </w:pPr>
            <w:r w:rsidRPr="60A05D1C">
              <w:rPr>
                <w:b/>
                <w:bCs/>
                <w:color w:val="000000" w:themeColor="text1"/>
                <w:sz w:val="20"/>
              </w:rPr>
              <w:t>2020.</w:t>
            </w:r>
            <w:r w:rsidR="25153DD4">
              <w:br/>
            </w:r>
            <w:r w:rsidRPr="60A05D1C">
              <w:rPr>
                <w:b/>
                <w:bCs/>
                <w:color w:val="000000" w:themeColor="text1"/>
                <w:sz w:val="20"/>
              </w:rPr>
              <w:t>I-IV. hó</w:t>
            </w:r>
          </w:p>
        </w:tc>
        <w:tc>
          <w:tcPr>
            <w:tcW w:w="162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326E2BF4" w14:textId="77777777" w:rsidR="00D82E5C" w:rsidRPr="00D82E5C" w:rsidRDefault="60A05D1C" w:rsidP="60A05D1C">
            <w:pPr>
              <w:jc w:val="center"/>
              <w:rPr>
                <w:b/>
                <w:bCs/>
                <w:color w:val="000000" w:themeColor="text1"/>
                <w:sz w:val="20"/>
              </w:rPr>
            </w:pPr>
            <w:r w:rsidRPr="60A05D1C">
              <w:rPr>
                <w:b/>
                <w:bCs/>
                <w:color w:val="000000" w:themeColor="text1"/>
                <w:sz w:val="20"/>
              </w:rPr>
              <w:t>Eltérés</w:t>
            </w:r>
          </w:p>
        </w:tc>
      </w:tr>
      <w:tr w:rsidR="00D82E5C" w:rsidRPr="00D82E5C" w14:paraId="4F308A3A" w14:textId="77777777" w:rsidTr="60A05D1C">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167BFD" w14:textId="77777777" w:rsidR="00D82E5C" w:rsidRPr="00D82E5C" w:rsidRDefault="00D82E5C" w:rsidP="00D82E5C">
            <w:pP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209F6A96" w14:textId="77777777" w:rsidR="00D82E5C" w:rsidRPr="00D82E5C" w:rsidRDefault="00D82E5C" w:rsidP="00D82E5C">
            <w:pPr>
              <w:jc w:val="cente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1EC8AF85" w14:textId="77777777" w:rsidR="00D82E5C" w:rsidRPr="00D82E5C" w:rsidRDefault="00D82E5C" w:rsidP="00D82E5C">
            <w:pPr>
              <w:jc w:val="center"/>
              <w:rPr>
                <w:rFonts w:eastAsiaTheme="minorHAnsi"/>
                <w:b/>
                <w:bCs/>
                <w:color w:val="000000"/>
                <w:sz w:val="20"/>
                <w:lang w:eastAsia="en-US"/>
              </w:rPr>
            </w:pP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4024F8B" w14:textId="77777777" w:rsidR="00D82E5C" w:rsidRPr="00D82E5C" w:rsidRDefault="60A05D1C" w:rsidP="60A05D1C">
            <w:pPr>
              <w:spacing w:line="276" w:lineRule="auto"/>
              <w:jc w:val="center"/>
              <w:rPr>
                <w:rFonts w:eastAsiaTheme="minorEastAsia"/>
                <w:b/>
                <w:bCs/>
                <w:color w:val="000000" w:themeColor="text1"/>
                <w:sz w:val="20"/>
                <w:lang w:eastAsia="en-US"/>
              </w:rPr>
            </w:pPr>
            <w:r w:rsidRPr="60A05D1C">
              <w:rPr>
                <w:b/>
                <w:bCs/>
                <w:color w:val="000000" w:themeColor="text1"/>
                <w:sz w:val="20"/>
              </w:rPr>
              <w:t>Mrd Ft</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B25340" w14:textId="77777777" w:rsidR="00D82E5C" w:rsidRPr="00D82E5C" w:rsidRDefault="60A05D1C" w:rsidP="60A05D1C">
            <w:pPr>
              <w:spacing w:line="276" w:lineRule="auto"/>
              <w:jc w:val="center"/>
              <w:rPr>
                <w:rFonts w:eastAsiaTheme="minorEastAsia"/>
                <w:b/>
                <w:bCs/>
                <w:color w:val="000000" w:themeColor="text1"/>
                <w:sz w:val="20"/>
                <w:lang w:eastAsia="en-US"/>
              </w:rPr>
            </w:pPr>
            <w:r w:rsidRPr="60A05D1C">
              <w:rPr>
                <w:b/>
                <w:bCs/>
                <w:color w:val="000000" w:themeColor="text1"/>
                <w:sz w:val="20"/>
              </w:rPr>
              <w:t>%</w:t>
            </w:r>
          </w:p>
        </w:tc>
      </w:tr>
      <w:tr w:rsidR="00B663AA" w:rsidRPr="00D82E5C" w14:paraId="4918B5EB" w14:textId="77777777" w:rsidTr="60A05D1C">
        <w:trPr>
          <w:trHeight w:val="575"/>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33B3F5" w14:textId="77777777" w:rsidR="00B663AA" w:rsidRPr="00D82E5C" w:rsidRDefault="60A05D1C" w:rsidP="60A05D1C">
            <w:pPr>
              <w:spacing w:after="0"/>
              <w:jc w:val="left"/>
              <w:rPr>
                <w:rFonts w:eastAsiaTheme="minorEastAsia"/>
                <w:b/>
                <w:bCs/>
                <w:color w:val="000000" w:themeColor="text1"/>
                <w:sz w:val="20"/>
              </w:rPr>
            </w:pPr>
            <w:r w:rsidRPr="60A05D1C">
              <w:rPr>
                <w:rFonts w:eastAsiaTheme="minorEastAsia"/>
                <w:b/>
                <w:bCs/>
                <w:color w:val="000000" w:themeColor="text1"/>
                <w:sz w:val="20"/>
              </w:rPr>
              <w:t>A helyi önkormányzatok általános működésének és ágazati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E8B6C29" w14:textId="69250E19" w:rsidR="00B663AA" w:rsidRPr="00D82E5C" w:rsidRDefault="60A05D1C" w:rsidP="60A05D1C">
            <w:pPr>
              <w:jc w:val="right"/>
              <w:rPr>
                <w:b/>
                <w:bCs/>
                <w:color w:val="000000" w:themeColor="text1"/>
                <w:sz w:val="20"/>
              </w:rPr>
            </w:pPr>
            <w:r w:rsidRPr="60A05D1C">
              <w:rPr>
                <w:b/>
                <w:bCs/>
                <w:color w:val="000000" w:themeColor="text1"/>
                <w:sz w:val="20"/>
              </w:rPr>
              <w:t>219,5</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5C13689" w14:textId="4F4B3A21" w:rsidR="00B663AA" w:rsidRPr="00D82E5C" w:rsidRDefault="60A05D1C" w:rsidP="007329E8">
            <w:pPr>
              <w:jc w:val="right"/>
              <w:rPr>
                <w:b/>
                <w:bCs/>
                <w:color w:val="000000" w:themeColor="text1"/>
                <w:sz w:val="20"/>
              </w:rPr>
            </w:pPr>
            <w:r w:rsidRPr="60A05D1C">
              <w:rPr>
                <w:b/>
                <w:bCs/>
                <w:color w:val="000000" w:themeColor="text1"/>
                <w:sz w:val="20"/>
              </w:rPr>
              <w:t>234,</w:t>
            </w:r>
            <w:r w:rsidR="007329E8">
              <w:rPr>
                <w:b/>
                <w:bCs/>
                <w:color w:val="000000" w:themeColor="text1"/>
                <w:sz w:val="20"/>
              </w:rPr>
              <w:t>6</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0561736" w14:textId="18ADB1D1" w:rsidR="00B663AA" w:rsidRPr="00D82E5C" w:rsidRDefault="60A05D1C" w:rsidP="00CE2071">
            <w:pPr>
              <w:jc w:val="right"/>
              <w:rPr>
                <w:b/>
                <w:bCs/>
                <w:color w:val="000000" w:themeColor="text1"/>
                <w:sz w:val="20"/>
              </w:rPr>
            </w:pPr>
            <w:r w:rsidRPr="60A05D1C">
              <w:rPr>
                <w:b/>
                <w:bCs/>
                <w:color w:val="000000" w:themeColor="text1"/>
                <w:sz w:val="20"/>
              </w:rPr>
              <w:t>15,</w:t>
            </w:r>
            <w:r w:rsidR="00CE2071">
              <w:rPr>
                <w:b/>
                <w:bCs/>
                <w:color w:val="000000" w:themeColor="text1"/>
                <w:sz w:val="20"/>
              </w:rPr>
              <w:t>1</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1C54C9B" w14:textId="30D06977" w:rsidR="00B663AA" w:rsidRPr="00D82E5C" w:rsidRDefault="60A05D1C" w:rsidP="00CE2071">
            <w:pPr>
              <w:jc w:val="right"/>
              <w:rPr>
                <w:b/>
                <w:bCs/>
                <w:color w:val="000000" w:themeColor="text1"/>
                <w:sz w:val="20"/>
              </w:rPr>
            </w:pPr>
            <w:r w:rsidRPr="60A05D1C">
              <w:rPr>
                <w:b/>
                <w:bCs/>
                <w:color w:val="000000" w:themeColor="text1"/>
                <w:sz w:val="20"/>
              </w:rPr>
              <w:t>106,</w:t>
            </w:r>
            <w:r w:rsidR="00CE2071">
              <w:rPr>
                <w:b/>
                <w:bCs/>
                <w:color w:val="000000" w:themeColor="text1"/>
                <w:sz w:val="20"/>
              </w:rPr>
              <w:t>9</w:t>
            </w:r>
          </w:p>
        </w:tc>
      </w:tr>
      <w:tr w:rsidR="00B663AA" w:rsidRPr="00D82E5C" w14:paraId="2F56FEDB" w14:textId="77777777" w:rsidTr="60A05D1C">
        <w:trPr>
          <w:trHeight w:val="507"/>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07C984" w14:textId="77777777" w:rsidR="00B663AA" w:rsidRPr="00D82E5C" w:rsidRDefault="60A05D1C" w:rsidP="60A05D1C">
            <w:pPr>
              <w:spacing w:after="0"/>
              <w:ind w:left="284"/>
              <w:jc w:val="left"/>
              <w:rPr>
                <w:rFonts w:eastAsiaTheme="minorEastAsia"/>
                <w:i/>
                <w:iCs/>
                <w:color w:val="000000" w:themeColor="text1"/>
                <w:sz w:val="20"/>
              </w:rPr>
            </w:pPr>
            <w:r w:rsidRPr="60A05D1C">
              <w:rPr>
                <w:rFonts w:eastAsiaTheme="minorEastAsia"/>
                <w:i/>
                <w:iCs/>
                <w:color w:val="000000" w:themeColor="text1"/>
                <w:sz w:val="20"/>
              </w:rPr>
              <w:t>A helyi önkormányzatok működésének általános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9CAC24A" w14:textId="2F3D7FB1" w:rsidR="00B663AA" w:rsidRPr="00D82E5C" w:rsidRDefault="60A05D1C" w:rsidP="60A05D1C">
            <w:pPr>
              <w:jc w:val="right"/>
              <w:rPr>
                <w:color w:val="000000" w:themeColor="text1"/>
                <w:sz w:val="20"/>
              </w:rPr>
            </w:pPr>
            <w:r w:rsidRPr="60A05D1C">
              <w:rPr>
                <w:color w:val="000000" w:themeColor="text1"/>
                <w:sz w:val="20"/>
              </w:rPr>
              <w:t>56,0</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28C7BF6" w14:textId="0EA359A7" w:rsidR="00B663AA" w:rsidRPr="00D82E5C" w:rsidRDefault="60A05D1C" w:rsidP="60A05D1C">
            <w:pPr>
              <w:jc w:val="right"/>
              <w:rPr>
                <w:color w:val="000000" w:themeColor="text1"/>
                <w:sz w:val="20"/>
              </w:rPr>
            </w:pPr>
            <w:r w:rsidRPr="60A05D1C">
              <w:rPr>
                <w:color w:val="000000" w:themeColor="text1"/>
                <w:sz w:val="20"/>
              </w:rPr>
              <w:t>62,7</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7C2F22" w14:textId="26E5B66C" w:rsidR="00B663AA" w:rsidRPr="00D82E5C" w:rsidRDefault="60A05D1C" w:rsidP="00F331B8">
            <w:pPr>
              <w:jc w:val="right"/>
              <w:rPr>
                <w:color w:val="000000" w:themeColor="text1"/>
                <w:sz w:val="20"/>
              </w:rPr>
            </w:pPr>
            <w:r w:rsidRPr="60A05D1C">
              <w:rPr>
                <w:color w:val="000000" w:themeColor="text1"/>
                <w:sz w:val="20"/>
              </w:rPr>
              <w:t>6,</w:t>
            </w:r>
            <w:r w:rsidR="00F331B8">
              <w:rPr>
                <w:color w:val="000000" w:themeColor="text1"/>
                <w:sz w:val="20"/>
              </w:rPr>
              <w:t>7</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1290FFB" w14:textId="7C9F4AB6" w:rsidR="00B663AA" w:rsidRPr="00D82E5C" w:rsidRDefault="60A05D1C" w:rsidP="00F331B8">
            <w:pPr>
              <w:jc w:val="right"/>
              <w:rPr>
                <w:color w:val="000000" w:themeColor="text1"/>
                <w:sz w:val="20"/>
              </w:rPr>
            </w:pPr>
            <w:r w:rsidRPr="60A05D1C">
              <w:rPr>
                <w:color w:val="000000" w:themeColor="text1"/>
                <w:sz w:val="20"/>
              </w:rPr>
              <w:t>11</w:t>
            </w:r>
            <w:r w:rsidR="00F331B8">
              <w:rPr>
                <w:color w:val="000000" w:themeColor="text1"/>
                <w:sz w:val="20"/>
              </w:rPr>
              <w:t>2,0</w:t>
            </w:r>
          </w:p>
        </w:tc>
      </w:tr>
      <w:tr w:rsidR="00B663AA" w:rsidRPr="00D82E5C" w14:paraId="6F1B6DC5" w14:textId="77777777" w:rsidTr="60A05D1C">
        <w:trPr>
          <w:trHeight w:val="515"/>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7BD5E6" w14:textId="77777777" w:rsidR="00B663AA" w:rsidRPr="00D82E5C" w:rsidRDefault="60A05D1C" w:rsidP="60A05D1C">
            <w:pPr>
              <w:spacing w:after="0"/>
              <w:ind w:left="284"/>
              <w:jc w:val="left"/>
              <w:rPr>
                <w:rFonts w:eastAsiaTheme="minorEastAsia"/>
                <w:i/>
                <w:iCs/>
                <w:color w:val="000000" w:themeColor="text1"/>
                <w:sz w:val="20"/>
              </w:rPr>
            </w:pPr>
            <w:r w:rsidRPr="60A05D1C">
              <w:rPr>
                <w:rFonts w:eastAsiaTheme="minorEastAsia"/>
                <w:i/>
                <w:iCs/>
                <w:color w:val="000000" w:themeColor="text1"/>
                <w:sz w:val="20"/>
              </w:rPr>
              <w:t>A települési önkormányzatok egyes köznevelési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4C9B731" w14:textId="570EA640" w:rsidR="00B663AA" w:rsidRPr="00D82E5C" w:rsidRDefault="60A05D1C" w:rsidP="60A05D1C">
            <w:pPr>
              <w:jc w:val="right"/>
              <w:rPr>
                <w:color w:val="000000" w:themeColor="text1"/>
                <w:sz w:val="20"/>
              </w:rPr>
            </w:pPr>
            <w:r w:rsidRPr="60A05D1C">
              <w:rPr>
                <w:color w:val="000000" w:themeColor="text1"/>
                <w:sz w:val="20"/>
              </w:rPr>
              <w:t>63,6</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9859616" w14:textId="4BA14BD0" w:rsidR="00B663AA" w:rsidRPr="00D82E5C" w:rsidRDefault="60A05D1C" w:rsidP="60A05D1C">
            <w:pPr>
              <w:jc w:val="right"/>
              <w:rPr>
                <w:color w:val="000000" w:themeColor="text1"/>
                <w:sz w:val="20"/>
              </w:rPr>
            </w:pPr>
            <w:r w:rsidRPr="60A05D1C">
              <w:rPr>
                <w:color w:val="000000" w:themeColor="text1"/>
                <w:sz w:val="20"/>
              </w:rPr>
              <w:t>67,5</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4DBA82D" w14:textId="609B18EE" w:rsidR="00B663AA" w:rsidRPr="00D82E5C" w:rsidRDefault="60A05D1C" w:rsidP="0051345C">
            <w:pPr>
              <w:jc w:val="right"/>
              <w:rPr>
                <w:color w:val="000000" w:themeColor="text1"/>
                <w:sz w:val="20"/>
              </w:rPr>
            </w:pPr>
            <w:r w:rsidRPr="60A05D1C">
              <w:rPr>
                <w:color w:val="000000" w:themeColor="text1"/>
                <w:sz w:val="20"/>
              </w:rPr>
              <w:t>3,9</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9CFAC8D" w14:textId="4F5815E9" w:rsidR="00B663AA" w:rsidRPr="00D82E5C" w:rsidRDefault="60A05D1C" w:rsidP="60A05D1C">
            <w:pPr>
              <w:jc w:val="right"/>
              <w:rPr>
                <w:color w:val="000000" w:themeColor="text1"/>
                <w:sz w:val="20"/>
              </w:rPr>
            </w:pPr>
            <w:r w:rsidRPr="60A05D1C">
              <w:rPr>
                <w:color w:val="000000" w:themeColor="text1"/>
                <w:sz w:val="20"/>
              </w:rPr>
              <w:t>106,1</w:t>
            </w:r>
          </w:p>
        </w:tc>
      </w:tr>
      <w:tr w:rsidR="00B663AA" w:rsidRPr="00D82E5C" w14:paraId="60C34464" w14:textId="77777777" w:rsidTr="60A05D1C">
        <w:trPr>
          <w:trHeight w:val="821"/>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4F0286" w14:textId="77777777" w:rsidR="00B663AA" w:rsidRPr="00D82E5C" w:rsidRDefault="60A05D1C" w:rsidP="60A05D1C">
            <w:pPr>
              <w:spacing w:after="0"/>
              <w:ind w:left="284"/>
              <w:jc w:val="left"/>
              <w:rPr>
                <w:rFonts w:eastAsiaTheme="minorEastAsia"/>
                <w:i/>
                <w:iCs/>
                <w:color w:val="000000" w:themeColor="text1"/>
                <w:sz w:val="20"/>
              </w:rPr>
            </w:pPr>
            <w:r w:rsidRPr="60A05D1C">
              <w:rPr>
                <w:rFonts w:eastAsiaTheme="minorEastAsia"/>
                <w:i/>
                <w:iCs/>
                <w:color w:val="000000" w:themeColor="text1"/>
                <w:sz w:val="20"/>
              </w:rPr>
              <w:t>A települési önkormányzatok egyes szociális, gyermekjóléti és gyermekétkeztetési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4208E26" w14:textId="0FBCC8EC" w:rsidR="00B663AA" w:rsidRPr="00D82E5C" w:rsidRDefault="60A05D1C" w:rsidP="60A05D1C">
            <w:pPr>
              <w:jc w:val="right"/>
              <w:rPr>
                <w:color w:val="000000" w:themeColor="text1"/>
                <w:sz w:val="20"/>
              </w:rPr>
            </w:pPr>
            <w:r w:rsidRPr="60A05D1C">
              <w:rPr>
                <w:color w:val="000000" w:themeColor="text1"/>
                <w:sz w:val="20"/>
              </w:rPr>
              <w:t>84,3</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FF9F583" w14:textId="1287778F" w:rsidR="00B663AA" w:rsidRPr="00D82E5C" w:rsidRDefault="60A05D1C" w:rsidP="60A05D1C">
            <w:pPr>
              <w:jc w:val="right"/>
              <w:rPr>
                <w:color w:val="000000" w:themeColor="text1"/>
                <w:sz w:val="20"/>
              </w:rPr>
            </w:pPr>
            <w:r w:rsidRPr="60A05D1C">
              <w:rPr>
                <w:color w:val="000000" w:themeColor="text1"/>
                <w:sz w:val="20"/>
              </w:rPr>
              <w:t>94,3</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34C74C9" w14:textId="60EB2465" w:rsidR="00B663AA" w:rsidRPr="00D82E5C" w:rsidRDefault="60A05D1C" w:rsidP="60A05D1C">
            <w:pPr>
              <w:jc w:val="right"/>
              <w:rPr>
                <w:color w:val="000000" w:themeColor="text1"/>
                <w:sz w:val="20"/>
              </w:rPr>
            </w:pPr>
            <w:r w:rsidRPr="60A05D1C">
              <w:rPr>
                <w:color w:val="000000" w:themeColor="text1"/>
                <w:sz w:val="20"/>
              </w:rPr>
              <w:t>10,0</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72926D3" w14:textId="253D7CF5" w:rsidR="00B663AA" w:rsidRPr="00D82E5C" w:rsidRDefault="60A05D1C" w:rsidP="00E625F2">
            <w:pPr>
              <w:jc w:val="right"/>
              <w:rPr>
                <w:color w:val="000000" w:themeColor="text1"/>
                <w:sz w:val="20"/>
              </w:rPr>
            </w:pPr>
            <w:r w:rsidRPr="60A05D1C">
              <w:rPr>
                <w:color w:val="000000" w:themeColor="text1"/>
                <w:sz w:val="20"/>
              </w:rPr>
              <w:t>111,</w:t>
            </w:r>
            <w:r w:rsidR="00E625F2">
              <w:rPr>
                <w:color w:val="000000" w:themeColor="text1"/>
                <w:sz w:val="20"/>
              </w:rPr>
              <w:t>9</w:t>
            </w:r>
          </w:p>
        </w:tc>
      </w:tr>
      <w:tr w:rsidR="00B663AA" w:rsidRPr="00D82E5C" w14:paraId="595F2618" w14:textId="77777777" w:rsidTr="60A05D1C">
        <w:trPr>
          <w:trHeight w:val="549"/>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23A511" w14:textId="77777777" w:rsidR="00B663AA" w:rsidRPr="00D82E5C" w:rsidRDefault="60A05D1C" w:rsidP="60A05D1C">
            <w:pPr>
              <w:spacing w:after="0"/>
              <w:ind w:left="284"/>
              <w:jc w:val="left"/>
              <w:rPr>
                <w:rFonts w:eastAsiaTheme="minorEastAsia"/>
                <w:i/>
                <w:iCs/>
                <w:color w:val="000000" w:themeColor="text1"/>
                <w:sz w:val="20"/>
              </w:rPr>
            </w:pPr>
            <w:r w:rsidRPr="60A05D1C">
              <w:rPr>
                <w:rFonts w:eastAsiaTheme="minorEastAsia"/>
                <w:i/>
                <w:iCs/>
                <w:color w:val="000000" w:themeColor="text1"/>
                <w:sz w:val="20"/>
              </w:rPr>
              <w:t>A települési önkormányzatok kulturális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88056DD" w14:textId="2DBDF05C" w:rsidR="00B663AA" w:rsidRPr="00D82E5C" w:rsidRDefault="60A05D1C" w:rsidP="60A05D1C">
            <w:pPr>
              <w:jc w:val="right"/>
              <w:rPr>
                <w:color w:val="000000" w:themeColor="text1"/>
                <w:sz w:val="20"/>
              </w:rPr>
            </w:pPr>
            <w:r w:rsidRPr="60A05D1C">
              <w:rPr>
                <w:color w:val="000000" w:themeColor="text1"/>
                <w:sz w:val="20"/>
              </w:rPr>
              <w:t>15,6</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E914662" w14:textId="1A98566A" w:rsidR="00B663AA" w:rsidRPr="00D82E5C" w:rsidRDefault="60A05D1C" w:rsidP="60A05D1C">
            <w:pPr>
              <w:jc w:val="right"/>
              <w:rPr>
                <w:color w:val="000000" w:themeColor="text1"/>
                <w:sz w:val="20"/>
              </w:rPr>
            </w:pPr>
            <w:r w:rsidRPr="60A05D1C">
              <w:rPr>
                <w:color w:val="000000" w:themeColor="text1"/>
                <w:sz w:val="20"/>
              </w:rPr>
              <w:t>10,1</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45FF3B" w14:textId="2B492AEC" w:rsidR="00B663AA" w:rsidRPr="00D82E5C" w:rsidRDefault="60A05D1C" w:rsidP="00FA1A90">
            <w:pPr>
              <w:jc w:val="right"/>
              <w:rPr>
                <w:color w:val="000000" w:themeColor="text1"/>
                <w:sz w:val="20"/>
              </w:rPr>
            </w:pPr>
            <w:r w:rsidRPr="60A05D1C">
              <w:rPr>
                <w:color w:val="000000" w:themeColor="text1"/>
                <w:sz w:val="20"/>
              </w:rPr>
              <w:t>-5,5</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5D6E59" w14:textId="782E2620" w:rsidR="00B663AA" w:rsidRPr="00D82E5C" w:rsidRDefault="60A05D1C" w:rsidP="00FA1A90">
            <w:pPr>
              <w:jc w:val="right"/>
              <w:rPr>
                <w:color w:val="000000" w:themeColor="text1"/>
                <w:sz w:val="20"/>
              </w:rPr>
            </w:pPr>
            <w:r w:rsidRPr="60A05D1C">
              <w:rPr>
                <w:color w:val="000000" w:themeColor="text1"/>
                <w:sz w:val="20"/>
              </w:rPr>
              <w:t>64,</w:t>
            </w:r>
            <w:r w:rsidR="00FA1A90">
              <w:rPr>
                <w:color w:val="000000" w:themeColor="text1"/>
                <w:sz w:val="20"/>
              </w:rPr>
              <w:t>7</w:t>
            </w:r>
          </w:p>
        </w:tc>
      </w:tr>
      <w:tr w:rsidR="00B663AA" w:rsidRPr="00D82E5C" w14:paraId="1EEE8222" w14:textId="77777777" w:rsidTr="60A05D1C">
        <w:trPr>
          <w:trHeight w:val="289"/>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4557C9" w14:textId="77777777" w:rsidR="00B663AA" w:rsidRPr="00D82E5C" w:rsidRDefault="60A05D1C" w:rsidP="60A05D1C">
            <w:pPr>
              <w:spacing w:after="0"/>
              <w:jc w:val="left"/>
              <w:rPr>
                <w:rFonts w:eastAsiaTheme="minorEastAsia"/>
                <w:b/>
                <w:bCs/>
                <w:color w:val="000000" w:themeColor="text1"/>
                <w:sz w:val="20"/>
              </w:rPr>
            </w:pPr>
            <w:r w:rsidRPr="60A05D1C">
              <w:rPr>
                <w:rFonts w:eastAsiaTheme="minorEastAsia"/>
                <w:b/>
                <w:bCs/>
                <w:color w:val="000000" w:themeColor="text1"/>
                <w:sz w:val="20"/>
              </w:rPr>
              <w:t>Helyi önkormányzatok kiegészítő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9459788" w14:textId="23C5DC70" w:rsidR="00B663AA" w:rsidRPr="00D82E5C" w:rsidRDefault="60A05D1C" w:rsidP="60A05D1C">
            <w:pPr>
              <w:jc w:val="right"/>
              <w:rPr>
                <w:b/>
                <w:bCs/>
                <w:color w:val="000000" w:themeColor="text1"/>
                <w:sz w:val="20"/>
              </w:rPr>
            </w:pPr>
            <w:r w:rsidRPr="60A05D1C">
              <w:rPr>
                <w:b/>
                <w:bCs/>
                <w:color w:val="000000" w:themeColor="text1"/>
                <w:sz w:val="20"/>
              </w:rPr>
              <w:t>14,4</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DD30A41" w14:textId="272434D3" w:rsidR="00B663AA" w:rsidRPr="00D82E5C" w:rsidRDefault="60A05D1C" w:rsidP="60A05D1C">
            <w:pPr>
              <w:jc w:val="right"/>
              <w:rPr>
                <w:b/>
                <w:bCs/>
                <w:color w:val="000000" w:themeColor="text1"/>
                <w:sz w:val="20"/>
              </w:rPr>
            </w:pPr>
            <w:r w:rsidRPr="60A05D1C">
              <w:rPr>
                <w:b/>
                <w:bCs/>
                <w:color w:val="000000" w:themeColor="text1"/>
                <w:sz w:val="20"/>
              </w:rPr>
              <w:t>2,5</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43D5540" w14:textId="3B3E0B13" w:rsidR="00B663AA" w:rsidRPr="00D82E5C" w:rsidRDefault="60A05D1C" w:rsidP="00A75CF7">
            <w:pPr>
              <w:jc w:val="right"/>
              <w:rPr>
                <w:b/>
                <w:bCs/>
                <w:color w:val="000000" w:themeColor="text1"/>
                <w:sz w:val="20"/>
              </w:rPr>
            </w:pPr>
            <w:r w:rsidRPr="60A05D1C">
              <w:rPr>
                <w:b/>
                <w:bCs/>
                <w:color w:val="000000" w:themeColor="text1"/>
                <w:sz w:val="20"/>
              </w:rPr>
              <w:t>-11,9</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FFC58FB" w14:textId="4BED8E62" w:rsidR="00B663AA" w:rsidRPr="00D82E5C" w:rsidRDefault="60A05D1C" w:rsidP="00A75CF7">
            <w:pPr>
              <w:jc w:val="right"/>
              <w:rPr>
                <w:b/>
                <w:bCs/>
                <w:color w:val="000000" w:themeColor="text1"/>
                <w:sz w:val="20"/>
              </w:rPr>
            </w:pPr>
            <w:r w:rsidRPr="60A05D1C">
              <w:rPr>
                <w:b/>
                <w:bCs/>
                <w:color w:val="000000" w:themeColor="text1"/>
                <w:sz w:val="20"/>
              </w:rPr>
              <w:t>17,</w:t>
            </w:r>
            <w:r w:rsidR="00A75CF7">
              <w:rPr>
                <w:b/>
                <w:bCs/>
                <w:color w:val="000000" w:themeColor="text1"/>
                <w:sz w:val="20"/>
              </w:rPr>
              <w:t>4</w:t>
            </w:r>
          </w:p>
        </w:tc>
      </w:tr>
      <w:tr w:rsidR="00B663AA" w:rsidRPr="00D82E5C" w14:paraId="6960911B" w14:textId="77777777" w:rsidTr="60A05D1C">
        <w:trPr>
          <w:trHeight w:val="270"/>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0309E0" w14:textId="77777777" w:rsidR="00B663AA" w:rsidRPr="00D82E5C" w:rsidRDefault="60A05D1C" w:rsidP="60A05D1C">
            <w:pPr>
              <w:spacing w:after="0"/>
              <w:jc w:val="left"/>
              <w:rPr>
                <w:rFonts w:eastAsiaTheme="minorEastAsia"/>
                <w:b/>
                <w:bCs/>
                <w:color w:val="000000" w:themeColor="text1"/>
                <w:sz w:val="20"/>
              </w:rPr>
            </w:pPr>
            <w:r w:rsidRPr="60A05D1C">
              <w:rPr>
                <w:rFonts w:eastAsiaTheme="minorEastAsia"/>
                <w:b/>
                <w:bCs/>
                <w:color w:val="000000" w:themeColor="text1"/>
                <w:sz w:val="20"/>
              </w:rPr>
              <w:t>Év közben létrejött új jogcímek kiadásai</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29EA0B3" w14:textId="0C4F7C23" w:rsidR="00B663AA" w:rsidRPr="00D82E5C" w:rsidRDefault="60A05D1C" w:rsidP="60A05D1C">
            <w:pPr>
              <w:jc w:val="right"/>
              <w:rPr>
                <w:b/>
                <w:bCs/>
                <w:color w:val="000000" w:themeColor="text1"/>
                <w:sz w:val="20"/>
              </w:rPr>
            </w:pPr>
            <w:r w:rsidRPr="60A05D1C">
              <w:rPr>
                <w:b/>
                <w:bCs/>
                <w:color w:val="000000" w:themeColor="text1"/>
                <w:sz w:val="20"/>
              </w:rPr>
              <w:t>27,6</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A87FA6C" w14:textId="404FF4D5" w:rsidR="00B663AA" w:rsidRPr="00D82E5C" w:rsidRDefault="007329E8" w:rsidP="007329E8">
            <w:pPr>
              <w:jc w:val="right"/>
              <w:rPr>
                <w:b/>
                <w:bCs/>
                <w:color w:val="000000" w:themeColor="text1"/>
                <w:sz w:val="20"/>
              </w:rPr>
            </w:pPr>
            <w:r>
              <w:rPr>
                <w:b/>
                <w:bCs/>
                <w:color w:val="000000" w:themeColor="text1"/>
                <w:sz w:val="20"/>
              </w:rPr>
              <w:t>5,9</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D9EE3C3" w14:textId="305E707F" w:rsidR="00B663AA" w:rsidRPr="00D82E5C" w:rsidRDefault="60A05D1C" w:rsidP="008F730C">
            <w:pPr>
              <w:jc w:val="right"/>
              <w:rPr>
                <w:b/>
                <w:bCs/>
                <w:color w:val="000000" w:themeColor="text1"/>
                <w:sz w:val="20"/>
              </w:rPr>
            </w:pPr>
            <w:r w:rsidRPr="60A05D1C">
              <w:rPr>
                <w:b/>
                <w:bCs/>
                <w:color w:val="000000" w:themeColor="text1"/>
                <w:sz w:val="20"/>
              </w:rPr>
              <w:t>-21,</w:t>
            </w:r>
            <w:r w:rsidR="008F730C">
              <w:rPr>
                <w:b/>
                <w:bCs/>
                <w:color w:val="000000" w:themeColor="text1"/>
                <w:sz w:val="20"/>
              </w:rPr>
              <w:t>7</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394AA93" w14:textId="75128FD4" w:rsidR="00B663AA" w:rsidRPr="00D82E5C" w:rsidRDefault="60A05D1C" w:rsidP="005C1D40">
            <w:pPr>
              <w:jc w:val="right"/>
              <w:rPr>
                <w:b/>
                <w:bCs/>
                <w:color w:val="000000" w:themeColor="text1"/>
                <w:sz w:val="20"/>
              </w:rPr>
            </w:pPr>
            <w:r w:rsidRPr="60A05D1C">
              <w:rPr>
                <w:b/>
                <w:bCs/>
                <w:color w:val="000000" w:themeColor="text1"/>
                <w:sz w:val="20"/>
              </w:rPr>
              <w:t>21,</w:t>
            </w:r>
            <w:r w:rsidR="005C1D40">
              <w:rPr>
                <w:b/>
                <w:bCs/>
                <w:color w:val="000000" w:themeColor="text1"/>
                <w:sz w:val="20"/>
              </w:rPr>
              <w:t>4</w:t>
            </w:r>
          </w:p>
        </w:tc>
      </w:tr>
      <w:tr w:rsidR="00B663AA" w:rsidRPr="00D82E5C" w14:paraId="587DB3EC" w14:textId="77777777" w:rsidTr="60A05D1C">
        <w:trPr>
          <w:trHeight w:val="333"/>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ABB27E" w14:textId="77777777" w:rsidR="00B663AA" w:rsidRPr="00D82E5C" w:rsidRDefault="60A05D1C" w:rsidP="60A05D1C">
            <w:pPr>
              <w:spacing w:after="0"/>
              <w:jc w:val="left"/>
              <w:rPr>
                <w:rFonts w:eastAsiaTheme="minorEastAsia"/>
                <w:b/>
                <w:bCs/>
                <w:color w:val="000000" w:themeColor="text1"/>
                <w:sz w:val="20"/>
              </w:rPr>
            </w:pPr>
            <w:r w:rsidRPr="60A05D1C">
              <w:rPr>
                <w:rFonts w:eastAsiaTheme="minorEastAsia"/>
                <w:b/>
                <w:bCs/>
                <w:color w:val="000000" w:themeColor="text1"/>
                <w:sz w:val="20"/>
              </w:rPr>
              <w:t>Összesen</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DEB6504" w14:textId="75DACFA8" w:rsidR="00B663AA" w:rsidRPr="00D82E5C" w:rsidRDefault="60A05D1C" w:rsidP="60A05D1C">
            <w:pPr>
              <w:jc w:val="right"/>
              <w:rPr>
                <w:b/>
                <w:bCs/>
                <w:color w:val="000000" w:themeColor="text1"/>
                <w:sz w:val="20"/>
              </w:rPr>
            </w:pPr>
            <w:r w:rsidRPr="60A05D1C">
              <w:rPr>
                <w:b/>
                <w:bCs/>
                <w:color w:val="000000" w:themeColor="text1"/>
                <w:sz w:val="20"/>
              </w:rPr>
              <w:t>261,5</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A8F0ABE" w14:textId="243C7269" w:rsidR="00B663AA" w:rsidRPr="00D82E5C" w:rsidRDefault="60A05D1C" w:rsidP="60A05D1C">
            <w:pPr>
              <w:jc w:val="right"/>
              <w:rPr>
                <w:b/>
                <w:bCs/>
                <w:color w:val="000000" w:themeColor="text1"/>
                <w:sz w:val="20"/>
              </w:rPr>
            </w:pPr>
            <w:r w:rsidRPr="60A05D1C">
              <w:rPr>
                <w:b/>
                <w:bCs/>
                <w:color w:val="000000" w:themeColor="text1"/>
                <w:sz w:val="20"/>
              </w:rPr>
              <w:t>243,0</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C9BEF05" w14:textId="4FFF8A02" w:rsidR="00B663AA" w:rsidRPr="00D82E5C" w:rsidRDefault="60A05D1C" w:rsidP="60A05D1C">
            <w:pPr>
              <w:jc w:val="right"/>
              <w:rPr>
                <w:b/>
                <w:bCs/>
                <w:color w:val="000000" w:themeColor="text1"/>
                <w:sz w:val="20"/>
              </w:rPr>
            </w:pPr>
            <w:r w:rsidRPr="60A05D1C">
              <w:rPr>
                <w:b/>
                <w:bCs/>
                <w:color w:val="000000" w:themeColor="text1"/>
                <w:sz w:val="20"/>
              </w:rPr>
              <w:t>-18,5</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52D5E0C" w14:textId="530F7D75" w:rsidR="00B663AA" w:rsidRPr="00D82E5C" w:rsidRDefault="60A05D1C" w:rsidP="60A05D1C">
            <w:pPr>
              <w:jc w:val="right"/>
              <w:rPr>
                <w:b/>
                <w:bCs/>
                <w:color w:val="000000" w:themeColor="text1"/>
                <w:sz w:val="20"/>
              </w:rPr>
            </w:pPr>
            <w:r w:rsidRPr="60A05D1C">
              <w:rPr>
                <w:b/>
                <w:bCs/>
                <w:color w:val="000000" w:themeColor="text1"/>
                <w:sz w:val="20"/>
              </w:rPr>
              <w:t>92,9</w:t>
            </w:r>
          </w:p>
        </w:tc>
      </w:tr>
    </w:tbl>
    <w:p w14:paraId="448464F0" w14:textId="6CCD0E2B" w:rsidR="00FD076A" w:rsidRPr="005A23F5" w:rsidRDefault="60A05D1C" w:rsidP="60A05D1C">
      <w:pPr>
        <w:rPr>
          <w:rFonts w:cs="Tahoma"/>
          <w:color w:val="000000" w:themeColor="text1"/>
        </w:rPr>
      </w:pPr>
      <w:r w:rsidRPr="00000082">
        <w:rPr>
          <w:rFonts w:cs="Tahoma"/>
          <w:color w:val="000000" w:themeColor="text1"/>
        </w:rPr>
        <w:lastRenderedPageBreak/>
        <w:t>A „</w:t>
      </w:r>
      <w:r w:rsidRPr="00000082">
        <w:rPr>
          <w:rFonts w:cs="Tahoma"/>
          <w:b/>
          <w:color w:val="000000" w:themeColor="text1"/>
        </w:rPr>
        <w:t>Hozzájárulás az EU költségvetéséhez</w:t>
      </w:r>
      <w:r w:rsidRPr="00000082">
        <w:rPr>
          <w:rFonts w:cs="Tahoma"/>
          <w:color w:val="000000" w:themeColor="text1"/>
        </w:rPr>
        <w:t>” mérlegsoron 2020</w:t>
      </w:r>
      <w:r w:rsidR="00BE5DC0" w:rsidRPr="00000082">
        <w:rPr>
          <w:rFonts w:cs="Tahoma"/>
          <w:color w:val="000000" w:themeColor="text1"/>
        </w:rPr>
        <w:t>.</w:t>
      </w:r>
      <w:r w:rsidRPr="00000082">
        <w:rPr>
          <w:rFonts w:cs="Tahoma"/>
          <w:color w:val="000000" w:themeColor="text1"/>
        </w:rPr>
        <w:t xml:space="preserve"> április végéig 159,3</w:t>
      </w:r>
      <w:r w:rsidR="00BE5DC0" w:rsidRPr="00000082">
        <w:rPr>
          <w:rFonts w:cs="Tahoma"/>
          <w:color w:val="000000" w:themeColor="text1"/>
        </w:rPr>
        <w:t> </w:t>
      </w:r>
      <w:r w:rsidRPr="00000082">
        <w:rPr>
          <w:rFonts w:cs="Tahoma"/>
          <w:color w:val="000000" w:themeColor="text1"/>
        </w:rPr>
        <w:t>milliárd forint kiadás teljesült, ami a törvényi előirányzat 40,1%-</w:t>
      </w:r>
      <w:proofErr w:type="gramStart"/>
      <w:r w:rsidRPr="00000082">
        <w:rPr>
          <w:rFonts w:cs="Tahoma"/>
          <w:color w:val="000000" w:themeColor="text1"/>
        </w:rPr>
        <w:t>a</w:t>
      </w:r>
      <w:proofErr w:type="gramEnd"/>
      <w:r w:rsidRPr="00000082">
        <w:rPr>
          <w:rFonts w:cs="Tahoma"/>
          <w:color w:val="000000" w:themeColor="text1"/>
        </w:rPr>
        <w:t>, és a tervezettnek megfelelően alakult. E</w:t>
      </w:r>
      <w:r w:rsidR="00494F90">
        <w:rPr>
          <w:rFonts w:cs="Tahoma"/>
          <w:color w:val="000000" w:themeColor="text1"/>
        </w:rPr>
        <w:t xml:space="preserve"> hozzájárulás</w:t>
      </w:r>
      <w:r w:rsidRPr="00000082">
        <w:rPr>
          <w:rFonts w:cs="Tahoma"/>
          <w:color w:val="000000" w:themeColor="text1"/>
        </w:rPr>
        <w:t xml:space="preserve"> 15,5</w:t>
      </w:r>
      <w:r w:rsidR="00BE5DC0" w:rsidRPr="00000082">
        <w:rPr>
          <w:rFonts w:cs="Tahoma"/>
          <w:color w:val="000000" w:themeColor="text1"/>
        </w:rPr>
        <w:t> </w:t>
      </w:r>
      <w:r w:rsidRPr="00000082">
        <w:rPr>
          <w:rFonts w:cs="Tahoma"/>
          <w:color w:val="000000" w:themeColor="text1"/>
        </w:rPr>
        <w:t>milliárd forinttal marad</w:t>
      </w:r>
      <w:r w:rsidR="00BE5DC0" w:rsidRPr="00000082">
        <w:rPr>
          <w:rFonts w:cs="Tahoma"/>
          <w:color w:val="000000" w:themeColor="text1"/>
        </w:rPr>
        <w:t>t</w:t>
      </w:r>
      <w:r w:rsidRPr="00000082">
        <w:rPr>
          <w:rFonts w:cs="Tahoma"/>
          <w:color w:val="000000" w:themeColor="text1"/>
        </w:rPr>
        <w:t xml:space="preserve"> el a 2019.</w:t>
      </w:r>
      <w:r w:rsidR="00494F90">
        <w:rPr>
          <w:rFonts w:cs="Tahoma"/>
          <w:color w:val="000000" w:themeColor="text1"/>
        </w:rPr>
        <w:t> </w:t>
      </w:r>
      <w:r w:rsidRPr="00000082">
        <w:rPr>
          <w:rFonts w:cs="Tahoma"/>
          <w:color w:val="000000" w:themeColor="text1"/>
        </w:rPr>
        <w:t>év azonos időszakában teljesített kiadástól.</w:t>
      </w:r>
    </w:p>
    <w:p w14:paraId="33658BA9" w14:textId="0C07A8BE" w:rsidR="00546700" w:rsidRDefault="60A05D1C" w:rsidP="005A23F5">
      <w:r w:rsidRPr="60A05D1C">
        <w:rPr>
          <w:rFonts w:cs="Tahoma"/>
          <w:color w:val="000000" w:themeColor="text1"/>
        </w:rPr>
        <w:t xml:space="preserve">Az </w:t>
      </w:r>
      <w:r w:rsidRPr="60A05D1C">
        <w:rPr>
          <w:rFonts w:cs="Tahoma"/>
          <w:b/>
          <w:bCs/>
          <w:color w:val="000000" w:themeColor="text1"/>
        </w:rPr>
        <w:t>állami vagyonnal kapcsolatos kiadások</w:t>
      </w:r>
      <w:r w:rsidRPr="60A05D1C">
        <w:rPr>
          <w:rFonts w:cs="Tahoma"/>
          <w:color w:val="000000" w:themeColor="text1"/>
        </w:rPr>
        <w:t xml:space="preserve"> április végi összege 56,7 milliárd forint volt, </w:t>
      </w:r>
      <w:r>
        <w:t>amelynek összetételét az alábbi diagram mutatja be:</w:t>
      </w:r>
    </w:p>
    <w:p w14:paraId="2D755982" w14:textId="78F08682" w:rsidR="008B3179" w:rsidRDefault="008B3179" w:rsidP="005A23F5">
      <w:r>
        <w:rPr>
          <w:noProof/>
        </w:rPr>
        <w:drawing>
          <wp:inline distT="0" distB="0" distL="0" distR="0" wp14:anchorId="3E651ABE" wp14:editId="4C07FCE6">
            <wp:extent cx="5940425" cy="3771265"/>
            <wp:effectExtent l="0" t="0" r="3175" b="63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kiadások.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3771265"/>
                    </a:xfrm>
                    <a:prstGeom prst="rect">
                      <a:avLst/>
                    </a:prstGeom>
                  </pic:spPr>
                </pic:pic>
              </a:graphicData>
            </a:graphic>
          </wp:inline>
        </w:drawing>
      </w:r>
    </w:p>
    <w:p w14:paraId="55E2C0C8" w14:textId="09F79A1C" w:rsidR="005238B5" w:rsidRDefault="005238B5" w:rsidP="00A7152C">
      <w:pPr>
        <w:pStyle w:val="NormlWeb"/>
        <w:spacing w:before="120" w:beforeAutospacing="0" w:after="120" w:afterAutospacing="0"/>
        <w:jc w:val="both"/>
        <w:rPr>
          <w:sz w:val="26"/>
          <w:szCs w:val="26"/>
        </w:rPr>
      </w:pPr>
    </w:p>
    <w:p w14:paraId="7EF202C9" w14:textId="6E9B6A69" w:rsidR="00DB49C6" w:rsidRDefault="00DB49C6" w:rsidP="00DB49C6">
      <w:r>
        <w:t xml:space="preserve">A </w:t>
      </w:r>
      <w:r w:rsidRPr="00DB49C6">
        <w:rPr>
          <w:b/>
        </w:rPr>
        <w:t>Nemzeti Kutatási, Fejlesztési és Innovációs Alapból</w:t>
      </w:r>
      <w:r>
        <w:t xml:space="preserve"> az első négy hónapban 45,9 milliárd forint teljesült, melyből 4,</w:t>
      </w:r>
      <w:proofErr w:type="spellStart"/>
      <w:r>
        <w:t>4</w:t>
      </w:r>
      <w:proofErr w:type="spellEnd"/>
      <w:r>
        <w:t xml:space="preserve"> milliárd forint Kutatási Alaprészen, 34,3 milliárd forint pedig az Innovációs Alaprészen keresztül valósult meg. </w:t>
      </w:r>
    </w:p>
    <w:p w14:paraId="10F75849" w14:textId="04819BF3" w:rsidR="00DB49C6" w:rsidRDefault="00DB49C6" w:rsidP="00DB49C6">
      <w:r>
        <w:t xml:space="preserve">Az elkülönített állami pénzalapok kiadásai közül jelentősebb összeget tett ki a </w:t>
      </w:r>
      <w:r w:rsidRPr="00DB49C6">
        <w:rPr>
          <w:b/>
        </w:rPr>
        <w:t xml:space="preserve">Nemzeti Foglalkoztatási Alapból </w:t>
      </w:r>
      <w:proofErr w:type="gramStart"/>
      <w:r>
        <w:t>finanszírozott</w:t>
      </w:r>
      <w:proofErr w:type="gramEnd"/>
      <w:r>
        <w:t xml:space="preserve"> Start-munkaprogram kiadása, mely április végéig 46,4 milliárd forintban teljesült. E kiadás az előző év azonos időszakában teljesített összegtől 8,2 milliárd forinttal maradt el. </w:t>
      </w:r>
    </w:p>
    <w:p w14:paraId="7C02915A" w14:textId="170FF833" w:rsidR="00DB49C6" w:rsidRDefault="00DB49C6" w:rsidP="00DB49C6">
      <w:r>
        <w:t xml:space="preserve">A </w:t>
      </w:r>
      <w:r w:rsidRPr="00DB49C6">
        <w:rPr>
          <w:b/>
        </w:rPr>
        <w:t>Bethlen Gábor Alap</w:t>
      </w:r>
      <w:r>
        <w:t xml:space="preserve"> kiadás</w:t>
      </w:r>
      <w:r w:rsidR="005C4CB5">
        <w:t>a</w:t>
      </w:r>
      <w:r>
        <w:t>iból a nemzetpolitikai célokra 6,9 milliárd forint került kifizetésre, mely többek között számos egyedi támogatásra szolgált.</w:t>
      </w:r>
    </w:p>
    <w:p w14:paraId="52863666" w14:textId="13C77667" w:rsidR="00BE684B" w:rsidRDefault="7710508F" w:rsidP="00A7152C">
      <w:pPr>
        <w:spacing w:before="120"/>
        <w:rPr>
          <w:szCs w:val="26"/>
        </w:rPr>
      </w:pPr>
      <w:r>
        <w:t xml:space="preserve">A </w:t>
      </w:r>
      <w:r w:rsidRPr="7710508F">
        <w:rPr>
          <w:b/>
          <w:bCs/>
        </w:rPr>
        <w:t>Nyugdíjbiztosítási Alap</w:t>
      </w:r>
      <w:r>
        <w:t xml:space="preserve"> 2020. </w:t>
      </w:r>
      <w:r w:rsidR="00BD617C">
        <w:t>I</w:t>
      </w:r>
      <w:r w:rsidR="00485535">
        <w:t>-</w:t>
      </w:r>
      <w:r w:rsidR="00BD617C">
        <w:t xml:space="preserve">IV. </w:t>
      </w:r>
      <w:proofErr w:type="gramStart"/>
      <w:r w:rsidR="00BD617C">
        <w:t>havi</w:t>
      </w:r>
      <w:proofErr w:type="gramEnd"/>
      <w:r w:rsidR="00BD617C">
        <w:t xml:space="preserve"> </w:t>
      </w:r>
      <w:r w:rsidRPr="7710508F">
        <w:rPr>
          <w:b/>
          <w:bCs/>
        </w:rPr>
        <w:t>nyugdíjkiadásai</w:t>
      </w:r>
      <w:r>
        <w:t xml:space="preserve"> </w:t>
      </w:r>
      <w:r w:rsidR="00BD617C">
        <w:t>1203,3</w:t>
      </w:r>
      <w:r>
        <w:t xml:space="preserve"> milliárd forintban teljesültek, ami </w:t>
      </w:r>
      <w:r w:rsidR="00BD617C">
        <w:t>70,9</w:t>
      </w:r>
      <w:r>
        <w:t xml:space="preserve"> milliárd forinttal haladta meg az előző év azonos időszakának kiadásait. Az első </w:t>
      </w:r>
      <w:r w:rsidR="00696775">
        <w:t>négyh</w:t>
      </w:r>
      <w:r>
        <w:t>avi kifizetések tartalmazzák a tavalyi év magasabb inflációs hatása miatti 0,7%-os kiegészítő nyugdíjemelés, és a tárgyévre tervezett 2,8%</w:t>
      </w:r>
      <w:r w:rsidR="00BD32DA">
        <w:noBreakHyphen/>
      </w:r>
      <w:r>
        <w:t>os nyugdíjemelés összegét.</w:t>
      </w:r>
    </w:p>
    <w:p w14:paraId="13221B3D" w14:textId="44FC1529" w:rsidR="00F817BC" w:rsidRDefault="51CD5D50" w:rsidP="00F817BC">
      <w:r>
        <w:t>A nyugellátási kiadásokon belül a korbetöltött öregségi nyugellátások 7,</w:t>
      </w:r>
      <w:r w:rsidR="00BD617C">
        <w:t>3</w:t>
      </w:r>
      <w:r>
        <w:t xml:space="preserve">%-kal, míg a nők 40 éves jogosultsági idejével igénybe vehető korhatár alatti ellátások </w:t>
      </w:r>
      <w:r w:rsidR="00BD617C">
        <w:t>3,4</w:t>
      </w:r>
      <w:r w:rsidR="009E7E25">
        <w:t xml:space="preserve">%-kal haladták meg </w:t>
      </w:r>
      <w:r>
        <w:t>a</w:t>
      </w:r>
      <w:r w:rsidR="009E7E25">
        <w:t xml:space="preserve">z előző év azonos időszakának </w:t>
      </w:r>
      <w:r>
        <w:t>kiadás</w:t>
      </w:r>
      <w:r w:rsidR="009E7E25">
        <w:t>ait.</w:t>
      </w:r>
      <w:r>
        <w:t xml:space="preserve"> Az eltérő </w:t>
      </w:r>
      <w:r w:rsidR="009E7E25">
        <w:t xml:space="preserve">volumenű </w:t>
      </w:r>
      <w:r>
        <w:t xml:space="preserve">tendenciák </w:t>
      </w:r>
      <w:r>
        <w:lastRenderedPageBreak/>
        <w:t>magyarázata, hogy 2019-ben nem változott az öregségi nyugellátásra jogosultság 64 éves korhatára, így az év egészében folyamatosan kerültek megállapításra új ellátások. Az öregségi nyugdíjkorhatár betöltésével a korábban nők40</w:t>
      </w:r>
      <w:r w:rsidR="004B5A00">
        <w:noBreakHyphen/>
      </w:r>
      <w:r>
        <w:t>el nyugdíjjogosulttá válók is jelentős számban kerültek át a korbetöltött öregségi nyugellátások csoportjába.</w:t>
      </w:r>
      <w:r w:rsidR="00F817BC" w:rsidRPr="1BE39363">
        <w:t xml:space="preserve"> </w:t>
      </w:r>
      <w:r>
        <w:t>A korbetöltött öregségi nyugellátások korhatára 2020. január 1-</w:t>
      </w:r>
      <w:r w:rsidR="007A6439">
        <w:t>j</w:t>
      </w:r>
      <w:r>
        <w:t xml:space="preserve">étől fél évvel, 64,5 évre emelkedett. A korhatáremelés következtében 2020 első félévében – a folyamatban lévő ügyek lezárásán túl – nem kerül sor új ellátás megállapítására, emiatt </w:t>
      </w:r>
      <w:r w:rsidRPr="613A0C12">
        <w:t>az öregségi nyugellátásra jogosultak létszáma az első félévben várhatóan jelentősen csökkenni fog</w:t>
      </w:r>
      <w:r w:rsidRPr="1BE39363">
        <w:t>.</w:t>
      </w:r>
      <w:r>
        <w:t xml:space="preserve"> A </w:t>
      </w:r>
      <w:r w:rsidRPr="613A0C12">
        <w:t>nők</w:t>
      </w:r>
      <w:r w:rsidR="00AB06D9">
        <w:t xml:space="preserve"> </w:t>
      </w:r>
      <w:r w:rsidRPr="613A0C12">
        <w:t>40</w:t>
      </w:r>
      <w:r>
        <w:t xml:space="preserve"> éves jogosultsági idejével igénybe vehető korhatár alatti ellátásokra a korhatáremelés nincs hatással, így ezen az ellátási jogcímen az első félév végéig </w:t>
      </w:r>
      <w:r w:rsidRPr="613A0C12">
        <w:t>folyamatos ellátásszám</w:t>
      </w:r>
      <w:r w:rsidR="00336992" w:rsidRPr="1BE39363">
        <w:t>-</w:t>
      </w:r>
      <w:r w:rsidRPr="613A0C12">
        <w:t>növekedés lesz tapasztalható</w:t>
      </w:r>
      <w:r w:rsidRPr="1BE39363">
        <w:t xml:space="preserve">. </w:t>
      </w:r>
      <w:r w:rsidR="00F817BC">
        <w:t>A nyugellátási kiadások ellátási jogcímeinek alakulását a következő ábra mutatja be:</w:t>
      </w:r>
    </w:p>
    <w:p w14:paraId="63CC5F27" w14:textId="56505A39" w:rsidR="00060819" w:rsidRDefault="00060819" w:rsidP="00F817BC">
      <w:r>
        <w:rPr>
          <w:noProof/>
        </w:rPr>
        <w:drawing>
          <wp:inline distT="0" distB="0" distL="0" distR="0" wp14:anchorId="63A23112" wp14:editId="1EDFF41E">
            <wp:extent cx="5940425" cy="2352675"/>
            <wp:effectExtent l="0" t="0" r="3175" b="952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gellatasi_kiadasok.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2352675"/>
                    </a:xfrm>
                    <a:prstGeom prst="rect">
                      <a:avLst/>
                    </a:prstGeom>
                  </pic:spPr>
                </pic:pic>
              </a:graphicData>
            </a:graphic>
          </wp:inline>
        </w:drawing>
      </w:r>
    </w:p>
    <w:p w14:paraId="10A4DB9F" w14:textId="77777777" w:rsidR="00060819" w:rsidRDefault="00060819" w:rsidP="00F817BC"/>
    <w:p w14:paraId="24C239F1" w14:textId="43BD53EC" w:rsidR="0080719D" w:rsidRDefault="60A05D1C" w:rsidP="00D93DBE">
      <w:r>
        <w:t xml:space="preserve">Az </w:t>
      </w:r>
      <w:r w:rsidRPr="60A05D1C">
        <w:rPr>
          <w:b/>
          <w:bCs/>
        </w:rPr>
        <w:t>Egészségbiztosítási Alap kiadásainak</w:t>
      </w:r>
      <w:r>
        <w:t xml:space="preserve"> összetételét a következő ábra mutatja be:</w:t>
      </w:r>
    </w:p>
    <w:p w14:paraId="02EFC74C" w14:textId="77777777" w:rsidR="00AF60BF" w:rsidRPr="0080719D" w:rsidRDefault="00AF60BF" w:rsidP="00D93DBE"/>
    <w:p w14:paraId="595866CF" w14:textId="2BE6ABE6" w:rsidR="00AE0BDB" w:rsidRDefault="00DE5522" w:rsidP="00D93DBE">
      <w:r>
        <w:rPr>
          <w:noProof/>
        </w:rPr>
        <w:drawing>
          <wp:inline distT="0" distB="0" distL="0" distR="0" wp14:anchorId="4B5D6CA6" wp14:editId="0926AB70">
            <wp:extent cx="5940425" cy="2319020"/>
            <wp:effectExtent l="0" t="0" r="3175" b="508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ap_kiadásai.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2319020"/>
                    </a:xfrm>
                    <a:prstGeom prst="rect">
                      <a:avLst/>
                    </a:prstGeom>
                  </pic:spPr>
                </pic:pic>
              </a:graphicData>
            </a:graphic>
          </wp:inline>
        </w:drawing>
      </w:r>
    </w:p>
    <w:p w14:paraId="349B3755" w14:textId="77777777" w:rsidR="00DE5522" w:rsidRPr="000C037A" w:rsidRDefault="00DE5522" w:rsidP="00D93DBE"/>
    <w:p w14:paraId="6A246E92" w14:textId="50100E32" w:rsidR="25153DD4" w:rsidRDefault="60A05D1C" w:rsidP="25153DD4">
      <w:r w:rsidRPr="0009087F">
        <w:t xml:space="preserve">Az Egészségbiztosítási Alapon belül a legnagyobb kiadási előirányzatot képező </w:t>
      </w:r>
      <w:r w:rsidRPr="0009087F">
        <w:rPr>
          <w:b/>
        </w:rPr>
        <w:t>gyógyító-megelőző ellátásokra</w:t>
      </w:r>
      <w:r w:rsidRPr="0009087F">
        <w:t xml:space="preserve"> kifizetett összeg 520,1</w:t>
      </w:r>
      <w:r w:rsidR="006D74D0">
        <w:t> </w:t>
      </w:r>
      <w:r w:rsidRPr="0009087F">
        <w:t>milliárd forint volt az első négy hónapban, ez 111,5</w:t>
      </w:r>
      <w:r w:rsidR="006D74D0">
        <w:t> </w:t>
      </w:r>
      <w:r w:rsidRPr="0009087F">
        <w:t xml:space="preserve">milliárd forinttal több, mint a bázisidőszak értéke. Az előző évhez </w:t>
      </w:r>
      <w:r w:rsidRPr="0009087F">
        <w:lastRenderedPageBreak/>
        <w:t xml:space="preserve">viszonyított magasabb összegű kiadás meghatározó részben a célelőirányzatoknál (az adósságrendezésre február és március hónapban biztosított többletfinanszírozással, valamint a 2019. júliusi 8%-os és a 2020. januári </w:t>
      </w:r>
      <w:r w:rsidR="0026700F">
        <w:t>–</w:t>
      </w:r>
      <w:r w:rsidRPr="0009087F">
        <w:t xml:space="preserve"> a 2018. évi bérhez viszonyított </w:t>
      </w:r>
      <w:r w:rsidR="0026700F">
        <w:t>–</w:t>
      </w:r>
      <w:r w:rsidRPr="0009087F">
        <w:t xml:space="preserve"> 14%</w:t>
      </w:r>
      <w:r w:rsidR="00CD1539">
        <w:noBreakHyphen/>
      </w:r>
      <w:r w:rsidRPr="0009087F">
        <w:t xml:space="preserve">os béremeléssel összefüggően), valamint az összevont szakellátásnál (azon belül elsősorban a </w:t>
      </w:r>
      <w:proofErr w:type="spellStart"/>
      <w:r w:rsidRPr="0009087F">
        <w:t>nagyértékű</w:t>
      </w:r>
      <w:proofErr w:type="spellEnd"/>
      <w:r w:rsidRPr="0009087F">
        <w:t xml:space="preserve"> </w:t>
      </w:r>
      <w:proofErr w:type="spellStart"/>
      <w:r w:rsidRPr="0009087F">
        <w:t>gyógyszerfinanszírozásnál</w:t>
      </w:r>
      <w:proofErr w:type="spellEnd"/>
      <w:r w:rsidRPr="0009087F">
        <w:t>) jelentkezik.</w:t>
      </w:r>
    </w:p>
    <w:p w14:paraId="11234F61" w14:textId="3AEAAACA" w:rsidR="25153DD4" w:rsidRDefault="60A05D1C" w:rsidP="25153DD4">
      <w:r w:rsidRPr="00F971AF">
        <w:rPr>
          <w:b/>
        </w:rPr>
        <w:t>Gyógyszertámogatásra</w:t>
      </w:r>
      <w:r w:rsidRPr="00F971AF">
        <w:t xml:space="preserve"> az év első négy hónapjában 140,5</w:t>
      </w:r>
      <w:r w:rsidR="00B51201">
        <w:t> </w:t>
      </w:r>
      <w:r w:rsidRPr="00F971AF">
        <w:t>milliárd forintot fordítottak, amely 16,2</w:t>
      </w:r>
      <w:r w:rsidR="00B51201">
        <w:t> </w:t>
      </w:r>
      <w:r w:rsidRPr="00F971AF">
        <w:t>milliárd forinttal több az előző év azonos időszakában kifizetett összegnél.</w:t>
      </w:r>
    </w:p>
    <w:p w14:paraId="3D681EC3" w14:textId="72558F37" w:rsidR="002218A2" w:rsidRPr="00F971AF" w:rsidRDefault="60A05D1C" w:rsidP="60A05D1C">
      <w:r w:rsidRPr="00F971AF">
        <w:t>Az Egészségbiztosítási Alap összes kiadásának 25,4%-át a pénzbeli ellátásokra fordított összeg adta. Az ellátások részletes bemutatását a következő táblázat tartalmazza:</w:t>
      </w:r>
    </w:p>
    <w:p w14:paraId="50F1502C" w14:textId="77777777" w:rsidR="00FD4C0D" w:rsidRDefault="00FD4C0D" w:rsidP="1CC825AF">
      <w:pPr>
        <w:rPr>
          <w:rFonts w:eastAsia="Calibri"/>
        </w:rPr>
      </w:pPr>
    </w:p>
    <w:tbl>
      <w:tblPr>
        <w:tblW w:w="7230" w:type="dxa"/>
        <w:tblInd w:w="779" w:type="dxa"/>
        <w:tblLayout w:type="fixed"/>
        <w:tblCellMar>
          <w:left w:w="70" w:type="dxa"/>
          <w:right w:w="70" w:type="dxa"/>
        </w:tblCellMar>
        <w:tblLook w:val="04A0" w:firstRow="1" w:lastRow="0" w:firstColumn="1" w:lastColumn="0" w:noHBand="0" w:noVBand="1"/>
      </w:tblPr>
      <w:tblGrid>
        <w:gridCol w:w="3827"/>
        <w:gridCol w:w="993"/>
        <w:gridCol w:w="992"/>
        <w:gridCol w:w="753"/>
        <w:gridCol w:w="665"/>
      </w:tblGrid>
      <w:tr w:rsidR="007A0A81" w:rsidRPr="00803AEA" w14:paraId="3F602428" w14:textId="77777777" w:rsidTr="60A05D1C">
        <w:trPr>
          <w:trHeight w:val="227"/>
        </w:trPr>
        <w:tc>
          <w:tcPr>
            <w:tcW w:w="7230" w:type="dxa"/>
            <w:gridSpan w:val="5"/>
            <w:tcBorders>
              <w:top w:val="nil"/>
              <w:left w:val="nil"/>
              <w:bottom w:val="nil"/>
              <w:right w:val="nil"/>
            </w:tcBorders>
            <w:shd w:val="clear" w:color="auto" w:fill="auto"/>
            <w:vAlign w:val="center"/>
            <w:hideMark/>
          </w:tcPr>
          <w:p w14:paraId="692EB199" w14:textId="77777777" w:rsidR="007A0A81" w:rsidRPr="00803AEA" w:rsidRDefault="60A05D1C" w:rsidP="60A05D1C">
            <w:pPr>
              <w:jc w:val="center"/>
              <w:rPr>
                <w:b/>
                <w:bCs/>
                <w:color w:val="000000" w:themeColor="text1"/>
                <w:sz w:val="20"/>
              </w:rPr>
            </w:pPr>
            <w:r w:rsidRPr="60A05D1C">
              <w:rPr>
                <w:b/>
                <w:bCs/>
                <w:color w:val="000000" w:themeColor="text1"/>
                <w:sz w:val="20"/>
              </w:rPr>
              <w:t>Az Egészségbiztosítási Alap pénzbeli ellátásokra fordított kiadásainak alakulása (milliárd forint)</w:t>
            </w:r>
          </w:p>
        </w:tc>
      </w:tr>
      <w:tr w:rsidR="007A0A81" w:rsidRPr="00DB479B" w14:paraId="49990F57" w14:textId="77777777" w:rsidTr="60A05D1C">
        <w:trPr>
          <w:trHeight w:val="306"/>
        </w:trPr>
        <w:tc>
          <w:tcPr>
            <w:tcW w:w="3827"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657E9BF" w14:textId="77777777" w:rsidR="007A0A81" w:rsidRPr="00DB479B" w:rsidRDefault="60A05D1C" w:rsidP="60A05D1C">
            <w:pPr>
              <w:spacing w:after="0"/>
              <w:jc w:val="center"/>
              <w:rPr>
                <w:b/>
                <w:bCs/>
                <w:sz w:val="20"/>
              </w:rPr>
            </w:pPr>
            <w:r w:rsidRPr="60A05D1C">
              <w:rPr>
                <w:b/>
                <w:bCs/>
                <w:sz w:val="20"/>
              </w:rPr>
              <w:t>Megnevezés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F2EB5" w14:textId="5F11A8BF" w:rsidR="007A0A81" w:rsidRPr="00DB479B" w:rsidRDefault="60A05D1C" w:rsidP="60A05D1C">
            <w:pPr>
              <w:spacing w:after="0"/>
              <w:jc w:val="center"/>
              <w:rPr>
                <w:b/>
                <w:bCs/>
                <w:sz w:val="20"/>
              </w:rPr>
            </w:pPr>
            <w:r w:rsidRPr="60A05D1C">
              <w:rPr>
                <w:b/>
                <w:bCs/>
                <w:sz w:val="20"/>
              </w:rPr>
              <w:t xml:space="preserve">2019. </w:t>
            </w:r>
            <w:r w:rsidR="25153DD4">
              <w:br/>
            </w:r>
            <w:r w:rsidRPr="60A05D1C">
              <w:rPr>
                <w:b/>
                <w:bCs/>
                <w:sz w:val="20"/>
              </w:rPr>
              <w:t>I-IV. hó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FCC4A" w14:textId="31F52411" w:rsidR="007A0A81" w:rsidRPr="00DB479B" w:rsidRDefault="60A05D1C" w:rsidP="60A05D1C">
            <w:pPr>
              <w:spacing w:after="0"/>
              <w:jc w:val="center"/>
              <w:rPr>
                <w:b/>
                <w:bCs/>
                <w:sz w:val="20"/>
              </w:rPr>
            </w:pPr>
            <w:r w:rsidRPr="60A05D1C">
              <w:rPr>
                <w:b/>
                <w:bCs/>
                <w:sz w:val="20"/>
              </w:rPr>
              <w:t>2020.</w:t>
            </w:r>
            <w:r w:rsidR="25153DD4">
              <w:br/>
            </w:r>
            <w:r w:rsidRPr="60A05D1C">
              <w:rPr>
                <w:b/>
                <w:bCs/>
                <w:sz w:val="20"/>
              </w:rPr>
              <w:t>I-IV. hó</w:t>
            </w:r>
          </w:p>
        </w:tc>
        <w:tc>
          <w:tcPr>
            <w:tcW w:w="1418"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96D1A5C" w14:textId="77777777" w:rsidR="007A0A81" w:rsidRPr="00DB479B" w:rsidRDefault="60A05D1C" w:rsidP="60A05D1C">
            <w:pPr>
              <w:spacing w:after="0"/>
              <w:jc w:val="center"/>
              <w:rPr>
                <w:b/>
                <w:bCs/>
                <w:sz w:val="20"/>
              </w:rPr>
            </w:pPr>
            <w:r w:rsidRPr="60A05D1C">
              <w:rPr>
                <w:b/>
                <w:bCs/>
                <w:sz w:val="20"/>
              </w:rPr>
              <w:t>Eltérés</w:t>
            </w:r>
          </w:p>
        </w:tc>
      </w:tr>
      <w:tr w:rsidR="007A0A81" w:rsidRPr="00DB479B" w14:paraId="31743F96" w14:textId="77777777" w:rsidTr="60A05D1C">
        <w:trPr>
          <w:trHeight w:val="306"/>
        </w:trPr>
        <w:tc>
          <w:tcPr>
            <w:tcW w:w="3827" w:type="dxa"/>
            <w:vMerge/>
            <w:tcBorders>
              <w:top w:val="single" w:sz="4" w:space="0" w:color="auto"/>
              <w:left w:val="single" w:sz="4" w:space="0" w:color="auto"/>
              <w:bottom w:val="single" w:sz="4" w:space="0" w:color="000000"/>
              <w:right w:val="single" w:sz="4" w:space="0" w:color="auto"/>
            </w:tcBorders>
            <w:vAlign w:val="center"/>
            <w:hideMark/>
          </w:tcPr>
          <w:p w14:paraId="0FEE673B" w14:textId="77777777" w:rsidR="007A0A81" w:rsidRPr="00DB479B" w:rsidRDefault="007A0A81" w:rsidP="00CD6EB3">
            <w:pPr>
              <w:spacing w:after="0"/>
              <w:jc w:val="left"/>
              <w:rPr>
                <w:b/>
                <w:b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B081E" w14:textId="77777777" w:rsidR="007A0A81" w:rsidRPr="00DB479B" w:rsidRDefault="007A0A81" w:rsidP="00CD6EB3">
            <w:pPr>
              <w:spacing w:after="0"/>
              <w:jc w:val="left"/>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733DE5" w14:textId="77777777" w:rsidR="007A0A81" w:rsidRPr="00DB479B" w:rsidRDefault="007A0A81" w:rsidP="00CD6EB3">
            <w:pPr>
              <w:spacing w:after="0"/>
              <w:jc w:val="left"/>
              <w:rPr>
                <w:b/>
                <w:bCs/>
                <w:sz w:val="20"/>
              </w:rPr>
            </w:pPr>
          </w:p>
        </w:tc>
        <w:tc>
          <w:tcPr>
            <w:tcW w:w="753" w:type="dxa"/>
            <w:tcBorders>
              <w:top w:val="nil"/>
              <w:left w:val="nil"/>
              <w:bottom w:val="single" w:sz="4" w:space="0" w:color="auto"/>
              <w:right w:val="single" w:sz="4" w:space="0" w:color="auto"/>
            </w:tcBorders>
            <w:shd w:val="clear" w:color="auto" w:fill="auto"/>
            <w:noWrap/>
            <w:vAlign w:val="bottom"/>
            <w:hideMark/>
          </w:tcPr>
          <w:p w14:paraId="541A293F" w14:textId="77777777" w:rsidR="007A0A81" w:rsidRPr="00DB479B" w:rsidRDefault="60A05D1C" w:rsidP="60A05D1C">
            <w:pPr>
              <w:spacing w:after="0"/>
              <w:jc w:val="center"/>
              <w:rPr>
                <w:b/>
                <w:bCs/>
                <w:sz w:val="20"/>
              </w:rPr>
            </w:pPr>
            <w:r w:rsidRPr="60A05D1C">
              <w:rPr>
                <w:b/>
                <w:bCs/>
                <w:sz w:val="20"/>
              </w:rPr>
              <w:t>Mrd Ft</w:t>
            </w:r>
          </w:p>
        </w:tc>
        <w:tc>
          <w:tcPr>
            <w:tcW w:w="665" w:type="dxa"/>
            <w:tcBorders>
              <w:top w:val="nil"/>
              <w:left w:val="nil"/>
              <w:bottom w:val="single" w:sz="4" w:space="0" w:color="auto"/>
              <w:right w:val="single" w:sz="4" w:space="0" w:color="auto"/>
            </w:tcBorders>
            <w:shd w:val="clear" w:color="auto" w:fill="auto"/>
            <w:noWrap/>
            <w:vAlign w:val="bottom"/>
            <w:hideMark/>
          </w:tcPr>
          <w:p w14:paraId="0AAD326D" w14:textId="77777777" w:rsidR="007A0A81" w:rsidRPr="00DB479B" w:rsidRDefault="60A05D1C" w:rsidP="60A05D1C">
            <w:pPr>
              <w:spacing w:after="0"/>
              <w:jc w:val="center"/>
              <w:rPr>
                <w:b/>
                <w:bCs/>
                <w:sz w:val="20"/>
              </w:rPr>
            </w:pPr>
            <w:r w:rsidRPr="60A05D1C">
              <w:rPr>
                <w:b/>
                <w:bCs/>
                <w:sz w:val="20"/>
              </w:rPr>
              <w:t>%</w:t>
            </w:r>
          </w:p>
        </w:tc>
      </w:tr>
      <w:tr w:rsidR="007A0A81" w:rsidRPr="00DB479B" w14:paraId="6113CEE5" w14:textId="77777777" w:rsidTr="60A05D1C">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3B83BFA" w14:textId="77777777" w:rsidR="007A0A81" w:rsidRPr="00DB479B" w:rsidRDefault="60A05D1C" w:rsidP="60A05D1C">
            <w:pPr>
              <w:spacing w:after="0"/>
              <w:jc w:val="left"/>
              <w:rPr>
                <w:b/>
                <w:bCs/>
                <w:sz w:val="20"/>
              </w:rPr>
            </w:pPr>
            <w:r w:rsidRPr="60A05D1C">
              <w:rPr>
                <w:b/>
                <w:bCs/>
                <w:sz w:val="20"/>
              </w:rPr>
              <w:t>Pénzbeli ellátások</w:t>
            </w:r>
          </w:p>
        </w:tc>
        <w:tc>
          <w:tcPr>
            <w:tcW w:w="993" w:type="dxa"/>
            <w:tcBorders>
              <w:top w:val="nil"/>
              <w:left w:val="nil"/>
              <w:bottom w:val="single" w:sz="4" w:space="0" w:color="auto"/>
              <w:right w:val="single" w:sz="4" w:space="0" w:color="auto"/>
            </w:tcBorders>
            <w:shd w:val="clear" w:color="auto" w:fill="auto"/>
            <w:vAlign w:val="bottom"/>
          </w:tcPr>
          <w:p w14:paraId="5DE1C188" w14:textId="47B91DAD" w:rsidR="007A0A81" w:rsidRPr="00C11F06" w:rsidRDefault="60A05D1C" w:rsidP="60A05D1C">
            <w:pPr>
              <w:spacing w:after="0"/>
              <w:jc w:val="right"/>
              <w:rPr>
                <w:b/>
                <w:bCs/>
                <w:sz w:val="20"/>
              </w:rPr>
            </w:pPr>
            <w:r w:rsidRPr="60A05D1C">
              <w:rPr>
                <w:b/>
                <w:bCs/>
                <w:sz w:val="20"/>
              </w:rPr>
              <w:t>225,1</w:t>
            </w:r>
          </w:p>
        </w:tc>
        <w:tc>
          <w:tcPr>
            <w:tcW w:w="992" w:type="dxa"/>
            <w:tcBorders>
              <w:top w:val="nil"/>
              <w:left w:val="nil"/>
              <w:bottom w:val="single" w:sz="4" w:space="0" w:color="auto"/>
              <w:right w:val="single" w:sz="4" w:space="0" w:color="auto"/>
            </w:tcBorders>
            <w:shd w:val="clear" w:color="auto" w:fill="auto"/>
            <w:vAlign w:val="bottom"/>
          </w:tcPr>
          <w:p w14:paraId="38CA64D6" w14:textId="6DCBC42A" w:rsidR="007A0A81" w:rsidRPr="00DB479B" w:rsidRDefault="60A05D1C" w:rsidP="60A05D1C">
            <w:pPr>
              <w:spacing w:after="0" w:line="259" w:lineRule="auto"/>
              <w:jc w:val="right"/>
              <w:rPr>
                <w:b/>
                <w:bCs/>
                <w:sz w:val="20"/>
              </w:rPr>
            </w:pPr>
            <w:r w:rsidRPr="60A05D1C">
              <w:rPr>
                <w:b/>
                <w:bCs/>
                <w:sz w:val="20"/>
              </w:rPr>
              <w:t>238,4</w:t>
            </w:r>
          </w:p>
        </w:tc>
        <w:tc>
          <w:tcPr>
            <w:tcW w:w="753" w:type="dxa"/>
            <w:tcBorders>
              <w:top w:val="nil"/>
              <w:left w:val="nil"/>
              <w:bottom w:val="single" w:sz="4" w:space="0" w:color="auto"/>
              <w:right w:val="single" w:sz="4" w:space="0" w:color="auto"/>
            </w:tcBorders>
            <w:shd w:val="clear" w:color="auto" w:fill="auto"/>
            <w:noWrap/>
            <w:vAlign w:val="bottom"/>
          </w:tcPr>
          <w:p w14:paraId="478B24D5" w14:textId="72DD942D" w:rsidR="007A0A81" w:rsidRPr="00DB479B" w:rsidRDefault="60A05D1C" w:rsidP="60A05D1C">
            <w:pPr>
              <w:spacing w:after="0" w:line="259" w:lineRule="auto"/>
              <w:jc w:val="right"/>
              <w:rPr>
                <w:b/>
                <w:bCs/>
                <w:sz w:val="20"/>
              </w:rPr>
            </w:pPr>
            <w:r w:rsidRPr="60A05D1C">
              <w:rPr>
                <w:b/>
                <w:bCs/>
                <w:sz w:val="20"/>
              </w:rPr>
              <w:t>13,3</w:t>
            </w:r>
          </w:p>
        </w:tc>
        <w:tc>
          <w:tcPr>
            <w:tcW w:w="665" w:type="dxa"/>
            <w:tcBorders>
              <w:top w:val="nil"/>
              <w:left w:val="nil"/>
              <w:bottom w:val="single" w:sz="4" w:space="0" w:color="auto"/>
              <w:right w:val="single" w:sz="4" w:space="0" w:color="auto"/>
            </w:tcBorders>
            <w:shd w:val="clear" w:color="auto" w:fill="auto"/>
            <w:noWrap/>
            <w:vAlign w:val="bottom"/>
          </w:tcPr>
          <w:p w14:paraId="4010D6F8" w14:textId="7174E42B" w:rsidR="007A0A81" w:rsidRPr="00DB479B" w:rsidRDefault="60A05D1C" w:rsidP="60A05D1C">
            <w:pPr>
              <w:spacing w:after="0" w:line="259" w:lineRule="auto"/>
              <w:jc w:val="right"/>
              <w:rPr>
                <w:b/>
                <w:bCs/>
                <w:sz w:val="20"/>
              </w:rPr>
            </w:pPr>
            <w:r w:rsidRPr="60A05D1C">
              <w:rPr>
                <w:b/>
                <w:bCs/>
                <w:sz w:val="20"/>
              </w:rPr>
              <w:t>105,9</w:t>
            </w:r>
          </w:p>
        </w:tc>
      </w:tr>
      <w:tr w:rsidR="007A0A81" w:rsidRPr="00DB479B" w14:paraId="16840362" w14:textId="77777777" w:rsidTr="60A05D1C">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FF5091F" w14:textId="77777777" w:rsidR="007A0A81" w:rsidRPr="00DB479B" w:rsidRDefault="60A05D1C" w:rsidP="60A05D1C">
            <w:pPr>
              <w:spacing w:after="0"/>
              <w:ind w:firstLine="285"/>
              <w:jc w:val="left"/>
              <w:rPr>
                <w:i/>
                <w:iCs/>
                <w:sz w:val="20"/>
              </w:rPr>
            </w:pPr>
            <w:r w:rsidRPr="60A05D1C">
              <w:rPr>
                <w:i/>
                <w:iCs/>
                <w:sz w:val="20"/>
              </w:rPr>
              <w:t>Ebből:</w:t>
            </w:r>
          </w:p>
        </w:tc>
        <w:tc>
          <w:tcPr>
            <w:tcW w:w="993" w:type="dxa"/>
            <w:tcBorders>
              <w:top w:val="nil"/>
              <w:left w:val="nil"/>
              <w:bottom w:val="single" w:sz="4" w:space="0" w:color="auto"/>
              <w:right w:val="single" w:sz="4" w:space="0" w:color="auto"/>
            </w:tcBorders>
            <w:shd w:val="clear" w:color="auto" w:fill="auto"/>
            <w:vAlign w:val="center"/>
          </w:tcPr>
          <w:p w14:paraId="066BD39D" w14:textId="457E76B4" w:rsidR="007A0A81" w:rsidRPr="00DB479B" w:rsidRDefault="007A0A81" w:rsidP="00CD6EB3">
            <w:pPr>
              <w:spacing w:after="0"/>
              <w:jc w:val="center"/>
              <w:rPr>
                <w:b/>
                <w:bCs/>
                <w:sz w:val="20"/>
              </w:rPr>
            </w:pPr>
          </w:p>
        </w:tc>
        <w:tc>
          <w:tcPr>
            <w:tcW w:w="992" w:type="dxa"/>
            <w:tcBorders>
              <w:top w:val="nil"/>
              <w:left w:val="nil"/>
              <w:bottom w:val="single" w:sz="4" w:space="0" w:color="auto"/>
              <w:right w:val="single" w:sz="4" w:space="0" w:color="auto"/>
            </w:tcBorders>
            <w:shd w:val="clear" w:color="auto" w:fill="auto"/>
            <w:vAlign w:val="center"/>
          </w:tcPr>
          <w:p w14:paraId="71A1F058" w14:textId="506ECB6A" w:rsidR="007A0A81" w:rsidRPr="00DB479B" w:rsidRDefault="007A0A81" w:rsidP="00CD6EB3">
            <w:pPr>
              <w:spacing w:after="0"/>
              <w:jc w:val="center"/>
              <w:rPr>
                <w:b/>
                <w:bCs/>
                <w:sz w:val="20"/>
              </w:rPr>
            </w:pPr>
          </w:p>
        </w:tc>
        <w:tc>
          <w:tcPr>
            <w:tcW w:w="753" w:type="dxa"/>
            <w:tcBorders>
              <w:top w:val="nil"/>
              <w:left w:val="nil"/>
              <w:bottom w:val="single" w:sz="4" w:space="0" w:color="auto"/>
              <w:right w:val="single" w:sz="4" w:space="0" w:color="auto"/>
            </w:tcBorders>
            <w:shd w:val="clear" w:color="auto" w:fill="auto"/>
            <w:noWrap/>
            <w:vAlign w:val="bottom"/>
          </w:tcPr>
          <w:p w14:paraId="6C8E56A7" w14:textId="7104639F" w:rsidR="007A0A81" w:rsidRPr="00DB479B" w:rsidRDefault="007A0A81" w:rsidP="00CD6EB3">
            <w:pPr>
              <w:spacing w:after="0"/>
              <w:jc w:val="right"/>
              <w:rPr>
                <w:sz w:val="20"/>
              </w:rPr>
            </w:pPr>
          </w:p>
        </w:tc>
        <w:tc>
          <w:tcPr>
            <w:tcW w:w="665" w:type="dxa"/>
            <w:tcBorders>
              <w:top w:val="nil"/>
              <w:left w:val="nil"/>
              <w:bottom w:val="single" w:sz="4" w:space="0" w:color="auto"/>
              <w:right w:val="single" w:sz="4" w:space="0" w:color="auto"/>
            </w:tcBorders>
            <w:shd w:val="clear" w:color="auto" w:fill="auto"/>
            <w:noWrap/>
            <w:vAlign w:val="bottom"/>
          </w:tcPr>
          <w:p w14:paraId="2B9F3A15" w14:textId="08599DB8" w:rsidR="007A0A81" w:rsidRPr="00DB479B" w:rsidRDefault="007A0A81" w:rsidP="00CD6EB3">
            <w:pPr>
              <w:spacing w:after="0"/>
              <w:jc w:val="right"/>
              <w:rPr>
                <w:sz w:val="20"/>
              </w:rPr>
            </w:pPr>
          </w:p>
        </w:tc>
      </w:tr>
      <w:tr w:rsidR="007A0A81" w:rsidRPr="00DB479B" w14:paraId="7D052013" w14:textId="77777777" w:rsidTr="60A05D1C">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1829294" w14:textId="77777777" w:rsidR="007A0A81" w:rsidRPr="00DB479B" w:rsidRDefault="60A05D1C" w:rsidP="60A05D1C">
            <w:pPr>
              <w:spacing w:after="0"/>
              <w:ind w:firstLineChars="284" w:firstLine="568"/>
              <w:jc w:val="left"/>
              <w:rPr>
                <w:i/>
                <w:iCs/>
                <w:sz w:val="20"/>
              </w:rPr>
            </w:pPr>
            <w:r w:rsidRPr="60A05D1C">
              <w:rPr>
                <w:i/>
                <w:iCs/>
                <w:sz w:val="20"/>
              </w:rPr>
              <w:t>Rokkantsági, rehabilitációs ellátások</w:t>
            </w:r>
          </w:p>
        </w:tc>
        <w:tc>
          <w:tcPr>
            <w:tcW w:w="993" w:type="dxa"/>
            <w:tcBorders>
              <w:top w:val="nil"/>
              <w:left w:val="nil"/>
              <w:bottom w:val="single" w:sz="4" w:space="0" w:color="auto"/>
              <w:right w:val="single" w:sz="4" w:space="0" w:color="auto"/>
            </w:tcBorders>
            <w:shd w:val="clear" w:color="auto" w:fill="auto"/>
            <w:noWrap/>
            <w:vAlign w:val="bottom"/>
          </w:tcPr>
          <w:p w14:paraId="693E18A5" w14:textId="1A2C0E79" w:rsidR="007A0A81" w:rsidRPr="00DB479B" w:rsidRDefault="60A05D1C" w:rsidP="60A05D1C">
            <w:pPr>
              <w:spacing w:after="0"/>
              <w:jc w:val="right"/>
              <w:rPr>
                <w:sz w:val="20"/>
              </w:rPr>
            </w:pPr>
            <w:r w:rsidRPr="60A05D1C">
              <w:rPr>
                <w:sz w:val="20"/>
              </w:rPr>
              <w:t>94,7</w:t>
            </w:r>
          </w:p>
        </w:tc>
        <w:tc>
          <w:tcPr>
            <w:tcW w:w="992" w:type="dxa"/>
            <w:tcBorders>
              <w:top w:val="nil"/>
              <w:left w:val="nil"/>
              <w:bottom w:val="single" w:sz="4" w:space="0" w:color="auto"/>
              <w:right w:val="single" w:sz="4" w:space="0" w:color="auto"/>
            </w:tcBorders>
            <w:shd w:val="clear" w:color="auto" w:fill="auto"/>
            <w:noWrap/>
            <w:vAlign w:val="bottom"/>
          </w:tcPr>
          <w:p w14:paraId="0E446CD4" w14:textId="272A596C" w:rsidR="007A0A81" w:rsidRPr="00DB479B" w:rsidRDefault="60A05D1C" w:rsidP="60A05D1C">
            <w:pPr>
              <w:spacing w:after="0" w:line="259" w:lineRule="auto"/>
              <w:jc w:val="right"/>
              <w:rPr>
                <w:sz w:val="20"/>
              </w:rPr>
            </w:pPr>
            <w:r w:rsidRPr="60A05D1C">
              <w:rPr>
                <w:sz w:val="20"/>
              </w:rPr>
              <w:t>91,3</w:t>
            </w:r>
          </w:p>
        </w:tc>
        <w:tc>
          <w:tcPr>
            <w:tcW w:w="753" w:type="dxa"/>
            <w:tcBorders>
              <w:top w:val="nil"/>
              <w:left w:val="nil"/>
              <w:bottom w:val="single" w:sz="4" w:space="0" w:color="auto"/>
              <w:right w:val="single" w:sz="4" w:space="0" w:color="auto"/>
            </w:tcBorders>
            <w:shd w:val="clear" w:color="auto" w:fill="auto"/>
            <w:noWrap/>
            <w:vAlign w:val="bottom"/>
          </w:tcPr>
          <w:p w14:paraId="720FB04B" w14:textId="64CD4590" w:rsidR="007A0A81" w:rsidRPr="00DB479B" w:rsidRDefault="60A05D1C" w:rsidP="60A05D1C">
            <w:pPr>
              <w:spacing w:after="0" w:line="259" w:lineRule="auto"/>
              <w:jc w:val="right"/>
              <w:rPr>
                <w:sz w:val="20"/>
              </w:rPr>
            </w:pPr>
            <w:r w:rsidRPr="60A05D1C">
              <w:rPr>
                <w:sz w:val="20"/>
              </w:rPr>
              <w:t>-3,4</w:t>
            </w:r>
          </w:p>
        </w:tc>
        <w:tc>
          <w:tcPr>
            <w:tcW w:w="665" w:type="dxa"/>
            <w:tcBorders>
              <w:top w:val="nil"/>
              <w:left w:val="nil"/>
              <w:bottom w:val="single" w:sz="4" w:space="0" w:color="auto"/>
              <w:right w:val="single" w:sz="4" w:space="0" w:color="auto"/>
            </w:tcBorders>
            <w:shd w:val="clear" w:color="auto" w:fill="auto"/>
            <w:noWrap/>
            <w:vAlign w:val="bottom"/>
          </w:tcPr>
          <w:p w14:paraId="5EEB1EB0" w14:textId="06FD42A0" w:rsidR="007A0A81" w:rsidRPr="00DB479B" w:rsidRDefault="60A05D1C" w:rsidP="60A05D1C">
            <w:pPr>
              <w:spacing w:after="0" w:line="259" w:lineRule="auto"/>
              <w:jc w:val="right"/>
              <w:rPr>
                <w:sz w:val="20"/>
              </w:rPr>
            </w:pPr>
            <w:r w:rsidRPr="60A05D1C">
              <w:rPr>
                <w:sz w:val="20"/>
              </w:rPr>
              <w:t>96,4</w:t>
            </w:r>
          </w:p>
        </w:tc>
      </w:tr>
      <w:tr w:rsidR="007A0A81" w:rsidRPr="00DB479B" w14:paraId="1B1C820A" w14:textId="77777777" w:rsidTr="60A05D1C">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8AC6673" w14:textId="77777777" w:rsidR="007A0A81" w:rsidRPr="00DB479B" w:rsidRDefault="60A05D1C" w:rsidP="60A05D1C">
            <w:pPr>
              <w:spacing w:after="0"/>
              <w:ind w:firstLineChars="284" w:firstLine="568"/>
              <w:jc w:val="left"/>
              <w:rPr>
                <w:i/>
                <w:iCs/>
                <w:sz w:val="20"/>
              </w:rPr>
            </w:pPr>
            <w:r w:rsidRPr="60A05D1C">
              <w:rPr>
                <w:i/>
                <w:iCs/>
                <w:sz w:val="20"/>
              </w:rPr>
              <w:t>Gyermekgondozási díj</w:t>
            </w:r>
          </w:p>
        </w:tc>
        <w:tc>
          <w:tcPr>
            <w:tcW w:w="993" w:type="dxa"/>
            <w:tcBorders>
              <w:top w:val="nil"/>
              <w:left w:val="nil"/>
              <w:bottom w:val="single" w:sz="4" w:space="0" w:color="auto"/>
              <w:right w:val="single" w:sz="4" w:space="0" w:color="auto"/>
            </w:tcBorders>
            <w:shd w:val="clear" w:color="auto" w:fill="auto"/>
            <w:noWrap/>
            <w:vAlign w:val="bottom"/>
          </w:tcPr>
          <w:p w14:paraId="18E312D6" w14:textId="27A9F6B3" w:rsidR="007A0A81" w:rsidRPr="00DB479B" w:rsidRDefault="60A05D1C" w:rsidP="60A05D1C">
            <w:pPr>
              <w:spacing w:after="0"/>
              <w:jc w:val="right"/>
              <w:rPr>
                <w:sz w:val="20"/>
              </w:rPr>
            </w:pPr>
            <w:r w:rsidRPr="60A05D1C">
              <w:rPr>
                <w:sz w:val="20"/>
              </w:rPr>
              <w:t>63,0</w:t>
            </w:r>
          </w:p>
        </w:tc>
        <w:tc>
          <w:tcPr>
            <w:tcW w:w="992" w:type="dxa"/>
            <w:tcBorders>
              <w:top w:val="nil"/>
              <w:left w:val="nil"/>
              <w:bottom w:val="single" w:sz="4" w:space="0" w:color="auto"/>
              <w:right w:val="single" w:sz="4" w:space="0" w:color="auto"/>
            </w:tcBorders>
            <w:shd w:val="clear" w:color="auto" w:fill="auto"/>
            <w:noWrap/>
            <w:vAlign w:val="bottom"/>
          </w:tcPr>
          <w:p w14:paraId="5A56530A" w14:textId="5B8D8A04" w:rsidR="007A0A81" w:rsidRPr="00DB479B" w:rsidRDefault="60A05D1C" w:rsidP="60A05D1C">
            <w:pPr>
              <w:spacing w:after="0" w:line="259" w:lineRule="auto"/>
              <w:jc w:val="right"/>
              <w:rPr>
                <w:sz w:val="20"/>
              </w:rPr>
            </w:pPr>
            <w:r w:rsidRPr="60A05D1C">
              <w:rPr>
                <w:sz w:val="20"/>
              </w:rPr>
              <w:t>70,4</w:t>
            </w:r>
          </w:p>
        </w:tc>
        <w:tc>
          <w:tcPr>
            <w:tcW w:w="753" w:type="dxa"/>
            <w:tcBorders>
              <w:top w:val="nil"/>
              <w:left w:val="nil"/>
              <w:bottom w:val="single" w:sz="4" w:space="0" w:color="auto"/>
              <w:right w:val="single" w:sz="4" w:space="0" w:color="auto"/>
            </w:tcBorders>
            <w:shd w:val="clear" w:color="auto" w:fill="auto"/>
            <w:noWrap/>
            <w:vAlign w:val="bottom"/>
          </w:tcPr>
          <w:p w14:paraId="3CBC826C" w14:textId="79368B32" w:rsidR="007A0A81" w:rsidRPr="00DB479B" w:rsidRDefault="60A05D1C" w:rsidP="60A05D1C">
            <w:pPr>
              <w:spacing w:after="0" w:line="259" w:lineRule="auto"/>
              <w:jc w:val="right"/>
              <w:rPr>
                <w:sz w:val="20"/>
              </w:rPr>
            </w:pPr>
            <w:r w:rsidRPr="60A05D1C">
              <w:rPr>
                <w:sz w:val="20"/>
              </w:rPr>
              <w:t>7,4</w:t>
            </w:r>
          </w:p>
        </w:tc>
        <w:tc>
          <w:tcPr>
            <w:tcW w:w="665" w:type="dxa"/>
            <w:tcBorders>
              <w:top w:val="nil"/>
              <w:left w:val="nil"/>
              <w:bottom w:val="single" w:sz="4" w:space="0" w:color="auto"/>
              <w:right w:val="single" w:sz="4" w:space="0" w:color="auto"/>
            </w:tcBorders>
            <w:shd w:val="clear" w:color="auto" w:fill="auto"/>
            <w:noWrap/>
            <w:vAlign w:val="bottom"/>
          </w:tcPr>
          <w:p w14:paraId="26E43045" w14:textId="003153A5" w:rsidR="007A0A81" w:rsidRPr="00DB479B" w:rsidRDefault="60A05D1C" w:rsidP="60A05D1C">
            <w:pPr>
              <w:spacing w:after="0" w:line="259" w:lineRule="auto"/>
              <w:jc w:val="right"/>
              <w:rPr>
                <w:sz w:val="20"/>
              </w:rPr>
            </w:pPr>
            <w:r w:rsidRPr="60A05D1C">
              <w:rPr>
                <w:sz w:val="20"/>
              </w:rPr>
              <w:t>111,7</w:t>
            </w:r>
          </w:p>
        </w:tc>
      </w:tr>
      <w:tr w:rsidR="007A0A81" w:rsidRPr="00DB479B" w14:paraId="7780DF35" w14:textId="77777777" w:rsidTr="60A05D1C">
        <w:trPr>
          <w:trHeight w:val="30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6B3D" w14:textId="77777777" w:rsidR="007A0A81" w:rsidRPr="00DB479B" w:rsidRDefault="60A05D1C" w:rsidP="60A05D1C">
            <w:pPr>
              <w:spacing w:after="0"/>
              <w:ind w:firstLineChars="284" w:firstLine="568"/>
              <w:jc w:val="left"/>
              <w:rPr>
                <w:i/>
                <w:iCs/>
                <w:sz w:val="20"/>
              </w:rPr>
            </w:pPr>
            <w:r w:rsidRPr="60A05D1C">
              <w:rPr>
                <w:i/>
                <w:iCs/>
                <w:sz w:val="20"/>
              </w:rPr>
              <w:t>Táppénz</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DDFC013" w14:textId="6FDF117B" w:rsidR="007A0A81" w:rsidRPr="00DB479B" w:rsidRDefault="60A05D1C" w:rsidP="60A05D1C">
            <w:pPr>
              <w:spacing w:after="0"/>
              <w:jc w:val="right"/>
              <w:rPr>
                <w:sz w:val="20"/>
              </w:rPr>
            </w:pPr>
            <w:r w:rsidRPr="60A05D1C">
              <w:rPr>
                <w:sz w:val="20"/>
              </w:rPr>
              <w:t>42,7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D88C97" w14:textId="0AB70722" w:rsidR="007A0A81" w:rsidRPr="00DB479B" w:rsidRDefault="60A05D1C" w:rsidP="60A05D1C">
            <w:pPr>
              <w:spacing w:after="0" w:line="259" w:lineRule="auto"/>
              <w:jc w:val="right"/>
              <w:rPr>
                <w:sz w:val="20"/>
              </w:rPr>
            </w:pPr>
            <w:r w:rsidRPr="60A05D1C">
              <w:rPr>
                <w:sz w:val="20"/>
              </w:rPr>
              <w:t>48,8</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D966813" w14:textId="0B4BC834" w:rsidR="007A0A81" w:rsidRPr="00DB479B" w:rsidRDefault="60A05D1C" w:rsidP="60A05D1C">
            <w:pPr>
              <w:spacing w:after="0" w:line="259" w:lineRule="auto"/>
              <w:jc w:val="right"/>
              <w:rPr>
                <w:sz w:val="20"/>
              </w:rPr>
            </w:pPr>
            <w:r w:rsidRPr="60A05D1C">
              <w:rPr>
                <w:sz w:val="20"/>
              </w:rPr>
              <w:t>6,1</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E239E68" w14:textId="5E95C993" w:rsidR="007A0A81" w:rsidRPr="00DB479B" w:rsidRDefault="60A05D1C" w:rsidP="60A05D1C">
            <w:pPr>
              <w:spacing w:after="0" w:line="259" w:lineRule="auto"/>
              <w:jc w:val="right"/>
              <w:rPr>
                <w:sz w:val="20"/>
              </w:rPr>
            </w:pPr>
            <w:r w:rsidRPr="60A05D1C">
              <w:rPr>
                <w:sz w:val="20"/>
              </w:rPr>
              <w:t>114,3</w:t>
            </w:r>
          </w:p>
        </w:tc>
      </w:tr>
    </w:tbl>
    <w:p w14:paraId="25FFF5E2" w14:textId="35E2EBD6" w:rsidR="007A0A81" w:rsidRDefault="1CC825AF" w:rsidP="1CC825AF">
      <w:r>
        <w:t xml:space="preserve"> </w:t>
      </w:r>
      <w:r w:rsidR="009F0C4E">
        <w:br w:type="page"/>
      </w:r>
    </w:p>
    <w:p w14:paraId="5D4F03CB" w14:textId="47048549" w:rsidR="003E5ED6" w:rsidRDefault="60A05D1C" w:rsidP="60A05D1C">
      <w:pPr>
        <w:pStyle w:val="Cmsor3"/>
        <w:numPr>
          <w:ilvl w:val="0"/>
          <w:numId w:val="8"/>
        </w:numPr>
        <w:spacing w:before="0" w:after="120"/>
        <w:jc w:val="left"/>
        <w:rPr>
          <w:sz w:val="26"/>
          <w:szCs w:val="26"/>
        </w:rPr>
      </w:pPr>
      <w:r w:rsidRPr="60A05D1C">
        <w:rPr>
          <w:sz w:val="26"/>
          <w:szCs w:val="26"/>
        </w:rPr>
        <w:lastRenderedPageBreak/>
        <w:t xml:space="preserve">A költségvetési szervek és szakmai fejezeti kezelésű előirányzatok alakulása </w:t>
      </w:r>
    </w:p>
    <w:p w14:paraId="2972818C" w14:textId="77777777" w:rsidR="00953258" w:rsidRPr="00953258" w:rsidRDefault="00953258" w:rsidP="00953258"/>
    <w:p w14:paraId="239D2111" w14:textId="7285EE9F" w:rsidR="00B051EF" w:rsidRPr="00B60F79" w:rsidRDefault="60A05D1C" w:rsidP="60A05D1C">
      <w:pPr>
        <w:rPr>
          <w:rFonts w:cs="Tahoma"/>
        </w:rPr>
      </w:pPr>
      <w:r w:rsidRPr="60A05D1C">
        <w:rPr>
          <w:rFonts w:cs="Tahoma"/>
        </w:rPr>
        <w:t xml:space="preserve">A </w:t>
      </w:r>
      <w:r w:rsidRPr="60A05D1C">
        <w:rPr>
          <w:rFonts w:cs="Tahoma"/>
          <w:b/>
          <w:bCs/>
        </w:rPr>
        <w:t xml:space="preserve">„Költségvetési szervek bevételei” </w:t>
      </w:r>
      <w:r w:rsidRPr="60A05D1C">
        <w:rPr>
          <w:rFonts w:cs="Tahoma"/>
        </w:rPr>
        <w:t xml:space="preserve">mérlegsoron 2020 első négy hónapjában 668,6 milliárd forint bevétel keletkezett, mely 9,4%-kal magasabb az előző év azonos hónapjaihoz képest. </w:t>
      </w:r>
      <w:proofErr w:type="gramStart"/>
      <w:r w:rsidRPr="60A05D1C">
        <w:rPr>
          <w:rFonts w:cs="Tahoma"/>
        </w:rPr>
        <w:t>Az intézmények bevételeiből az alábbi tételek emelhetők ki: 377,5 milliárd forint a Nemzeti Egészségbiztosítási Alapkezelő által az egészségügyi intézményeknek utalt támogatás, mely tartalmazza az egészségügyi intézmények adósságrendezésére biztosított összegeket, és szerepet játszott a két év azonos időszakának bevételei közötti eltérésben, 54,6 milliárd forint a 2014-2020 közötti kohéziós politikai operatív programok előirányzat-felhasználási számlájáról közvetlenül érkezett bevétel, több intézmény részére, különböző projektek támogatási előlegeként, valamint 10,3 milliárd forint a Megyei Szakképzési</w:t>
      </w:r>
      <w:proofErr w:type="gramEnd"/>
      <w:r w:rsidRPr="60A05D1C">
        <w:rPr>
          <w:rFonts w:cs="Tahoma"/>
        </w:rPr>
        <w:t xml:space="preserve"> Centrumokhoz érkező bevétel, a szakképzési rendszerek átalakításával, továbbá a felnőttoktatási tevékenység </w:t>
      </w:r>
      <w:proofErr w:type="gramStart"/>
      <w:r w:rsidRPr="60A05D1C">
        <w:rPr>
          <w:rFonts w:cs="Tahoma"/>
        </w:rPr>
        <w:t>finanszírozásával</w:t>
      </w:r>
      <w:proofErr w:type="gramEnd"/>
      <w:r w:rsidRPr="60A05D1C">
        <w:rPr>
          <w:rFonts w:cs="Tahoma"/>
        </w:rPr>
        <w:t xml:space="preserve"> kapcsolatos törvényi sorokról.</w:t>
      </w:r>
    </w:p>
    <w:p w14:paraId="5D089FBC" w14:textId="2B89F4E1" w:rsidR="00401EA7" w:rsidRPr="00B60F79" w:rsidRDefault="60A05D1C" w:rsidP="60A05D1C">
      <w:pPr>
        <w:rPr>
          <w:rFonts w:cs="Tahoma"/>
        </w:rPr>
      </w:pPr>
      <w:r>
        <w:t>A „</w:t>
      </w:r>
      <w:r w:rsidRPr="60A05D1C">
        <w:rPr>
          <w:b/>
          <w:bCs/>
        </w:rPr>
        <w:t xml:space="preserve">Szakmai fejezeti kezelésű előirányzatok saját </w:t>
      </w:r>
      <w:r w:rsidRPr="60A05D1C">
        <w:rPr>
          <w:rFonts w:cs="Tahoma"/>
          <w:b/>
          <w:bCs/>
        </w:rPr>
        <w:t>bevételei”</w:t>
      </w:r>
      <w:r w:rsidRPr="60A05D1C">
        <w:rPr>
          <w:rFonts w:cs="Tahoma"/>
        </w:rPr>
        <w:t xml:space="preserve"> </w:t>
      </w:r>
      <w:r>
        <w:t>mérlegsor bevételei</w:t>
      </w:r>
      <w:r w:rsidRPr="60A05D1C">
        <w:rPr>
          <w:rFonts w:cs="Tahoma"/>
        </w:rPr>
        <w:t xml:space="preserve"> 2020 első négy hónapjában 227,7 milliárd forintot tettek ki, mely 1</w:t>
      </w:r>
      <w:r w:rsidR="005A2122">
        <w:rPr>
          <w:rFonts w:cs="Tahoma"/>
        </w:rPr>
        <w:t>65,7</w:t>
      </w:r>
      <w:r w:rsidRPr="60A05D1C">
        <w:rPr>
          <w:rFonts w:cs="Tahoma"/>
        </w:rPr>
        <w:t> milliárd forinttal magasabb az előző év azonos hónapjaihoz képest. A bevételek jelentős részét az „Alapok alapja GINOP pénzügyi eszközök” törvényi sorra befolyt bevételek teszik ki (150,1 milliárd forint), mely nem uniós bevételként jóváírt tétel, az ilyen jellegű bevétel a 2019</w:t>
      </w:r>
      <w:r w:rsidR="004257E1">
        <w:rPr>
          <w:rFonts w:cs="Tahoma"/>
        </w:rPr>
        <w:t>.</w:t>
      </w:r>
      <w:r w:rsidRPr="60A05D1C">
        <w:rPr>
          <w:rFonts w:cs="Tahoma"/>
        </w:rPr>
        <w:t> év azonos időszakában nem volt jelentős összegű.</w:t>
      </w:r>
    </w:p>
    <w:p w14:paraId="6D160B8F" w14:textId="0BBA6079" w:rsidR="00F56812" w:rsidRPr="00105314" w:rsidRDefault="60A05D1C" w:rsidP="60A05D1C">
      <w:pPr>
        <w:spacing w:before="240"/>
        <w:rPr>
          <w:rFonts w:cs="Tahoma"/>
        </w:rPr>
      </w:pPr>
      <w:r>
        <w:t xml:space="preserve">A nem a XLII. A költségvetés közvetlen bevételei és kiadásai fejezetbe érkező uniós bevételek kimutatására az </w:t>
      </w:r>
      <w:r w:rsidRPr="60A05D1C">
        <w:rPr>
          <w:b/>
          <w:bCs/>
        </w:rPr>
        <w:t>„Uniós fejezeti kezelésű előirányzatok bevétele”</w:t>
      </w:r>
      <w:r w:rsidRPr="60A05D1C">
        <w:rPr>
          <w:rFonts w:cs="Tahoma"/>
        </w:rPr>
        <w:t xml:space="preserve"> </w:t>
      </w:r>
      <w:r>
        <w:t xml:space="preserve">mérlegsor szolgál, melyen áprilissal bezárólag </w:t>
      </w:r>
      <w:proofErr w:type="gramStart"/>
      <w:r>
        <w:t>minimális</w:t>
      </w:r>
      <w:proofErr w:type="gramEnd"/>
      <w:r>
        <w:t>, 0,1</w:t>
      </w:r>
      <w:r w:rsidR="00BB5467">
        <w:t> </w:t>
      </w:r>
      <w:r>
        <w:t xml:space="preserve">milliárd forint bevétel keletkezett. Ez az éves előirányzat 1,1%-ának felel meg. </w:t>
      </w:r>
    </w:p>
    <w:p w14:paraId="7341921A" w14:textId="7FAD1E01" w:rsidR="00B654A9" w:rsidRDefault="60A05D1C" w:rsidP="00B654A9">
      <w:r w:rsidRPr="60A05D1C">
        <w:rPr>
          <w:b/>
          <w:bCs/>
        </w:rPr>
        <w:t>A 2020. április végi, több mint 896 milliárd forint összegű bevételek</w:t>
      </w:r>
      <w:r>
        <w:t xml:space="preserve"> megoszlását a következő grafikon szemlélteti:</w:t>
      </w:r>
    </w:p>
    <w:p w14:paraId="77751BC2" w14:textId="3E96E0F5" w:rsidR="000F023F" w:rsidRDefault="00AF14B9" w:rsidP="00B654A9">
      <w:r>
        <w:rPr>
          <w:noProof/>
        </w:rPr>
        <w:drawing>
          <wp:inline distT="0" distB="0" distL="0" distR="0" wp14:anchorId="3D40DF16" wp14:editId="58FC6FC3">
            <wp:extent cx="5940425" cy="3077210"/>
            <wp:effectExtent l="0" t="0" r="3175" b="889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bevételei.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077210"/>
                    </a:xfrm>
                    <a:prstGeom prst="rect">
                      <a:avLst/>
                    </a:prstGeom>
                  </pic:spPr>
                </pic:pic>
              </a:graphicData>
            </a:graphic>
          </wp:inline>
        </w:drawing>
      </w:r>
    </w:p>
    <w:p w14:paraId="0B0767A9" w14:textId="15C49433" w:rsidR="0012048C" w:rsidRPr="00AB00E5" w:rsidRDefault="60A05D1C" w:rsidP="60A05D1C">
      <w:pPr>
        <w:rPr>
          <w:rFonts w:cs="Tahoma"/>
        </w:rPr>
      </w:pPr>
      <w:r w:rsidRPr="60A05D1C">
        <w:rPr>
          <w:b/>
          <w:bCs/>
        </w:rPr>
        <w:lastRenderedPageBreak/>
        <w:t xml:space="preserve">A „Költségvetési szervek kiadásai” </w:t>
      </w:r>
      <w:r w:rsidRPr="60A05D1C">
        <w:rPr>
          <w:rFonts w:cs="Tahoma"/>
        </w:rPr>
        <w:t xml:space="preserve">mérlegsoron 2020 első négy hónapjában 2481,5 milliárd forint kiadás keletkezett, mely 31,0%-kal magasabb az előző év azonos hónapjaihoz képest. Az intézmények teljesítéséből 1125,2 milliárd forintot tett ki a személyi juttatásokra és szociális hozzájárulási adóra, a munkaadókat terhelő járulékokra kifizetett összeg, mely 49,5 milliárd forinttal magasabb, mint az előző év azonos időszakának kiadásai. </w:t>
      </w:r>
      <w:proofErr w:type="gramStart"/>
      <w:r w:rsidRPr="60A05D1C">
        <w:rPr>
          <w:rFonts w:cs="Tahoma"/>
        </w:rPr>
        <w:t>Ezen kívül az alábbi nagyobb összegű kifizetések történtek: 359,2 milliárd forint a „Külképviseletek igazgatásánál”, melyből a koronavírus-járványhoz kapcsolódó egészségügyi eszközbeszerzések 328,1 milliárd forintot tettek ki, 125,3 milliárd forint a Honvédelmi Minisztérium Védelemgazdasági Hivatal Anyagellátó Raktárbázis Központnál főként harckocsik és helikopter beszerzésére, 53,1 milliárd forint az Állami Egészségügyi Ellátó Központnál a koronavírus-járványhoz kapcsolódó egészségügyi eszközbeszerzésekre, 41,0 milliárd forint a Honvédelmi Minisztérium Védelemgazdasági Hivatala központi költségvetéséből</w:t>
      </w:r>
      <w:proofErr w:type="gramEnd"/>
      <w:r w:rsidRPr="60A05D1C">
        <w:rPr>
          <w:rFonts w:cs="Tahoma"/>
        </w:rPr>
        <w:t xml:space="preserve"> Gripen repülőgépek bérleti díjára, illetve szolgáltatások kifizetésére, valamint 28,8</w:t>
      </w:r>
      <w:r w:rsidR="00355093">
        <w:rPr>
          <w:rFonts w:cs="Tahoma"/>
        </w:rPr>
        <w:t> </w:t>
      </w:r>
      <w:r w:rsidRPr="60A05D1C">
        <w:rPr>
          <w:rFonts w:cs="Tahoma"/>
        </w:rPr>
        <w:t xml:space="preserve">milliárd forint a Nemzeti Adó- és Vámhivatal befizetése a Központi </w:t>
      </w:r>
      <w:proofErr w:type="spellStart"/>
      <w:r w:rsidRPr="60A05D1C">
        <w:rPr>
          <w:rFonts w:cs="Tahoma"/>
        </w:rPr>
        <w:t>Maradványelszámolási</w:t>
      </w:r>
      <w:proofErr w:type="spellEnd"/>
      <w:r w:rsidRPr="60A05D1C">
        <w:rPr>
          <w:rFonts w:cs="Tahoma"/>
        </w:rPr>
        <w:t xml:space="preserve"> Alapba. A két év első négy hónapjának kiadásai közötti eltérést okozó számos tényező közül kiemelhetők elsősorban a „Külképviseletek igazgatásánál”, valamint az Állami Egészségügyi Ellátó Központnál a koronavírus-járványhoz kapcsolódó egészségügyi eszközök beszerzése érdekében kifizetett összegek.</w:t>
      </w:r>
    </w:p>
    <w:p w14:paraId="7FC0A64D" w14:textId="57306E0A" w:rsidR="00EE7960" w:rsidRPr="002811FC" w:rsidRDefault="60A05D1C" w:rsidP="60A05D1C">
      <w:r w:rsidRPr="60A05D1C">
        <w:rPr>
          <w:b/>
          <w:bCs/>
        </w:rPr>
        <w:t xml:space="preserve">Az „Egyéb szakmai fejezeti kezelésű előirányzatok kiadásai” </w:t>
      </w:r>
      <w:r>
        <w:t>mérlegsor kiadásai</w:t>
      </w:r>
      <w:r w:rsidRPr="60A05D1C">
        <w:rPr>
          <w:rFonts w:cs="Tahoma"/>
        </w:rPr>
        <w:t xml:space="preserve"> 2020 első négy hónapjában 981,3 milliárd forintot tettek ki, mely 9,7%-kal magasabban teljesültek az előző év azonos hónapjaihoz képest. </w:t>
      </w:r>
      <w:proofErr w:type="gramStart"/>
      <w:r w:rsidRPr="60A05D1C">
        <w:rPr>
          <w:rFonts w:cs="Tahoma"/>
        </w:rPr>
        <w:t xml:space="preserve">Ezen időszak teljesítéséből az alábbi tételek emelhetők ki: 146,0 milliárd forint normatív finanszírozásra (köznevelési célú humánszolgáltatás és működési támogatás, hit- és erkölcstanoktatás és tankönyvtámogatás, köznevelési szerződések, szociális célú humánszolgáltatások, nem állami felsőoktatási intézmények támogatása), 49,7 milliárd forint a közúthálózat fenntartására és működtetésére, 44,0 milliárd forint maradvány befizetése az „Állami többletfeladatok” törvényi sorról a Központi </w:t>
      </w:r>
      <w:proofErr w:type="spellStart"/>
      <w:r w:rsidRPr="60A05D1C">
        <w:rPr>
          <w:rFonts w:cs="Tahoma"/>
        </w:rPr>
        <w:t>Maradványelszámolási</w:t>
      </w:r>
      <w:proofErr w:type="spellEnd"/>
      <w:r w:rsidRPr="60A05D1C">
        <w:rPr>
          <w:rFonts w:cs="Tahoma"/>
        </w:rPr>
        <w:t xml:space="preserve"> Alapba, 43,7 milliárd forint az autópálya rendelkezésre állási díj, 29,1 milliárd forint</w:t>
      </w:r>
      <w:proofErr w:type="gramEnd"/>
      <w:r w:rsidRPr="60A05D1C">
        <w:rPr>
          <w:rFonts w:cs="Tahoma"/>
        </w:rPr>
        <w:t xml:space="preserve"> </w:t>
      </w:r>
      <w:proofErr w:type="gramStart"/>
      <w:r w:rsidRPr="60A05D1C">
        <w:rPr>
          <w:rFonts w:cs="Tahoma"/>
        </w:rPr>
        <w:t>a</w:t>
      </w:r>
      <w:proofErr w:type="gramEnd"/>
      <w:r w:rsidRPr="60A05D1C">
        <w:rPr>
          <w:rFonts w:cs="Tahoma"/>
        </w:rPr>
        <w:t xml:space="preserve"> Modern Városok Program keretében megvalósuló fejlesztésekre, 23,2 milliárd forint a nemzeti agrártámogatásokra, 19,8 milliárd forint a „Beruházás ösztönzési célelőirányzat” sor kiadása, valamint 19,3 milliárd forint a nagycsaládosok személygépkocsi-szerzési támogatására. A két év azonos időszakának kiadásai közötti eltérést okozó számos tényező közül kiemelhetők többek között a normatív </w:t>
      </w:r>
      <w:proofErr w:type="gramStart"/>
      <w:r w:rsidRPr="60A05D1C">
        <w:rPr>
          <w:rFonts w:cs="Tahoma"/>
        </w:rPr>
        <w:t>finanszírozásra</w:t>
      </w:r>
      <w:proofErr w:type="gramEnd"/>
      <w:r w:rsidRPr="60A05D1C">
        <w:rPr>
          <w:rFonts w:cs="Tahoma"/>
        </w:rPr>
        <w:t xml:space="preserve"> fordított összegek, valamint a nagycsaládosok személygépkocsi-szerzési támogatása. </w:t>
      </w:r>
    </w:p>
    <w:p w14:paraId="1B8E636A" w14:textId="2C83B45E" w:rsidR="3E91BEA7" w:rsidRPr="00491599" w:rsidRDefault="60A05D1C" w:rsidP="60A05D1C">
      <w:pPr>
        <w:rPr>
          <w:rFonts w:cs="Tahoma"/>
        </w:rPr>
      </w:pPr>
      <w:r>
        <w:t xml:space="preserve">Az </w:t>
      </w:r>
      <w:r w:rsidRPr="60A05D1C">
        <w:rPr>
          <w:b/>
          <w:bCs/>
        </w:rPr>
        <w:t>„Uniós programok kiadásai”</w:t>
      </w:r>
      <w:r>
        <w:t xml:space="preserve"> mérlegsoron 2020. első </w:t>
      </w:r>
      <w:r w:rsidRPr="60A05D1C">
        <w:rPr>
          <w:color w:val="000000" w:themeColor="text1"/>
        </w:rPr>
        <w:t xml:space="preserve">négy hónapjában </w:t>
      </w:r>
      <w:r>
        <w:t xml:space="preserve">842,0 milliárd </w:t>
      </w:r>
      <w:r w:rsidRPr="60A05D1C">
        <w:rPr>
          <w:color w:val="000000" w:themeColor="text1"/>
        </w:rPr>
        <w:t xml:space="preserve">forint összegű kifizetés történt, amely </w:t>
      </w:r>
      <w:r>
        <w:t>az éves előirányzat 50,1%-os teljesítését jelenti</w:t>
      </w:r>
      <w:r w:rsidRPr="60A05D1C">
        <w:rPr>
          <w:color w:val="000000" w:themeColor="text1"/>
        </w:rPr>
        <w:t xml:space="preserve">. </w:t>
      </w:r>
      <w:r w:rsidR="00D726DD">
        <w:rPr>
          <w:color w:val="000000" w:themeColor="text1"/>
        </w:rPr>
        <w:t>A</w:t>
      </w:r>
      <w:r w:rsidRPr="60A05D1C">
        <w:rPr>
          <w:color w:val="000000" w:themeColor="text1"/>
        </w:rPr>
        <w:t xml:space="preserve"> felmerült kiadások túlnyomó részét</w:t>
      </w:r>
      <w:r>
        <w:t xml:space="preserve"> a 2014-2020-as programozási időszak kohéziós operatív programjai adták, összesen 689,4</w:t>
      </w:r>
      <w:r w:rsidR="002343F1">
        <w:t> </w:t>
      </w:r>
      <w:r>
        <w:t xml:space="preserve">milliárd </w:t>
      </w:r>
      <w:proofErr w:type="gramStart"/>
      <w:r>
        <w:t>forint értékben</w:t>
      </w:r>
      <w:proofErr w:type="gramEnd"/>
      <w:r>
        <w:t xml:space="preserve">. </w:t>
      </w:r>
      <w:r w:rsidR="005F417D">
        <w:t>Ebből á</w:t>
      </w:r>
      <w:r>
        <w:t>prilis végéig a legjobban teljesítő operatív programok: a Gazdaságfejlesztés és Innovációs Operatív Program 278,5</w:t>
      </w:r>
      <w:r w:rsidR="002343F1">
        <w:t> </w:t>
      </w:r>
      <w:r>
        <w:t>milliárd forint, valamint az Integrált Közlekedésfejlesztési Operatív Program 144,0</w:t>
      </w:r>
      <w:r w:rsidR="002343F1">
        <w:t> </w:t>
      </w:r>
      <w:r>
        <w:t>milliárd forint kifizetéssel</w:t>
      </w:r>
      <w:r w:rsidRPr="60A05D1C">
        <w:rPr>
          <w:rFonts w:cs="Tahoma"/>
        </w:rPr>
        <w:t xml:space="preserve">. </w:t>
      </w:r>
    </w:p>
    <w:p w14:paraId="32840DF9" w14:textId="4DE2EB0F" w:rsidR="009806EA" w:rsidRDefault="60A05D1C" w:rsidP="0012048C">
      <w:r>
        <w:t xml:space="preserve">A </w:t>
      </w:r>
      <w:r w:rsidRPr="60A05D1C">
        <w:rPr>
          <w:b/>
          <w:bCs/>
        </w:rPr>
        <w:t>2020. április végi</w:t>
      </w:r>
      <w:r w:rsidR="007E78B3">
        <w:rPr>
          <w:b/>
          <w:bCs/>
        </w:rPr>
        <w:t>,</w:t>
      </w:r>
      <w:r w:rsidRPr="60A05D1C">
        <w:rPr>
          <w:b/>
          <w:bCs/>
        </w:rPr>
        <w:t xml:space="preserve"> közel 4305 milliárd forint összegű kiadások</w:t>
      </w:r>
      <w:r>
        <w:t xml:space="preserve"> megoszlását a következő grafikon szemlélteti:</w:t>
      </w:r>
    </w:p>
    <w:p w14:paraId="069FE1A0" w14:textId="064D7629" w:rsidR="00DB7112" w:rsidRDefault="00DB7112" w:rsidP="0012048C">
      <w:r>
        <w:rPr>
          <w:noProof/>
        </w:rPr>
        <w:lastRenderedPageBreak/>
        <w:drawing>
          <wp:inline distT="0" distB="0" distL="0" distR="0" wp14:anchorId="64BAC907" wp14:editId="25D40619">
            <wp:extent cx="5940425" cy="3039745"/>
            <wp:effectExtent l="0" t="0" r="3175" b="825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kiadásai.png"/>
                    <pic:cNvPicPr/>
                  </pic:nvPicPr>
                  <pic:blipFill>
                    <a:blip r:embed="rId24">
                      <a:extLst>
                        <a:ext uri="{28A0092B-C50C-407E-A947-70E740481C1C}">
                          <a14:useLocalDpi xmlns:a14="http://schemas.microsoft.com/office/drawing/2010/main" val="0"/>
                        </a:ext>
                      </a:extLst>
                    </a:blip>
                    <a:stretch>
                      <a:fillRect/>
                    </a:stretch>
                  </pic:blipFill>
                  <pic:spPr>
                    <a:xfrm>
                      <a:off x="0" y="0"/>
                      <a:ext cx="5940425" cy="3039745"/>
                    </a:xfrm>
                    <a:prstGeom prst="rect">
                      <a:avLst/>
                    </a:prstGeom>
                  </pic:spPr>
                </pic:pic>
              </a:graphicData>
            </a:graphic>
          </wp:inline>
        </w:drawing>
      </w:r>
    </w:p>
    <w:p w14:paraId="32EF9FCC" w14:textId="142FBE30" w:rsidR="00E41C1E" w:rsidRDefault="00E41C1E" w:rsidP="0012048C">
      <w:r>
        <w:br w:type="page"/>
      </w:r>
    </w:p>
    <w:p w14:paraId="5D4F03D8" w14:textId="77777777" w:rsidR="00A83A7D" w:rsidRDefault="60A05D1C" w:rsidP="60A05D1C">
      <w:pPr>
        <w:pStyle w:val="Cmsor3"/>
        <w:numPr>
          <w:ilvl w:val="0"/>
          <w:numId w:val="8"/>
        </w:numPr>
        <w:spacing w:before="0" w:after="120"/>
        <w:jc w:val="left"/>
        <w:rPr>
          <w:sz w:val="26"/>
          <w:szCs w:val="26"/>
        </w:rPr>
      </w:pPr>
      <w:r w:rsidRPr="60A05D1C">
        <w:rPr>
          <w:sz w:val="26"/>
          <w:szCs w:val="26"/>
        </w:rPr>
        <w:lastRenderedPageBreak/>
        <w:t>Kamategyenleg</w:t>
      </w:r>
    </w:p>
    <w:p w14:paraId="0E8ADD6E" w14:textId="796984C0" w:rsidR="00B24013" w:rsidRPr="00B24013" w:rsidRDefault="60A05D1C" w:rsidP="006E7EDB">
      <w:pPr>
        <w:tabs>
          <w:tab w:val="left" w:pos="550"/>
        </w:tabs>
        <w:spacing w:before="120"/>
      </w:pPr>
      <w:r>
        <w:t xml:space="preserve">A bevételek és kiadások egyenlegeként adódó 211,0 milliárd forint összegű </w:t>
      </w:r>
      <w:r w:rsidRPr="60A05D1C">
        <w:rPr>
          <w:b/>
          <w:bCs/>
        </w:rPr>
        <w:t>nettó kamatkiadás</w:t>
      </w:r>
      <w:r>
        <w:t xml:space="preserve"> 81,6 milliárd forinttal lett több az előző év azonos időszakához képest, mely a kamatfizetések éven belüli eltérő lefutásával magyarázható.</w:t>
      </w:r>
    </w:p>
    <w:p w14:paraId="53E1E684" w14:textId="4CD2DD68" w:rsidR="004C30D8" w:rsidRPr="004C30D8" w:rsidRDefault="60A05D1C" w:rsidP="60A05D1C">
      <w:pPr>
        <w:tabs>
          <w:tab w:val="left" w:pos="550"/>
        </w:tabs>
        <w:spacing w:before="120"/>
        <w:jc w:val="center"/>
        <w:rPr>
          <w:b/>
          <w:bCs/>
          <w:sz w:val="20"/>
        </w:rPr>
      </w:pPr>
      <w:r w:rsidRPr="60A05D1C">
        <w:rPr>
          <w:b/>
          <w:bCs/>
          <w:sz w:val="20"/>
        </w:rPr>
        <w:t>A kamategyenleg összetétele (milliárd forintban)</w:t>
      </w:r>
    </w:p>
    <w:tbl>
      <w:tblPr>
        <w:tblW w:w="6971" w:type="dxa"/>
        <w:jc w:val="center"/>
        <w:tblCellMar>
          <w:left w:w="70" w:type="dxa"/>
          <w:right w:w="70" w:type="dxa"/>
        </w:tblCellMar>
        <w:tblLook w:val="04A0" w:firstRow="1" w:lastRow="0" w:firstColumn="1" w:lastColumn="0" w:noHBand="0" w:noVBand="1"/>
      </w:tblPr>
      <w:tblGrid>
        <w:gridCol w:w="195"/>
        <w:gridCol w:w="340"/>
        <w:gridCol w:w="4192"/>
        <w:gridCol w:w="1134"/>
        <w:gridCol w:w="1110"/>
      </w:tblGrid>
      <w:tr w:rsidR="004C30D8" w:rsidRPr="004C30D8" w14:paraId="2B7CD0E6" w14:textId="77777777" w:rsidTr="60A05D1C">
        <w:trPr>
          <w:trHeight w:val="285"/>
          <w:jc w:val="center"/>
        </w:trPr>
        <w:tc>
          <w:tcPr>
            <w:tcW w:w="4727"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03CB3B67" w14:textId="77777777" w:rsidR="004C30D8" w:rsidRPr="004C30D8" w:rsidRDefault="60A05D1C" w:rsidP="60A05D1C">
            <w:pPr>
              <w:spacing w:after="0"/>
              <w:jc w:val="center"/>
              <w:rPr>
                <w:b/>
                <w:bCs/>
                <w:sz w:val="22"/>
                <w:szCs w:val="22"/>
              </w:rPr>
            </w:pPr>
            <w:r w:rsidRPr="60A05D1C">
              <w:rPr>
                <w:b/>
                <w:bCs/>
                <w:sz w:val="22"/>
                <w:szCs w:val="22"/>
              </w:rPr>
              <w:t> </w:t>
            </w:r>
          </w:p>
        </w:tc>
        <w:tc>
          <w:tcPr>
            <w:tcW w:w="2244" w:type="dxa"/>
            <w:gridSpan w:val="2"/>
            <w:tcBorders>
              <w:top w:val="single" w:sz="4" w:space="0" w:color="auto"/>
              <w:left w:val="nil"/>
              <w:bottom w:val="nil"/>
              <w:right w:val="single" w:sz="4" w:space="0" w:color="000000" w:themeColor="text1"/>
            </w:tcBorders>
            <w:shd w:val="clear" w:color="auto" w:fill="auto"/>
            <w:noWrap/>
            <w:vAlign w:val="bottom"/>
            <w:hideMark/>
          </w:tcPr>
          <w:p w14:paraId="26B2914C" w14:textId="7C833441" w:rsidR="004C30D8" w:rsidRPr="004C30D8" w:rsidRDefault="60A05D1C" w:rsidP="60A05D1C">
            <w:pPr>
              <w:spacing w:after="0"/>
              <w:jc w:val="center"/>
              <w:rPr>
                <w:b/>
                <w:bCs/>
                <w:sz w:val="22"/>
                <w:szCs w:val="22"/>
              </w:rPr>
            </w:pPr>
            <w:r w:rsidRPr="60A05D1C">
              <w:rPr>
                <w:b/>
                <w:bCs/>
                <w:sz w:val="22"/>
                <w:szCs w:val="22"/>
              </w:rPr>
              <w:t>I-IV. hó</w:t>
            </w:r>
          </w:p>
        </w:tc>
      </w:tr>
      <w:tr w:rsidR="004C30D8" w:rsidRPr="004C30D8" w14:paraId="5F451AD5" w14:textId="77777777" w:rsidTr="60A05D1C">
        <w:trPr>
          <w:trHeight w:val="285"/>
          <w:jc w:val="center"/>
        </w:trPr>
        <w:tc>
          <w:tcPr>
            <w:tcW w:w="4727" w:type="dxa"/>
            <w:gridSpan w:val="3"/>
            <w:vMerge/>
            <w:tcBorders>
              <w:top w:val="single" w:sz="4" w:space="0" w:color="auto"/>
              <w:left w:val="single" w:sz="4" w:space="0" w:color="auto"/>
              <w:bottom w:val="single" w:sz="4" w:space="0" w:color="000000"/>
              <w:right w:val="single" w:sz="4" w:space="0" w:color="auto"/>
            </w:tcBorders>
            <w:vAlign w:val="center"/>
            <w:hideMark/>
          </w:tcPr>
          <w:p w14:paraId="6E66DB8C" w14:textId="77777777" w:rsidR="004C30D8" w:rsidRPr="004C30D8" w:rsidRDefault="004C30D8" w:rsidP="004C30D8">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17B73" w14:textId="01D8A1F6" w:rsidR="004C30D8" w:rsidRPr="004C30D8" w:rsidRDefault="60A05D1C" w:rsidP="60A05D1C">
            <w:pPr>
              <w:spacing w:after="0"/>
              <w:jc w:val="center"/>
              <w:rPr>
                <w:b/>
                <w:bCs/>
                <w:sz w:val="22"/>
                <w:szCs w:val="22"/>
              </w:rPr>
            </w:pPr>
            <w:r w:rsidRPr="60A05D1C">
              <w:rPr>
                <w:b/>
                <w:bCs/>
                <w:sz w:val="22"/>
                <w:szCs w:val="22"/>
              </w:rPr>
              <w:t>2019</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02E9D2B5" w14:textId="6FBD0D39" w:rsidR="004C30D8" w:rsidRPr="004C30D8" w:rsidRDefault="60A05D1C" w:rsidP="60A05D1C">
            <w:pPr>
              <w:spacing w:after="0"/>
              <w:jc w:val="center"/>
              <w:rPr>
                <w:b/>
                <w:bCs/>
                <w:sz w:val="22"/>
                <w:szCs w:val="22"/>
              </w:rPr>
            </w:pPr>
            <w:r w:rsidRPr="60A05D1C">
              <w:rPr>
                <w:b/>
                <w:bCs/>
                <w:sz w:val="22"/>
                <w:szCs w:val="22"/>
              </w:rPr>
              <w:t>2020</w:t>
            </w:r>
          </w:p>
        </w:tc>
      </w:tr>
      <w:tr w:rsidR="00F7497A" w:rsidRPr="004C30D8" w14:paraId="6DB9F97D" w14:textId="77777777" w:rsidTr="60A05D1C">
        <w:trPr>
          <w:trHeight w:val="285"/>
          <w:jc w:val="center"/>
        </w:trPr>
        <w:tc>
          <w:tcPr>
            <w:tcW w:w="472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3363E" w14:textId="77777777" w:rsidR="00F7497A" w:rsidRPr="004C30D8" w:rsidRDefault="60A05D1C" w:rsidP="60A05D1C">
            <w:pPr>
              <w:spacing w:after="0"/>
              <w:jc w:val="left"/>
              <w:rPr>
                <w:b/>
                <w:bCs/>
                <w:sz w:val="22"/>
                <w:szCs w:val="22"/>
              </w:rPr>
            </w:pPr>
            <w:r w:rsidRPr="60A05D1C">
              <w:rPr>
                <w:b/>
                <w:bCs/>
                <w:sz w:val="22"/>
                <w:szCs w:val="22"/>
              </w:rPr>
              <w:t>1. Bevétel</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6E4E9B3" w14:textId="0D2A2395" w:rsidR="00F7497A" w:rsidRPr="004C30D8" w:rsidRDefault="60A05D1C" w:rsidP="60A05D1C">
            <w:pPr>
              <w:spacing w:after="0"/>
              <w:jc w:val="right"/>
              <w:rPr>
                <w:b/>
                <w:bCs/>
                <w:sz w:val="22"/>
                <w:szCs w:val="22"/>
              </w:rPr>
            </w:pPr>
            <w:r w:rsidRPr="60A05D1C">
              <w:rPr>
                <w:b/>
                <w:bCs/>
                <w:sz w:val="22"/>
                <w:szCs w:val="22"/>
              </w:rPr>
              <w:t>73,3</w:t>
            </w:r>
          </w:p>
        </w:tc>
        <w:tc>
          <w:tcPr>
            <w:tcW w:w="1110" w:type="dxa"/>
            <w:tcBorders>
              <w:top w:val="nil"/>
              <w:left w:val="nil"/>
              <w:bottom w:val="single" w:sz="4" w:space="0" w:color="auto"/>
              <w:right w:val="single" w:sz="4" w:space="0" w:color="auto"/>
            </w:tcBorders>
            <w:shd w:val="clear" w:color="auto" w:fill="auto"/>
            <w:noWrap/>
            <w:vAlign w:val="bottom"/>
          </w:tcPr>
          <w:p w14:paraId="26E65790" w14:textId="3A4CA10A" w:rsidR="00F7497A" w:rsidRPr="004C30D8" w:rsidRDefault="60A05D1C" w:rsidP="60A05D1C">
            <w:pPr>
              <w:spacing w:after="0"/>
              <w:jc w:val="right"/>
              <w:rPr>
                <w:b/>
                <w:bCs/>
                <w:sz w:val="22"/>
                <w:szCs w:val="22"/>
              </w:rPr>
            </w:pPr>
            <w:r w:rsidRPr="60A05D1C">
              <w:rPr>
                <w:b/>
                <w:bCs/>
                <w:sz w:val="22"/>
                <w:szCs w:val="22"/>
              </w:rPr>
              <w:t>49,6</w:t>
            </w:r>
          </w:p>
        </w:tc>
      </w:tr>
      <w:tr w:rsidR="00F7497A" w:rsidRPr="004C30D8" w14:paraId="18A0C2F2" w14:textId="77777777" w:rsidTr="60A05D1C">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12A529DF" w14:textId="77777777" w:rsidR="00F7497A" w:rsidRPr="004C30D8" w:rsidRDefault="60A05D1C" w:rsidP="60A05D1C">
            <w:pPr>
              <w:spacing w:after="0"/>
              <w:jc w:val="left"/>
              <w:rPr>
                <w:sz w:val="22"/>
                <w:szCs w:val="22"/>
              </w:rPr>
            </w:pPr>
            <w:r w:rsidRPr="60A05D1C">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44146B" w14:textId="77777777" w:rsidR="00F7497A" w:rsidRPr="004C30D8" w:rsidRDefault="60A05D1C" w:rsidP="60A05D1C">
            <w:pPr>
              <w:spacing w:after="0"/>
              <w:jc w:val="left"/>
              <w:rPr>
                <w:b/>
                <w:bCs/>
                <w:sz w:val="22"/>
                <w:szCs w:val="22"/>
              </w:rPr>
            </w:pPr>
            <w:r w:rsidRPr="60A05D1C">
              <w:rPr>
                <w:b/>
                <w:bCs/>
                <w:sz w:val="22"/>
                <w:szCs w:val="22"/>
              </w:rPr>
              <w:t>1.1.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D046DA" w14:textId="081F33A5" w:rsidR="00F7497A" w:rsidRPr="004C30D8" w:rsidRDefault="60A05D1C" w:rsidP="60A05D1C">
            <w:pPr>
              <w:spacing w:after="0"/>
              <w:jc w:val="right"/>
              <w:rPr>
                <w:b/>
                <w:bCs/>
                <w:sz w:val="22"/>
                <w:szCs w:val="22"/>
              </w:rPr>
            </w:pPr>
            <w:r w:rsidRPr="60A05D1C">
              <w:rPr>
                <w:b/>
                <w:bCs/>
                <w:sz w:val="22"/>
                <w:szCs w:val="22"/>
              </w:rPr>
              <w:t>73,5</w:t>
            </w:r>
          </w:p>
        </w:tc>
        <w:tc>
          <w:tcPr>
            <w:tcW w:w="1110" w:type="dxa"/>
            <w:tcBorders>
              <w:top w:val="nil"/>
              <w:left w:val="nil"/>
              <w:bottom w:val="single" w:sz="4" w:space="0" w:color="auto"/>
              <w:right w:val="single" w:sz="4" w:space="0" w:color="auto"/>
            </w:tcBorders>
            <w:shd w:val="clear" w:color="auto" w:fill="auto"/>
            <w:noWrap/>
            <w:vAlign w:val="bottom"/>
          </w:tcPr>
          <w:p w14:paraId="743B0E4E" w14:textId="1976286B" w:rsidR="00F7497A" w:rsidRPr="004C30D8" w:rsidRDefault="60A05D1C" w:rsidP="60A05D1C">
            <w:pPr>
              <w:spacing w:after="0"/>
              <w:jc w:val="right"/>
              <w:rPr>
                <w:b/>
                <w:bCs/>
                <w:sz w:val="22"/>
                <w:szCs w:val="22"/>
              </w:rPr>
            </w:pPr>
            <w:r w:rsidRPr="60A05D1C">
              <w:rPr>
                <w:b/>
                <w:bCs/>
                <w:sz w:val="22"/>
                <w:szCs w:val="22"/>
              </w:rPr>
              <w:t>49,9</w:t>
            </w:r>
          </w:p>
        </w:tc>
      </w:tr>
      <w:tr w:rsidR="00F7497A" w:rsidRPr="004C30D8" w14:paraId="070AC738"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6A637416"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04695659"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8224C74" w14:textId="77777777" w:rsidR="00F7497A" w:rsidRPr="004C30D8" w:rsidRDefault="60A05D1C" w:rsidP="60A05D1C">
            <w:pPr>
              <w:spacing w:after="0"/>
              <w:jc w:val="left"/>
              <w:rPr>
                <w:i/>
                <w:iCs/>
                <w:sz w:val="22"/>
                <w:szCs w:val="22"/>
              </w:rPr>
            </w:pPr>
            <w:r w:rsidRPr="60A05D1C">
              <w:rPr>
                <w:i/>
                <w:iCs/>
                <w:sz w:val="22"/>
                <w:szCs w:val="22"/>
              </w:rPr>
              <w:t>1.1.1.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36DBD9DB" w14:textId="0FABED7A" w:rsidR="00F7497A" w:rsidRPr="004C30D8" w:rsidRDefault="60A05D1C" w:rsidP="60A05D1C">
            <w:pPr>
              <w:spacing w:after="0"/>
              <w:jc w:val="right"/>
              <w:rPr>
                <w:i/>
                <w:iCs/>
                <w:sz w:val="22"/>
                <w:szCs w:val="22"/>
              </w:rPr>
            </w:pPr>
            <w:r w:rsidRPr="60A05D1C">
              <w:rPr>
                <w:i/>
                <w:iCs/>
                <w:sz w:val="22"/>
                <w:szCs w:val="22"/>
              </w:rPr>
              <w:t>73,4</w:t>
            </w:r>
          </w:p>
        </w:tc>
        <w:tc>
          <w:tcPr>
            <w:tcW w:w="1110" w:type="dxa"/>
            <w:tcBorders>
              <w:top w:val="nil"/>
              <w:left w:val="nil"/>
              <w:bottom w:val="nil"/>
              <w:right w:val="single" w:sz="4" w:space="0" w:color="auto"/>
            </w:tcBorders>
            <w:shd w:val="clear" w:color="auto" w:fill="auto"/>
            <w:noWrap/>
            <w:vAlign w:val="bottom"/>
          </w:tcPr>
          <w:p w14:paraId="2B4166A0" w14:textId="2164BC97" w:rsidR="00F7497A" w:rsidRPr="004C30D8" w:rsidRDefault="60A05D1C" w:rsidP="60A05D1C">
            <w:pPr>
              <w:spacing w:after="0"/>
              <w:jc w:val="right"/>
              <w:rPr>
                <w:i/>
                <w:iCs/>
                <w:sz w:val="22"/>
                <w:szCs w:val="22"/>
              </w:rPr>
            </w:pPr>
            <w:r w:rsidRPr="60A05D1C">
              <w:rPr>
                <w:i/>
                <w:iCs/>
                <w:sz w:val="22"/>
                <w:szCs w:val="22"/>
              </w:rPr>
              <w:t>49,1</w:t>
            </w:r>
          </w:p>
        </w:tc>
      </w:tr>
      <w:tr w:rsidR="00F7497A" w:rsidRPr="004C30D8" w14:paraId="48DED23A"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43896092" w14:textId="5758D4F9"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084AA7D8"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315C50A" w14:textId="77777777" w:rsidR="00F7497A" w:rsidRPr="004C30D8" w:rsidRDefault="60A05D1C" w:rsidP="60A05D1C">
            <w:pPr>
              <w:spacing w:after="0"/>
              <w:jc w:val="left"/>
              <w:rPr>
                <w:i/>
                <w:iCs/>
                <w:sz w:val="22"/>
                <w:szCs w:val="22"/>
              </w:rPr>
            </w:pPr>
            <w:r w:rsidRPr="60A05D1C">
              <w:rPr>
                <w:i/>
                <w:iCs/>
                <w:sz w:val="22"/>
                <w:szCs w:val="22"/>
              </w:rPr>
              <w:t>1.1.2.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6534D39E" w14:textId="10EBA750" w:rsidR="00F7497A" w:rsidRPr="004C30D8" w:rsidRDefault="60A05D1C" w:rsidP="60A05D1C">
            <w:pPr>
              <w:spacing w:after="0"/>
              <w:jc w:val="right"/>
              <w:rPr>
                <w:i/>
                <w:iCs/>
                <w:sz w:val="22"/>
                <w:szCs w:val="22"/>
              </w:rPr>
            </w:pPr>
            <w:r w:rsidRPr="60A05D1C">
              <w:rPr>
                <w:i/>
                <w:iCs/>
                <w:sz w:val="22"/>
                <w:szCs w:val="22"/>
              </w:rPr>
              <w:t>0,</w:t>
            </w:r>
            <w:proofErr w:type="spellStart"/>
            <w:r w:rsidRPr="60A05D1C">
              <w:rPr>
                <w:i/>
                <w:iCs/>
                <w:sz w:val="22"/>
                <w:szCs w:val="22"/>
              </w:rPr>
              <w:t>0</w:t>
            </w:r>
            <w:proofErr w:type="spellEnd"/>
          </w:p>
        </w:tc>
        <w:tc>
          <w:tcPr>
            <w:tcW w:w="1110" w:type="dxa"/>
            <w:tcBorders>
              <w:top w:val="nil"/>
              <w:left w:val="nil"/>
              <w:bottom w:val="nil"/>
              <w:right w:val="single" w:sz="4" w:space="0" w:color="auto"/>
            </w:tcBorders>
            <w:shd w:val="clear" w:color="auto" w:fill="auto"/>
            <w:noWrap/>
            <w:vAlign w:val="bottom"/>
          </w:tcPr>
          <w:p w14:paraId="36A73D13" w14:textId="7962509D" w:rsidR="00F7497A" w:rsidRPr="004C30D8" w:rsidRDefault="60A05D1C" w:rsidP="60A05D1C">
            <w:pPr>
              <w:spacing w:after="0"/>
              <w:jc w:val="right"/>
              <w:rPr>
                <w:i/>
                <w:iCs/>
                <w:sz w:val="22"/>
                <w:szCs w:val="22"/>
              </w:rPr>
            </w:pPr>
            <w:r w:rsidRPr="60A05D1C">
              <w:rPr>
                <w:i/>
                <w:iCs/>
                <w:sz w:val="22"/>
                <w:szCs w:val="22"/>
              </w:rPr>
              <w:t>0,</w:t>
            </w:r>
            <w:proofErr w:type="spellStart"/>
            <w:r w:rsidRPr="60A05D1C">
              <w:rPr>
                <w:i/>
                <w:iCs/>
                <w:sz w:val="22"/>
                <w:szCs w:val="22"/>
              </w:rPr>
              <w:t>0</w:t>
            </w:r>
            <w:proofErr w:type="spellEnd"/>
          </w:p>
        </w:tc>
      </w:tr>
      <w:tr w:rsidR="00F7497A" w:rsidRPr="004C30D8" w14:paraId="5E8B8A2F"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733CA1F"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08DDD2F1"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0F22C8F" w14:textId="77777777" w:rsidR="00F7497A" w:rsidRPr="004C30D8" w:rsidRDefault="60A05D1C" w:rsidP="60A05D1C">
            <w:pPr>
              <w:spacing w:after="0"/>
              <w:jc w:val="left"/>
              <w:rPr>
                <w:i/>
                <w:iCs/>
                <w:sz w:val="22"/>
                <w:szCs w:val="22"/>
              </w:rPr>
            </w:pPr>
            <w:r w:rsidRPr="60A05D1C">
              <w:rPr>
                <w:i/>
                <w:iCs/>
                <w:sz w:val="22"/>
                <w:szCs w:val="22"/>
              </w:rPr>
              <w:t xml:space="preserve">1.1.3. </w:t>
            </w:r>
            <w:proofErr w:type="spellStart"/>
            <w:r w:rsidRPr="60A05D1C">
              <w:rPr>
                <w:i/>
                <w:iCs/>
                <w:sz w:val="22"/>
                <w:szCs w:val="22"/>
              </w:rPr>
              <w:t>Repóügyletek</w:t>
            </w:r>
            <w:proofErr w:type="spellEnd"/>
            <w:r w:rsidRPr="60A05D1C">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25A44EF4" w14:textId="73BA7287" w:rsidR="00F7497A" w:rsidRPr="004C30D8" w:rsidRDefault="60A05D1C" w:rsidP="60A05D1C">
            <w:pPr>
              <w:spacing w:after="0"/>
              <w:jc w:val="right"/>
              <w:rPr>
                <w:i/>
                <w:iCs/>
                <w:sz w:val="22"/>
                <w:szCs w:val="22"/>
              </w:rPr>
            </w:pPr>
            <w:r w:rsidRPr="60A05D1C">
              <w:rPr>
                <w:i/>
                <w:iCs/>
                <w:sz w:val="22"/>
                <w:szCs w:val="22"/>
              </w:rPr>
              <w:t>0,</w:t>
            </w:r>
            <w:proofErr w:type="spellStart"/>
            <w:r w:rsidRPr="60A05D1C">
              <w:rPr>
                <w:i/>
                <w:iCs/>
                <w:sz w:val="22"/>
                <w:szCs w:val="22"/>
              </w:rPr>
              <w:t>0</w:t>
            </w:r>
            <w:proofErr w:type="spellEnd"/>
          </w:p>
        </w:tc>
        <w:tc>
          <w:tcPr>
            <w:tcW w:w="1110" w:type="dxa"/>
            <w:tcBorders>
              <w:top w:val="nil"/>
              <w:left w:val="nil"/>
              <w:bottom w:val="nil"/>
              <w:right w:val="single" w:sz="4" w:space="0" w:color="auto"/>
            </w:tcBorders>
            <w:shd w:val="clear" w:color="auto" w:fill="auto"/>
            <w:noWrap/>
            <w:vAlign w:val="bottom"/>
          </w:tcPr>
          <w:p w14:paraId="2B75BAC9" w14:textId="770ACD1C" w:rsidR="00F7497A" w:rsidRPr="004C30D8" w:rsidRDefault="60A05D1C" w:rsidP="60A05D1C">
            <w:pPr>
              <w:spacing w:after="0"/>
              <w:jc w:val="right"/>
              <w:rPr>
                <w:i/>
                <w:iCs/>
                <w:sz w:val="22"/>
                <w:szCs w:val="22"/>
              </w:rPr>
            </w:pPr>
            <w:r w:rsidRPr="60A05D1C">
              <w:rPr>
                <w:i/>
                <w:iCs/>
                <w:sz w:val="22"/>
                <w:szCs w:val="22"/>
              </w:rPr>
              <w:t>0,2</w:t>
            </w:r>
          </w:p>
        </w:tc>
      </w:tr>
      <w:tr w:rsidR="00F7497A" w:rsidRPr="004C30D8" w14:paraId="68D79656"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A410CC2"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1C934698"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9080012" w14:textId="77777777" w:rsidR="00F7497A" w:rsidRPr="004C30D8" w:rsidRDefault="60A05D1C" w:rsidP="60A05D1C">
            <w:pPr>
              <w:spacing w:after="0"/>
              <w:jc w:val="left"/>
              <w:rPr>
                <w:i/>
                <w:iCs/>
                <w:sz w:val="22"/>
                <w:szCs w:val="22"/>
              </w:rPr>
            </w:pPr>
            <w:r w:rsidRPr="60A05D1C">
              <w:rPr>
                <w:i/>
                <w:iCs/>
                <w:sz w:val="22"/>
                <w:szCs w:val="22"/>
              </w:rPr>
              <w:t>1.1.4. KESZ forint-betét kamata</w:t>
            </w:r>
          </w:p>
        </w:tc>
        <w:tc>
          <w:tcPr>
            <w:tcW w:w="1134" w:type="dxa"/>
            <w:tcBorders>
              <w:top w:val="nil"/>
              <w:left w:val="single" w:sz="4" w:space="0" w:color="auto"/>
              <w:bottom w:val="nil"/>
              <w:right w:val="single" w:sz="4" w:space="0" w:color="auto"/>
            </w:tcBorders>
            <w:shd w:val="clear" w:color="auto" w:fill="auto"/>
            <w:noWrap/>
            <w:vAlign w:val="bottom"/>
          </w:tcPr>
          <w:p w14:paraId="22F79DFD" w14:textId="60DF7C1A" w:rsidR="00F7497A" w:rsidRPr="004C30D8" w:rsidRDefault="60A05D1C" w:rsidP="60A05D1C">
            <w:pPr>
              <w:spacing w:after="0"/>
              <w:jc w:val="right"/>
              <w:rPr>
                <w:i/>
                <w:iCs/>
                <w:sz w:val="22"/>
                <w:szCs w:val="22"/>
              </w:rPr>
            </w:pPr>
            <w:r w:rsidRPr="60A05D1C">
              <w:rPr>
                <w:i/>
                <w:iCs/>
                <w:sz w:val="22"/>
                <w:szCs w:val="22"/>
              </w:rPr>
              <w:t>0,1</w:t>
            </w:r>
          </w:p>
        </w:tc>
        <w:tc>
          <w:tcPr>
            <w:tcW w:w="1110" w:type="dxa"/>
            <w:tcBorders>
              <w:top w:val="nil"/>
              <w:left w:val="nil"/>
              <w:bottom w:val="nil"/>
              <w:right w:val="single" w:sz="4" w:space="0" w:color="auto"/>
            </w:tcBorders>
            <w:shd w:val="clear" w:color="auto" w:fill="auto"/>
            <w:noWrap/>
            <w:vAlign w:val="bottom"/>
          </w:tcPr>
          <w:p w14:paraId="1074B886" w14:textId="0079EAF4" w:rsidR="00F7497A" w:rsidRPr="004C30D8" w:rsidRDefault="60A05D1C" w:rsidP="60A05D1C">
            <w:pPr>
              <w:spacing w:after="0"/>
              <w:jc w:val="right"/>
              <w:rPr>
                <w:i/>
                <w:iCs/>
                <w:sz w:val="22"/>
                <w:szCs w:val="22"/>
              </w:rPr>
            </w:pPr>
            <w:r w:rsidRPr="60A05D1C">
              <w:rPr>
                <w:i/>
                <w:iCs/>
                <w:sz w:val="22"/>
                <w:szCs w:val="22"/>
              </w:rPr>
              <w:t>0,6</w:t>
            </w:r>
          </w:p>
        </w:tc>
      </w:tr>
      <w:tr w:rsidR="00F7497A" w:rsidRPr="004C30D8" w14:paraId="3D745D4B" w14:textId="77777777" w:rsidTr="60A05D1C">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1AF6125" w14:textId="77777777" w:rsidR="00F7497A" w:rsidRPr="004C30D8" w:rsidRDefault="60A05D1C" w:rsidP="60A05D1C">
            <w:pPr>
              <w:spacing w:after="0"/>
              <w:jc w:val="left"/>
              <w:rPr>
                <w:sz w:val="22"/>
                <w:szCs w:val="22"/>
              </w:rPr>
            </w:pPr>
            <w:r w:rsidRPr="60A05D1C">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EA49B" w14:textId="77777777" w:rsidR="00F7497A" w:rsidRPr="004C30D8" w:rsidRDefault="60A05D1C" w:rsidP="60A05D1C">
            <w:pPr>
              <w:spacing w:after="0"/>
              <w:jc w:val="left"/>
              <w:rPr>
                <w:b/>
                <w:bCs/>
                <w:sz w:val="22"/>
                <w:szCs w:val="22"/>
              </w:rPr>
            </w:pPr>
            <w:r w:rsidRPr="60A05D1C">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D91D3" w14:textId="6636CC2C" w:rsidR="00F7497A" w:rsidRPr="004C30D8" w:rsidRDefault="60A05D1C" w:rsidP="60A05D1C">
            <w:pPr>
              <w:spacing w:after="0"/>
              <w:jc w:val="right"/>
              <w:rPr>
                <w:b/>
                <w:bCs/>
                <w:sz w:val="22"/>
                <w:szCs w:val="22"/>
              </w:rPr>
            </w:pPr>
            <w:r w:rsidRPr="60A05D1C">
              <w:rPr>
                <w:b/>
                <w:bCs/>
                <w:sz w:val="22"/>
                <w:szCs w:val="22"/>
              </w:rPr>
              <w:t>-0,2</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6E7FF203" w14:textId="407628DD" w:rsidR="00F7497A" w:rsidRPr="004C30D8" w:rsidRDefault="60A05D1C" w:rsidP="60A05D1C">
            <w:pPr>
              <w:spacing w:after="0"/>
              <w:jc w:val="right"/>
              <w:rPr>
                <w:b/>
                <w:bCs/>
                <w:sz w:val="22"/>
                <w:szCs w:val="22"/>
              </w:rPr>
            </w:pPr>
            <w:r w:rsidRPr="60A05D1C">
              <w:rPr>
                <w:b/>
                <w:bCs/>
                <w:sz w:val="22"/>
                <w:szCs w:val="22"/>
              </w:rPr>
              <w:t>-0,3</w:t>
            </w:r>
          </w:p>
        </w:tc>
      </w:tr>
      <w:tr w:rsidR="00F7497A" w:rsidRPr="004C30D8" w14:paraId="3C5A578D"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342BD7FE"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110A0BA2"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96D0FF5" w14:textId="77777777" w:rsidR="00F7497A" w:rsidRPr="004C30D8" w:rsidRDefault="60A05D1C" w:rsidP="60A05D1C">
            <w:pPr>
              <w:spacing w:after="0"/>
              <w:jc w:val="left"/>
              <w:rPr>
                <w:i/>
                <w:iCs/>
                <w:sz w:val="22"/>
                <w:szCs w:val="22"/>
              </w:rPr>
            </w:pPr>
            <w:r w:rsidRPr="60A05D1C">
              <w:rPr>
                <w:i/>
                <w:iCs/>
                <w:sz w:val="22"/>
                <w:szCs w:val="22"/>
              </w:rPr>
              <w:t>1.2.1. Devizaműveletek kamatelszámolásai</w:t>
            </w:r>
          </w:p>
        </w:tc>
        <w:tc>
          <w:tcPr>
            <w:tcW w:w="1134" w:type="dxa"/>
            <w:tcBorders>
              <w:top w:val="nil"/>
              <w:left w:val="single" w:sz="4" w:space="0" w:color="auto"/>
              <w:bottom w:val="nil"/>
              <w:right w:val="single" w:sz="4" w:space="0" w:color="auto"/>
            </w:tcBorders>
            <w:shd w:val="clear" w:color="auto" w:fill="auto"/>
            <w:noWrap/>
            <w:vAlign w:val="bottom"/>
          </w:tcPr>
          <w:p w14:paraId="7809F621" w14:textId="5B590497" w:rsidR="00F7497A" w:rsidRPr="004C30D8" w:rsidRDefault="60A05D1C" w:rsidP="60A05D1C">
            <w:pPr>
              <w:spacing w:after="0"/>
              <w:jc w:val="right"/>
              <w:rPr>
                <w:i/>
                <w:iCs/>
                <w:sz w:val="22"/>
                <w:szCs w:val="22"/>
              </w:rPr>
            </w:pPr>
            <w:r w:rsidRPr="60A05D1C">
              <w:rPr>
                <w:i/>
                <w:iCs/>
                <w:sz w:val="22"/>
                <w:szCs w:val="22"/>
              </w:rPr>
              <w:t>-0,2</w:t>
            </w:r>
          </w:p>
        </w:tc>
        <w:tc>
          <w:tcPr>
            <w:tcW w:w="1110" w:type="dxa"/>
            <w:tcBorders>
              <w:top w:val="nil"/>
              <w:left w:val="nil"/>
              <w:bottom w:val="nil"/>
              <w:right w:val="single" w:sz="4" w:space="0" w:color="auto"/>
            </w:tcBorders>
            <w:shd w:val="clear" w:color="auto" w:fill="auto"/>
            <w:noWrap/>
            <w:vAlign w:val="bottom"/>
          </w:tcPr>
          <w:p w14:paraId="31343ECF" w14:textId="29A2A175" w:rsidR="00F7497A" w:rsidRPr="004C30D8" w:rsidRDefault="60A05D1C" w:rsidP="60A05D1C">
            <w:pPr>
              <w:spacing w:after="0"/>
              <w:jc w:val="right"/>
              <w:rPr>
                <w:i/>
                <w:iCs/>
                <w:sz w:val="22"/>
                <w:szCs w:val="22"/>
              </w:rPr>
            </w:pPr>
            <w:r w:rsidRPr="60A05D1C">
              <w:rPr>
                <w:i/>
                <w:iCs/>
                <w:sz w:val="22"/>
                <w:szCs w:val="22"/>
              </w:rPr>
              <w:t>-0,3</w:t>
            </w:r>
          </w:p>
        </w:tc>
      </w:tr>
      <w:tr w:rsidR="004C30D8" w:rsidRPr="004C30D8" w14:paraId="73CD69D7" w14:textId="77777777" w:rsidTr="60A05D1C">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0DD9995" w14:textId="77777777" w:rsidR="004C30D8" w:rsidRPr="004C30D8" w:rsidRDefault="60A05D1C" w:rsidP="60A05D1C">
            <w:pPr>
              <w:spacing w:after="0"/>
              <w:jc w:val="left"/>
              <w:rPr>
                <w:sz w:val="22"/>
                <w:szCs w:val="22"/>
              </w:rPr>
            </w:pPr>
            <w:r w:rsidRPr="60A05D1C">
              <w:rPr>
                <w:sz w:val="22"/>
                <w:szCs w:val="22"/>
              </w:rPr>
              <w:t> </w:t>
            </w:r>
          </w:p>
        </w:tc>
        <w:tc>
          <w:tcPr>
            <w:tcW w:w="340" w:type="dxa"/>
            <w:tcBorders>
              <w:top w:val="single" w:sz="4" w:space="0" w:color="auto"/>
              <w:left w:val="nil"/>
              <w:bottom w:val="single" w:sz="4" w:space="0" w:color="auto"/>
              <w:right w:val="nil"/>
            </w:tcBorders>
            <w:shd w:val="clear" w:color="auto" w:fill="FFFFFF" w:themeFill="background1"/>
            <w:noWrap/>
            <w:vAlign w:val="bottom"/>
            <w:hideMark/>
          </w:tcPr>
          <w:p w14:paraId="0059CF69" w14:textId="77777777" w:rsidR="004C30D8" w:rsidRPr="004C30D8" w:rsidRDefault="60A05D1C" w:rsidP="60A05D1C">
            <w:pPr>
              <w:spacing w:after="0"/>
              <w:jc w:val="left"/>
              <w:rPr>
                <w:sz w:val="22"/>
                <w:szCs w:val="22"/>
              </w:rPr>
            </w:pPr>
            <w:r w:rsidRPr="60A05D1C">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76A060" w14:textId="77777777" w:rsidR="004C30D8" w:rsidRPr="004C30D8" w:rsidRDefault="60A05D1C" w:rsidP="60A05D1C">
            <w:pPr>
              <w:spacing w:after="0"/>
              <w:jc w:val="left"/>
              <w:rPr>
                <w:i/>
                <w:iCs/>
                <w:sz w:val="22"/>
                <w:szCs w:val="22"/>
              </w:rPr>
            </w:pPr>
            <w:r w:rsidRPr="60A05D1C">
              <w:rPr>
                <w:i/>
                <w:i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34351" w14:textId="48995B27" w:rsidR="004C30D8" w:rsidRPr="004C30D8" w:rsidRDefault="004C30D8" w:rsidP="27083F14">
            <w:pPr>
              <w:spacing w:after="0"/>
              <w:jc w:val="left"/>
              <w:rPr>
                <w:i/>
                <w:iCs/>
                <w:sz w:val="22"/>
                <w:szCs w:val="22"/>
              </w:rPr>
            </w:pP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5C6A445C" w14:textId="75FB6688" w:rsidR="004C30D8" w:rsidRPr="004C30D8" w:rsidRDefault="004C30D8" w:rsidP="27083F14">
            <w:pPr>
              <w:spacing w:after="0"/>
              <w:jc w:val="left"/>
              <w:rPr>
                <w:i/>
                <w:iCs/>
                <w:sz w:val="22"/>
                <w:szCs w:val="22"/>
              </w:rPr>
            </w:pPr>
          </w:p>
        </w:tc>
      </w:tr>
      <w:tr w:rsidR="00F7497A" w:rsidRPr="004C30D8" w14:paraId="06C524E9" w14:textId="77777777" w:rsidTr="60A05D1C">
        <w:trPr>
          <w:trHeight w:val="285"/>
          <w:jc w:val="center"/>
        </w:trPr>
        <w:tc>
          <w:tcPr>
            <w:tcW w:w="472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256F1" w14:textId="77777777" w:rsidR="00F7497A" w:rsidRPr="004C30D8" w:rsidRDefault="60A05D1C" w:rsidP="60A05D1C">
            <w:pPr>
              <w:spacing w:after="0"/>
              <w:jc w:val="left"/>
              <w:rPr>
                <w:b/>
                <w:bCs/>
                <w:sz w:val="22"/>
                <w:szCs w:val="22"/>
              </w:rPr>
            </w:pPr>
            <w:r w:rsidRPr="60A05D1C">
              <w:rPr>
                <w:b/>
                <w:bCs/>
                <w:sz w:val="22"/>
                <w:szCs w:val="22"/>
              </w:rPr>
              <w:t>2. Kiadás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9AE1C5E" w14:textId="72CF3576" w:rsidR="00F7497A" w:rsidRPr="004C30D8" w:rsidRDefault="60A05D1C" w:rsidP="60A05D1C">
            <w:pPr>
              <w:spacing w:after="0"/>
              <w:jc w:val="right"/>
              <w:rPr>
                <w:b/>
                <w:bCs/>
                <w:sz w:val="22"/>
                <w:szCs w:val="22"/>
              </w:rPr>
            </w:pPr>
            <w:r w:rsidRPr="60A05D1C">
              <w:rPr>
                <w:b/>
                <w:bCs/>
                <w:sz w:val="22"/>
                <w:szCs w:val="22"/>
              </w:rPr>
              <w:t>202,7</w:t>
            </w:r>
          </w:p>
        </w:tc>
        <w:tc>
          <w:tcPr>
            <w:tcW w:w="1110" w:type="dxa"/>
            <w:tcBorders>
              <w:top w:val="nil"/>
              <w:left w:val="nil"/>
              <w:bottom w:val="single" w:sz="4" w:space="0" w:color="auto"/>
              <w:right w:val="single" w:sz="4" w:space="0" w:color="auto"/>
            </w:tcBorders>
            <w:shd w:val="clear" w:color="auto" w:fill="auto"/>
            <w:noWrap/>
            <w:vAlign w:val="bottom"/>
          </w:tcPr>
          <w:p w14:paraId="4782FA32" w14:textId="2DBB8BCE" w:rsidR="00F7497A" w:rsidRPr="004C30D8" w:rsidRDefault="60A05D1C" w:rsidP="60A05D1C">
            <w:pPr>
              <w:spacing w:after="0"/>
              <w:jc w:val="right"/>
              <w:rPr>
                <w:b/>
                <w:bCs/>
                <w:sz w:val="22"/>
                <w:szCs w:val="22"/>
              </w:rPr>
            </w:pPr>
            <w:r w:rsidRPr="60A05D1C">
              <w:rPr>
                <w:b/>
                <w:bCs/>
                <w:sz w:val="22"/>
                <w:szCs w:val="22"/>
              </w:rPr>
              <w:t>260,6</w:t>
            </w:r>
          </w:p>
        </w:tc>
      </w:tr>
      <w:tr w:rsidR="00F7497A" w:rsidRPr="004C30D8" w14:paraId="7F40CE4A" w14:textId="77777777" w:rsidTr="60A05D1C">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425C2D4" w14:textId="77777777" w:rsidR="00F7497A" w:rsidRPr="004C30D8" w:rsidRDefault="60A05D1C" w:rsidP="60A05D1C">
            <w:pPr>
              <w:spacing w:after="0"/>
              <w:jc w:val="left"/>
              <w:rPr>
                <w:sz w:val="22"/>
                <w:szCs w:val="22"/>
              </w:rPr>
            </w:pPr>
            <w:r w:rsidRPr="60A05D1C">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B02418" w14:textId="77777777" w:rsidR="00F7497A" w:rsidRPr="004C30D8" w:rsidRDefault="60A05D1C" w:rsidP="60A05D1C">
            <w:pPr>
              <w:spacing w:after="0"/>
              <w:jc w:val="left"/>
              <w:rPr>
                <w:b/>
                <w:bCs/>
                <w:sz w:val="22"/>
                <w:szCs w:val="22"/>
              </w:rPr>
            </w:pPr>
            <w:r w:rsidRPr="60A05D1C">
              <w:rPr>
                <w:b/>
                <w:bCs/>
                <w:sz w:val="22"/>
                <w:szCs w:val="22"/>
              </w:rPr>
              <w:t>2.1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6587D5" w14:textId="16F31CDF" w:rsidR="00F7497A" w:rsidRPr="004C30D8" w:rsidRDefault="60A05D1C" w:rsidP="60A05D1C">
            <w:pPr>
              <w:spacing w:after="0"/>
              <w:jc w:val="right"/>
              <w:rPr>
                <w:b/>
                <w:bCs/>
                <w:sz w:val="22"/>
                <w:szCs w:val="22"/>
              </w:rPr>
            </w:pPr>
            <w:r w:rsidRPr="60A05D1C">
              <w:rPr>
                <w:b/>
                <w:bCs/>
                <w:sz w:val="22"/>
                <w:szCs w:val="22"/>
              </w:rPr>
              <w:t>120,9</w:t>
            </w:r>
          </w:p>
        </w:tc>
        <w:tc>
          <w:tcPr>
            <w:tcW w:w="1110" w:type="dxa"/>
            <w:tcBorders>
              <w:top w:val="nil"/>
              <w:left w:val="nil"/>
              <w:bottom w:val="single" w:sz="4" w:space="0" w:color="auto"/>
              <w:right w:val="single" w:sz="4" w:space="0" w:color="auto"/>
            </w:tcBorders>
            <w:shd w:val="clear" w:color="auto" w:fill="auto"/>
            <w:noWrap/>
            <w:vAlign w:val="bottom"/>
          </w:tcPr>
          <w:p w14:paraId="1118CB6D" w14:textId="38B62583" w:rsidR="00F7497A" w:rsidRPr="004C30D8" w:rsidRDefault="60A05D1C" w:rsidP="60A05D1C">
            <w:pPr>
              <w:spacing w:after="0"/>
              <w:jc w:val="right"/>
              <w:rPr>
                <w:b/>
                <w:bCs/>
                <w:sz w:val="22"/>
                <w:szCs w:val="22"/>
              </w:rPr>
            </w:pPr>
            <w:r w:rsidRPr="60A05D1C">
              <w:rPr>
                <w:b/>
                <w:bCs/>
                <w:sz w:val="22"/>
                <w:szCs w:val="22"/>
              </w:rPr>
              <w:t>157,6</w:t>
            </w:r>
          </w:p>
        </w:tc>
      </w:tr>
      <w:tr w:rsidR="00F7497A" w:rsidRPr="004C30D8" w14:paraId="3182E062"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436E7D6"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7968FFCA"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C29DCBF" w14:textId="77777777" w:rsidR="00F7497A" w:rsidRPr="004C30D8" w:rsidRDefault="60A05D1C" w:rsidP="60A05D1C">
            <w:pPr>
              <w:spacing w:after="0"/>
              <w:jc w:val="left"/>
              <w:rPr>
                <w:i/>
                <w:iCs/>
                <w:sz w:val="22"/>
                <w:szCs w:val="22"/>
              </w:rPr>
            </w:pPr>
            <w:r w:rsidRPr="60A05D1C">
              <w:rPr>
                <w:i/>
                <w:iCs/>
                <w:sz w:val="22"/>
                <w:szCs w:val="22"/>
              </w:rPr>
              <w:t>2.1.1. Forinthitelek kamata</w:t>
            </w:r>
          </w:p>
        </w:tc>
        <w:tc>
          <w:tcPr>
            <w:tcW w:w="1134" w:type="dxa"/>
            <w:tcBorders>
              <w:top w:val="nil"/>
              <w:left w:val="single" w:sz="4" w:space="0" w:color="auto"/>
              <w:bottom w:val="nil"/>
              <w:right w:val="single" w:sz="4" w:space="0" w:color="auto"/>
            </w:tcBorders>
            <w:shd w:val="clear" w:color="auto" w:fill="auto"/>
            <w:noWrap/>
            <w:vAlign w:val="bottom"/>
          </w:tcPr>
          <w:p w14:paraId="7D0668AB" w14:textId="7E1F909F" w:rsidR="00F7497A" w:rsidRPr="004C30D8" w:rsidRDefault="60A05D1C" w:rsidP="60A05D1C">
            <w:pPr>
              <w:spacing w:after="0"/>
              <w:jc w:val="right"/>
              <w:rPr>
                <w:i/>
                <w:iCs/>
                <w:sz w:val="22"/>
                <w:szCs w:val="22"/>
              </w:rPr>
            </w:pPr>
            <w:r w:rsidRPr="60A05D1C">
              <w:rPr>
                <w:i/>
                <w:iCs/>
                <w:sz w:val="22"/>
                <w:szCs w:val="22"/>
              </w:rPr>
              <w:t>12,6</w:t>
            </w:r>
          </w:p>
        </w:tc>
        <w:tc>
          <w:tcPr>
            <w:tcW w:w="1110" w:type="dxa"/>
            <w:tcBorders>
              <w:top w:val="nil"/>
              <w:left w:val="nil"/>
              <w:bottom w:val="nil"/>
              <w:right w:val="single" w:sz="4" w:space="0" w:color="auto"/>
            </w:tcBorders>
            <w:shd w:val="clear" w:color="auto" w:fill="auto"/>
            <w:noWrap/>
            <w:vAlign w:val="bottom"/>
          </w:tcPr>
          <w:p w14:paraId="79EA6DCA" w14:textId="3247748D" w:rsidR="00F7497A" w:rsidRPr="004C30D8" w:rsidRDefault="60A05D1C" w:rsidP="60A05D1C">
            <w:pPr>
              <w:spacing w:after="0"/>
              <w:jc w:val="right"/>
              <w:rPr>
                <w:i/>
                <w:iCs/>
                <w:sz w:val="22"/>
                <w:szCs w:val="22"/>
              </w:rPr>
            </w:pPr>
            <w:r w:rsidRPr="60A05D1C">
              <w:rPr>
                <w:i/>
                <w:iCs/>
                <w:sz w:val="22"/>
                <w:szCs w:val="22"/>
              </w:rPr>
              <w:t>12,7</w:t>
            </w:r>
          </w:p>
        </w:tc>
      </w:tr>
      <w:tr w:rsidR="00F7497A" w:rsidRPr="004C30D8" w14:paraId="54BAEB82"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4E6EF24"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2A70DBE5"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6B0B349" w14:textId="77777777" w:rsidR="00F7497A" w:rsidRPr="004C30D8" w:rsidRDefault="60A05D1C" w:rsidP="60A05D1C">
            <w:pPr>
              <w:spacing w:after="0"/>
              <w:jc w:val="left"/>
              <w:rPr>
                <w:i/>
                <w:iCs/>
                <w:sz w:val="22"/>
                <w:szCs w:val="22"/>
              </w:rPr>
            </w:pPr>
            <w:r w:rsidRPr="60A05D1C">
              <w:rPr>
                <w:i/>
                <w:iCs/>
                <w:sz w:val="22"/>
                <w:szCs w:val="22"/>
              </w:rPr>
              <w:t>2.1.2.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03DAE239" w14:textId="47002AA6" w:rsidR="00F7497A" w:rsidRPr="004C30D8" w:rsidRDefault="60A05D1C" w:rsidP="60A05D1C">
            <w:pPr>
              <w:spacing w:after="0"/>
              <w:jc w:val="right"/>
              <w:rPr>
                <w:i/>
                <w:iCs/>
                <w:sz w:val="22"/>
                <w:szCs w:val="22"/>
              </w:rPr>
            </w:pPr>
            <w:r w:rsidRPr="60A05D1C">
              <w:rPr>
                <w:i/>
                <w:iCs/>
                <w:sz w:val="22"/>
                <w:szCs w:val="22"/>
              </w:rPr>
              <w:t>82,2</w:t>
            </w:r>
          </w:p>
        </w:tc>
        <w:tc>
          <w:tcPr>
            <w:tcW w:w="1110" w:type="dxa"/>
            <w:tcBorders>
              <w:top w:val="nil"/>
              <w:left w:val="nil"/>
              <w:bottom w:val="nil"/>
              <w:right w:val="single" w:sz="4" w:space="0" w:color="auto"/>
            </w:tcBorders>
            <w:shd w:val="clear" w:color="auto" w:fill="auto"/>
            <w:noWrap/>
            <w:vAlign w:val="bottom"/>
          </w:tcPr>
          <w:p w14:paraId="7F254AFE" w14:textId="1D1EFD40" w:rsidR="00F7497A" w:rsidRPr="004C30D8" w:rsidRDefault="60A05D1C" w:rsidP="60A05D1C">
            <w:pPr>
              <w:spacing w:after="0"/>
              <w:jc w:val="right"/>
              <w:rPr>
                <w:i/>
                <w:iCs/>
                <w:sz w:val="22"/>
                <w:szCs w:val="22"/>
              </w:rPr>
            </w:pPr>
            <w:r w:rsidRPr="60A05D1C">
              <w:rPr>
                <w:i/>
                <w:iCs/>
                <w:sz w:val="22"/>
                <w:szCs w:val="22"/>
              </w:rPr>
              <w:t>114,2</w:t>
            </w:r>
          </w:p>
        </w:tc>
      </w:tr>
      <w:tr w:rsidR="00F7497A" w:rsidRPr="004C30D8" w14:paraId="51F007CB"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1E9B006"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1D1288D5"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6B182520" w14:textId="77777777" w:rsidR="00F7497A" w:rsidRPr="004C30D8" w:rsidRDefault="60A05D1C" w:rsidP="60A05D1C">
            <w:pPr>
              <w:spacing w:after="0"/>
              <w:jc w:val="left"/>
              <w:rPr>
                <w:i/>
                <w:iCs/>
                <w:sz w:val="22"/>
                <w:szCs w:val="22"/>
              </w:rPr>
            </w:pPr>
            <w:r w:rsidRPr="60A05D1C">
              <w:rPr>
                <w:i/>
                <w:iCs/>
                <w:sz w:val="22"/>
                <w:szCs w:val="22"/>
              </w:rPr>
              <w:t>2.1.3.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18551CFC" w14:textId="09A91BB8" w:rsidR="00F7497A" w:rsidRPr="004C30D8" w:rsidRDefault="60A05D1C" w:rsidP="60A05D1C">
            <w:pPr>
              <w:spacing w:after="0"/>
              <w:jc w:val="right"/>
              <w:rPr>
                <w:i/>
                <w:iCs/>
                <w:sz w:val="22"/>
                <w:szCs w:val="22"/>
              </w:rPr>
            </w:pPr>
            <w:r w:rsidRPr="60A05D1C">
              <w:rPr>
                <w:i/>
                <w:iCs/>
                <w:sz w:val="22"/>
                <w:szCs w:val="22"/>
              </w:rPr>
              <w:t>26,1</w:t>
            </w:r>
          </w:p>
        </w:tc>
        <w:tc>
          <w:tcPr>
            <w:tcW w:w="1110" w:type="dxa"/>
            <w:tcBorders>
              <w:top w:val="nil"/>
              <w:left w:val="nil"/>
              <w:bottom w:val="nil"/>
              <w:right w:val="single" w:sz="4" w:space="0" w:color="auto"/>
            </w:tcBorders>
            <w:shd w:val="clear" w:color="auto" w:fill="auto"/>
            <w:noWrap/>
            <w:vAlign w:val="bottom"/>
          </w:tcPr>
          <w:p w14:paraId="1445B9A7" w14:textId="06C83CFB" w:rsidR="00F7497A" w:rsidRPr="004C30D8" w:rsidRDefault="60A05D1C" w:rsidP="60A05D1C">
            <w:pPr>
              <w:spacing w:after="0"/>
              <w:jc w:val="right"/>
              <w:rPr>
                <w:i/>
                <w:iCs/>
                <w:sz w:val="22"/>
                <w:szCs w:val="22"/>
              </w:rPr>
            </w:pPr>
            <w:r w:rsidRPr="60A05D1C">
              <w:rPr>
                <w:i/>
                <w:iCs/>
                <w:sz w:val="22"/>
                <w:szCs w:val="22"/>
              </w:rPr>
              <w:t>30,7</w:t>
            </w:r>
          </w:p>
        </w:tc>
      </w:tr>
      <w:tr w:rsidR="00F7497A" w:rsidRPr="004C30D8" w14:paraId="3B42D0AF"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067E592"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2CDEB7F4"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7743E208" w14:textId="77777777" w:rsidR="00F7497A" w:rsidRPr="004C30D8" w:rsidRDefault="60A05D1C" w:rsidP="60A05D1C">
            <w:pPr>
              <w:spacing w:after="0"/>
              <w:jc w:val="left"/>
              <w:rPr>
                <w:i/>
                <w:iCs/>
                <w:sz w:val="22"/>
                <w:szCs w:val="22"/>
              </w:rPr>
            </w:pPr>
            <w:r w:rsidRPr="60A05D1C">
              <w:rPr>
                <w:i/>
                <w:iCs/>
                <w:sz w:val="22"/>
                <w:szCs w:val="22"/>
              </w:rPr>
              <w:t xml:space="preserve">2.1.4. </w:t>
            </w:r>
            <w:proofErr w:type="spellStart"/>
            <w:r w:rsidRPr="60A05D1C">
              <w:rPr>
                <w:i/>
                <w:iCs/>
                <w:sz w:val="22"/>
                <w:szCs w:val="22"/>
              </w:rPr>
              <w:t>Repóügyletek</w:t>
            </w:r>
            <w:proofErr w:type="spellEnd"/>
            <w:r w:rsidRPr="60A05D1C">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024345B2" w14:textId="62377564" w:rsidR="00F7497A" w:rsidRPr="004C30D8" w:rsidRDefault="60A05D1C" w:rsidP="60A05D1C">
            <w:pPr>
              <w:spacing w:after="0"/>
              <w:jc w:val="right"/>
              <w:rPr>
                <w:i/>
                <w:iCs/>
                <w:sz w:val="22"/>
                <w:szCs w:val="22"/>
              </w:rPr>
            </w:pPr>
            <w:r w:rsidRPr="60A05D1C">
              <w:rPr>
                <w:i/>
                <w:iCs/>
                <w:sz w:val="22"/>
                <w:szCs w:val="22"/>
              </w:rPr>
              <w:t>0,</w:t>
            </w:r>
            <w:proofErr w:type="spellStart"/>
            <w:r w:rsidRPr="60A05D1C">
              <w:rPr>
                <w:i/>
                <w:iCs/>
                <w:sz w:val="22"/>
                <w:szCs w:val="22"/>
              </w:rPr>
              <w:t>0</w:t>
            </w:r>
            <w:proofErr w:type="spellEnd"/>
          </w:p>
        </w:tc>
        <w:tc>
          <w:tcPr>
            <w:tcW w:w="1110" w:type="dxa"/>
            <w:tcBorders>
              <w:top w:val="nil"/>
              <w:left w:val="nil"/>
              <w:bottom w:val="nil"/>
              <w:right w:val="single" w:sz="4" w:space="0" w:color="auto"/>
            </w:tcBorders>
            <w:shd w:val="clear" w:color="auto" w:fill="auto"/>
            <w:noWrap/>
            <w:vAlign w:val="bottom"/>
          </w:tcPr>
          <w:p w14:paraId="69D569A5" w14:textId="6FDFDE4A" w:rsidR="00F7497A" w:rsidRPr="004C30D8" w:rsidRDefault="60A05D1C" w:rsidP="60A05D1C">
            <w:pPr>
              <w:spacing w:after="0"/>
              <w:jc w:val="right"/>
              <w:rPr>
                <w:i/>
                <w:iCs/>
                <w:sz w:val="22"/>
                <w:szCs w:val="22"/>
              </w:rPr>
            </w:pPr>
            <w:r w:rsidRPr="60A05D1C">
              <w:rPr>
                <w:i/>
                <w:iCs/>
                <w:sz w:val="22"/>
                <w:szCs w:val="22"/>
              </w:rPr>
              <w:t>0,</w:t>
            </w:r>
            <w:proofErr w:type="spellStart"/>
            <w:r w:rsidRPr="60A05D1C">
              <w:rPr>
                <w:i/>
                <w:iCs/>
                <w:sz w:val="22"/>
                <w:szCs w:val="22"/>
              </w:rPr>
              <w:t>0</w:t>
            </w:r>
            <w:proofErr w:type="spellEnd"/>
          </w:p>
        </w:tc>
      </w:tr>
      <w:tr w:rsidR="00F7497A" w:rsidRPr="004C30D8" w14:paraId="3CDF4154" w14:textId="77777777" w:rsidTr="60A05D1C">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0D4CB014"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single" w:sz="4" w:space="0" w:color="auto"/>
              <w:right w:val="nil"/>
            </w:tcBorders>
            <w:shd w:val="clear" w:color="auto" w:fill="FFFFFF" w:themeFill="background1"/>
            <w:noWrap/>
            <w:vAlign w:val="bottom"/>
            <w:hideMark/>
          </w:tcPr>
          <w:p w14:paraId="520BB553"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263804A0" w14:textId="77777777" w:rsidR="00F7497A" w:rsidRPr="004C30D8" w:rsidRDefault="60A05D1C" w:rsidP="60A05D1C">
            <w:pPr>
              <w:spacing w:after="0"/>
              <w:jc w:val="left"/>
              <w:rPr>
                <w:i/>
                <w:iCs/>
                <w:sz w:val="22"/>
                <w:szCs w:val="22"/>
              </w:rPr>
            </w:pPr>
            <w:r w:rsidRPr="60A05D1C">
              <w:rPr>
                <w:i/>
                <w:iCs/>
                <w:sz w:val="22"/>
                <w:szCs w:val="22"/>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162EF0" w14:textId="45D48784" w:rsidR="00F7497A" w:rsidRPr="004C30D8" w:rsidRDefault="60A05D1C" w:rsidP="60A05D1C">
            <w:pPr>
              <w:spacing w:after="0"/>
              <w:jc w:val="right"/>
              <w:rPr>
                <w:i/>
                <w:iCs/>
                <w:sz w:val="22"/>
                <w:szCs w:val="22"/>
              </w:rPr>
            </w:pPr>
            <w:r w:rsidRPr="60A05D1C">
              <w:rPr>
                <w:i/>
                <w:iCs/>
                <w:sz w:val="22"/>
                <w:szCs w:val="22"/>
              </w:rPr>
              <w:t>0,</w:t>
            </w:r>
            <w:proofErr w:type="spellStart"/>
            <w:r w:rsidRPr="60A05D1C">
              <w:rPr>
                <w:i/>
                <w:iCs/>
                <w:sz w:val="22"/>
                <w:szCs w:val="22"/>
              </w:rPr>
              <w:t>0</w:t>
            </w:r>
            <w:proofErr w:type="spellEnd"/>
          </w:p>
        </w:tc>
        <w:tc>
          <w:tcPr>
            <w:tcW w:w="1110" w:type="dxa"/>
            <w:tcBorders>
              <w:top w:val="nil"/>
              <w:left w:val="nil"/>
              <w:bottom w:val="single" w:sz="4" w:space="0" w:color="auto"/>
              <w:right w:val="single" w:sz="4" w:space="0" w:color="auto"/>
            </w:tcBorders>
            <w:shd w:val="clear" w:color="auto" w:fill="auto"/>
            <w:noWrap/>
            <w:vAlign w:val="bottom"/>
          </w:tcPr>
          <w:p w14:paraId="44138B99" w14:textId="41668593" w:rsidR="00F7497A" w:rsidRPr="004C30D8" w:rsidRDefault="60A05D1C" w:rsidP="60A05D1C">
            <w:pPr>
              <w:spacing w:after="0"/>
              <w:jc w:val="right"/>
              <w:rPr>
                <w:i/>
                <w:iCs/>
                <w:sz w:val="22"/>
                <w:szCs w:val="22"/>
              </w:rPr>
            </w:pPr>
            <w:r w:rsidRPr="60A05D1C">
              <w:rPr>
                <w:i/>
                <w:iCs/>
                <w:sz w:val="22"/>
                <w:szCs w:val="22"/>
              </w:rPr>
              <w:t>0,</w:t>
            </w:r>
            <w:proofErr w:type="spellStart"/>
            <w:r w:rsidRPr="60A05D1C">
              <w:rPr>
                <w:i/>
                <w:iCs/>
                <w:sz w:val="22"/>
                <w:szCs w:val="22"/>
              </w:rPr>
              <w:t>0</w:t>
            </w:r>
            <w:proofErr w:type="spellEnd"/>
          </w:p>
        </w:tc>
      </w:tr>
      <w:tr w:rsidR="00F7497A" w:rsidRPr="004C30D8" w14:paraId="3E05B15A" w14:textId="77777777" w:rsidTr="60A05D1C">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BD9F7B3" w14:textId="77777777" w:rsidR="00F7497A" w:rsidRPr="004C30D8" w:rsidRDefault="60A05D1C" w:rsidP="60A05D1C">
            <w:pPr>
              <w:spacing w:after="0"/>
              <w:jc w:val="left"/>
              <w:rPr>
                <w:sz w:val="22"/>
                <w:szCs w:val="22"/>
              </w:rPr>
            </w:pPr>
            <w:r w:rsidRPr="60A05D1C">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00731B" w14:textId="77777777" w:rsidR="00F7497A" w:rsidRPr="004C30D8" w:rsidRDefault="60A05D1C" w:rsidP="60A05D1C">
            <w:pPr>
              <w:spacing w:after="0"/>
              <w:jc w:val="left"/>
              <w:rPr>
                <w:b/>
                <w:bCs/>
                <w:sz w:val="22"/>
                <w:szCs w:val="22"/>
              </w:rPr>
            </w:pPr>
            <w:r w:rsidRPr="60A05D1C">
              <w:rPr>
                <w:b/>
                <w:bCs/>
                <w:sz w:val="22"/>
                <w:szCs w:val="22"/>
              </w:rPr>
              <w:t>2.2. Deviza</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04CADEC" w14:textId="018B7CF7" w:rsidR="00F7497A" w:rsidRPr="004C30D8" w:rsidRDefault="60A05D1C" w:rsidP="60A05D1C">
            <w:pPr>
              <w:spacing w:after="0"/>
              <w:jc w:val="right"/>
              <w:rPr>
                <w:b/>
                <w:bCs/>
                <w:sz w:val="22"/>
                <w:szCs w:val="22"/>
              </w:rPr>
            </w:pPr>
            <w:r w:rsidRPr="60A05D1C">
              <w:rPr>
                <w:b/>
                <w:bCs/>
                <w:sz w:val="22"/>
                <w:szCs w:val="22"/>
              </w:rPr>
              <w:t>81,8</w:t>
            </w:r>
          </w:p>
        </w:tc>
        <w:tc>
          <w:tcPr>
            <w:tcW w:w="1110" w:type="dxa"/>
            <w:tcBorders>
              <w:top w:val="nil"/>
              <w:left w:val="nil"/>
              <w:bottom w:val="single" w:sz="4" w:space="0" w:color="auto"/>
              <w:right w:val="single" w:sz="4" w:space="0" w:color="auto"/>
            </w:tcBorders>
            <w:shd w:val="clear" w:color="auto" w:fill="auto"/>
            <w:noWrap/>
            <w:vAlign w:val="bottom"/>
          </w:tcPr>
          <w:p w14:paraId="08B90BC8" w14:textId="11FCDE54" w:rsidR="00F7497A" w:rsidRPr="004C30D8" w:rsidRDefault="60A05D1C" w:rsidP="60A05D1C">
            <w:pPr>
              <w:spacing w:after="0"/>
              <w:jc w:val="right"/>
              <w:rPr>
                <w:b/>
                <w:bCs/>
                <w:sz w:val="22"/>
                <w:szCs w:val="22"/>
              </w:rPr>
            </w:pPr>
            <w:r w:rsidRPr="60A05D1C">
              <w:rPr>
                <w:b/>
                <w:bCs/>
                <w:sz w:val="22"/>
                <w:szCs w:val="22"/>
              </w:rPr>
              <w:t>103,0</w:t>
            </w:r>
          </w:p>
        </w:tc>
      </w:tr>
      <w:tr w:rsidR="00F7497A" w:rsidRPr="004C30D8" w14:paraId="3DD0AB63"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B719E49"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50D2597E"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0C02418" w14:textId="77777777" w:rsidR="00F7497A" w:rsidRPr="004C30D8" w:rsidRDefault="60A05D1C" w:rsidP="60A05D1C">
            <w:pPr>
              <w:spacing w:after="0"/>
              <w:jc w:val="left"/>
              <w:rPr>
                <w:i/>
                <w:iCs/>
                <w:sz w:val="22"/>
                <w:szCs w:val="22"/>
              </w:rPr>
            </w:pPr>
            <w:r w:rsidRPr="60A05D1C">
              <w:rPr>
                <w:i/>
                <w:iCs/>
                <w:sz w:val="22"/>
                <w:szCs w:val="22"/>
              </w:rPr>
              <w:t>2.2.1. Devizahitelek kamata</w:t>
            </w:r>
          </w:p>
        </w:tc>
        <w:tc>
          <w:tcPr>
            <w:tcW w:w="1134" w:type="dxa"/>
            <w:tcBorders>
              <w:top w:val="nil"/>
              <w:left w:val="single" w:sz="4" w:space="0" w:color="auto"/>
              <w:bottom w:val="nil"/>
              <w:right w:val="single" w:sz="4" w:space="0" w:color="auto"/>
            </w:tcBorders>
            <w:shd w:val="clear" w:color="auto" w:fill="auto"/>
            <w:noWrap/>
            <w:vAlign w:val="bottom"/>
          </w:tcPr>
          <w:p w14:paraId="56358715" w14:textId="3E2C5CBB" w:rsidR="00F7497A" w:rsidRPr="004C30D8" w:rsidRDefault="60A05D1C" w:rsidP="60A05D1C">
            <w:pPr>
              <w:spacing w:after="0"/>
              <w:jc w:val="right"/>
              <w:rPr>
                <w:i/>
                <w:iCs/>
                <w:sz w:val="22"/>
                <w:szCs w:val="22"/>
              </w:rPr>
            </w:pPr>
            <w:r w:rsidRPr="60A05D1C">
              <w:rPr>
                <w:i/>
                <w:iCs/>
                <w:sz w:val="22"/>
                <w:szCs w:val="22"/>
              </w:rPr>
              <w:t>4,8</w:t>
            </w:r>
          </w:p>
        </w:tc>
        <w:tc>
          <w:tcPr>
            <w:tcW w:w="1110" w:type="dxa"/>
            <w:tcBorders>
              <w:top w:val="nil"/>
              <w:left w:val="nil"/>
              <w:bottom w:val="nil"/>
              <w:right w:val="single" w:sz="4" w:space="0" w:color="auto"/>
            </w:tcBorders>
            <w:shd w:val="clear" w:color="auto" w:fill="auto"/>
            <w:noWrap/>
            <w:vAlign w:val="bottom"/>
          </w:tcPr>
          <w:p w14:paraId="5E8C0CB7" w14:textId="3F9B7411" w:rsidR="00F7497A" w:rsidRPr="004C30D8" w:rsidRDefault="60A05D1C" w:rsidP="60A05D1C">
            <w:pPr>
              <w:spacing w:after="0"/>
              <w:jc w:val="right"/>
              <w:rPr>
                <w:i/>
                <w:iCs/>
                <w:sz w:val="22"/>
                <w:szCs w:val="22"/>
              </w:rPr>
            </w:pPr>
            <w:r w:rsidRPr="60A05D1C">
              <w:rPr>
                <w:i/>
                <w:iCs/>
                <w:sz w:val="22"/>
                <w:szCs w:val="22"/>
              </w:rPr>
              <w:t>5,8</w:t>
            </w:r>
          </w:p>
        </w:tc>
      </w:tr>
      <w:tr w:rsidR="00F7497A" w:rsidRPr="004C30D8" w14:paraId="127E54F2" w14:textId="77777777" w:rsidTr="60A05D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94BC5D1" w14:textId="77777777" w:rsidR="00F7497A" w:rsidRPr="004C30D8" w:rsidRDefault="60A05D1C" w:rsidP="60A05D1C">
            <w:pPr>
              <w:spacing w:after="0"/>
              <w:jc w:val="left"/>
              <w:rPr>
                <w:sz w:val="22"/>
                <w:szCs w:val="22"/>
              </w:rPr>
            </w:pPr>
            <w:r w:rsidRPr="60A05D1C">
              <w:rPr>
                <w:sz w:val="22"/>
                <w:szCs w:val="22"/>
              </w:rPr>
              <w:t> </w:t>
            </w:r>
          </w:p>
        </w:tc>
        <w:tc>
          <w:tcPr>
            <w:tcW w:w="340" w:type="dxa"/>
            <w:tcBorders>
              <w:top w:val="nil"/>
              <w:left w:val="nil"/>
              <w:bottom w:val="nil"/>
              <w:right w:val="nil"/>
            </w:tcBorders>
            <w:shd w:val="clear" w:color="auto" w:fill="FFFFFF" w:themeFill="background1"/>
            <w:noWrap/>
            <w:vAlign w:val="bottom"/>
            <w:hideMark/>
          </w:tcPr>
          <w:p w14:paraId="3AF09607" w14:textId="77777777" w:rsidR="00F7497A" w:rsidRPr="004C30D8" w:rsidRDefault="60A05D1C" w:rsidP="60A05D1C">
            <w:pPr>
              <w:spacing w:after="0"/>
              <w:jc w:val="left"/>
              <w:rPr>
                <w:sz w:val="22"/>
                <w:szCs w:val="22"/>
              </w:rPr>
            </w:pPr>
            <w:r w:rsidRPr="60A05D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AB85FBD" w14:textId="77777777" w:rsidR="00F7497A" w:rsidRPr="004C30D8" w:rsidRDefault="60A05D1C" w:rsidP="60A05D1C">
            <w:pPr>
              <w:spacing w:after="0"/>
              <w:jc w:val="left"/>
              <w:rPr>
                <w:i/>
                <w:iCs/>
                <w:sz w:val="22"/>
                <w:szCs w:val="22"/>
              </w:rPr>
            </w:pPr>
            <w:r w:rsidRPr="60A05D1C">
              <w:rPr>
                <w:i/>
                <w:iCs/>
                <w:sz w:val="22"/>
                <w:szCs w:val="22"/>
              </w:rPr>
              <w:t>2.2.2. Devizakötvények kamata</w:t>
            </w:r>
          </w:p>
        </w:tc>
        <w:tc>
          <w:tcPr>
            <w:tcW w:w="1134" w:type="dxa"/>
            <w:tcBorders>
              <w:top w:val="nil"/>
              <w:left w:val="single" w:sz="4" w:space="0" w:color="auto"/>
              <w:bottom w:val="nil"/>
              <w:right w:val="single" w:sz="4" w:space="0" w:color="auto"/>
            </w:tcBorders>
            <w:shd w:val="clear" w:color="auto" w:fill="auto"/>
            <w:noWrap/>
            <w:vAlign w:val="bottom"/>
          </w:tcPr>
          <w:p w14:paraId="4E3D9D4B" w14:textId="79E613D9" w:rsidR="00F7497A" w:rsidRPr="004C30D8" w:rsidRDefault="60A05D1C" w:rsidP="60A05D1C">
            <w:pPr>
              <w:spacing w:after="0"/>
              <w:jc w:val="right"/>
              <w:rPr>
                <w:i/>
                <w:iCs/>
                <w:sz w:val="22"/>
                <w:szCs w:val="22"/>
              </w:rPr>
            </w:pPr>
            <w:r w:rsidRPr="60A05D1C">
              <w:rPr>
                <w:i/>
                <w:iCs/>
                <w:sz w:val="22"/>
                <w:szCs w:val="22"/>
              </w:rPr>
              <w:t>77,0</w:t>
            </w:r>
          </w:p>
        </w:tc>
        <w:tc>
          <w:tcPr>
            <w:tcW w:w="1110" w:type="dxa"/>
            <w:tcBorders>
              <w:top w:val="nil"/>
              <w:left w:val="nil"/>
              <w:bottom w:val="nil"/>
              <w:right w:val="single" w:sz="4" w:space="0" w:color="auto"/>
            </w:tcBorders>
            <w:shd w:val="clear" w:color="auto" w:fill="auto"/>
            <w:noWrap/>
            <w:vAlign w:val="bottom"/>
          </w:tcPr>
          <w:p w14:paraId="2CC81299" w14:textId="788EC335" w:rsidR="00F7497A" w:rsidRPr="004C30D8" w:rsidRDefault="60A05D1C" w:rsidP="60A05D1C">
            <w:pPr>
              <w:spacing w:after="0"/>
              <w:jc w:val="right"/>
              <w:rPr>
                <w:i/>
                <w:iCs/>
                <w:sz w:val="22"/>
                <w:szCs w:val="22"/>
              </w:rPr>
            </w:pPr>
            <w:r w:rsidRPr="60A05D1C">
              <w:rPr>
                <w:i/>
                <w:iCs/>
                <w:sz w:val="22"/>
                <w:szCs w:val="22"/>
              </w:rPr>
              <w:t>97,2</w:t>
            </w:r>
          </w:p>
        </w:tc>
      </w:tr>
      <w:tr w:rsidR="004C30D8" w:rsidRPr="004C30D8" w14:paraId="123C030E" w14:textId="77777777" w:rsidTr="60A05D1C">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138D87D5" w14:textId="77777777" w:rsidR="004C30D8" w:rsidRPr="004C30D8" w:rsidRDefault="60A05D1C" w:rsidP="60A05D1C">
            <w:pPr>
              <w:spacing w:after="0"/>
              <w:jc w:val="left"/>
              <w:rPr>
                <w:sz w:val="22"/>
                <w:szCs w:val="22"/>
              </w:rPr>
            </w:pPr>
            <w:r w:rsidRPr="60A05D1C">
              <w:rPr>
                <w:sz w:val="22"/>
                <w:szCs w:val="22"/>
              </w:rPr>
              <w:t> </w:t>
            </w:r>
          </w:p>
        </w:tc>
        <w:tc>
          <w:tcPr>
            <w:tcW w:w="340" w:type="dxa"/>
            <w:tcBorders>
              <w:top w:val="single" w:sz="4" w:space="0" w:color="auto"/>
              <w:left w:val="nil"/>
              <w:bottom w:val="single" w:sz="4" w:space="0" w:color="auto"/>
              <w:right w:val="nil"/>
            </w:tcBorders>
            <w:shd w:val="clear" w:color="auto" w:fill="FFFFFF" w:themeFill="background1"/>
            <w:noWrap/>
            <w:vAlign w:val="bottom"/>
            <w:hideMark/>
          </w:tcPr>
          <w:p w14:paraId="37A0A788" w14:textId="77777777" w:rsidR="004C30D8" w:rsidRPr="004C30D8" w:rsidRDefault="60A05D1C" w:rsidP="60A05D1C">
            <w:pPr>
              <w:spacing w:after="0"/>
              <w:jc w:val="left"/>
              <w:rPr>
                <w:sz w:val="22"/>
                <w:szCs w:val="22"/>
              </w:rPr>
            </w:pPr>
            <w:r w:rsidRPr="60A05D1C">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7EC3E" w14:textId="77777777" w:rsidR="004C30D8" w:rsidRPr="004C30D8" w:rsidRDefault="60A05D1C" w:rsidP="60A05D1C">
            <w:pPr>
              <w:spacing w:after="0"/>
              <w:jc w:val="left"/>
              <w:rPr>
                <w:sz w:val="22"/>
                <w:szCs w:val="22"/>
              </w:rPr>
            </w:pPr>
            <w:r w:rsidRPr="60A05D1C">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C636" w14:textId="6D850F3C" w:rsidR="004C30D8" w:rsidRPr="004C30D8" w:rsidRDefault="004C30D8" w:rsidP="27083F14">
            <w:pPr>
              <w:spacing w:after="0"/>
              <w:jc w:val="left"/>
              <w:rPr>
                <w:sz w:val="22"/>
                <w:szCs w:val="22"/>
              </w:rPr>
            </w:pP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4E46EE97" w14:textId="1795EBD5" w:rsidR="004C30D8" w:rsidRPr="004C30D8" w:rsidRDefault="004C30D8" w:rsidP="27083F14">
            <w:pPr>
              <w:spacing w:after="0"/>
              <w:jc w:val="left"/>
              <w:rPr>
                <w:sz w:val="22"/>
                <w:szCs w:val="22"/>
              </w:rPr>
            </w:pPr>
          </w:p>
        </w:tc>
      </w:tr>
      <w:tr w:rsidR="00F7497A" w:rsidRPr="004C30D8" w14:paraId="18498B80" w14:textId="77777777" w:rsidTr="60A05D1C">
        <w:trPr>
          <w:trHeight w:val="285"/>
          <w:jc w:val="center"/>
        </w:trPr>
        <w:tc>
          <w:tcPr>
            <w:tcW w:w="4727"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34DEEA7" w14:textId="77777777" w:rsidR="00F7497A" w:rsidRPr="004C30D8" w:rsidRDefault="60A05D1C" w:rsidP="60A05D1C">
            <w:pPr>
              <w:spacing w:after="0"/>
              <w:jc w:val="left"/>
              <w:rPr>
                <w:b/>
                <w:bCs/>
                <w:sz w:val="22"/>
                <w:szCs w:val="22"/>
              </w:rPr>
            </w:pPr>
            <w:r w:rsidRPr="60A05D1C">
              <w:rPr>
                <w:b/>
                <w:bCs/>
                <w:sz w:val="22"/>
                <w:szCs w:val="22"/>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C949D7" w14:textId="6857A97A" w:rsidR="00F7497A" w:rsidRPr="004C30D8" w:rsidRDefault="60A05D1C" w:rsidP="60A05D1C">
            <w:pPr>
              <w:spacing w:after="0"/>
              <w:jc w:val="right"/>
              <w:rPr>
                <w:b/>
                <w:bCs/>
                <w:sz w:val="22"/>
                <w:szCs w:val="22"/>
              </w:rPr>
            </w:pPr>
            <w:r w:rsidRPr="60A05D1C">
              <w:rPr>
                <w:b/>
                <w:bCs/>
                <w:sz w:val="22"/>
                <w:szCs w:val="22"/>
              </w:rPr>
              <w:t>129,4</w:t>
            </w:r>
          </w:p>
        </w:tc>
        <w:tc>
          <w:tcPr>
            <w:tcW w:w="1110" w:type="dxa"/>
            <w:tcBorders>
              <w:top w:val="nil"/>
              <w:left w:val="nil"/>
              <w:bottom w:val="single" w:sz="4" w:space="0" w:color="auto"/>
              <w:right w:val="single" w:sz="4" w:space="0" w:color="auto"/>
            </w:tcBorders>
            <w:shd w:val="clear" w:color="auto" w:fill="auto"/>
            <w:noWrap/>
            <w:vAlign w:val="center"/>
          </w:tcPr>
          <w:p w14:paraId="6822C0C1" w14:textId="543A1133" w:rsidR="00F7497A" w:rsidRPr="004C30D8" w:rsidRDefault="60A05D1C" w:rsidP="60A05D1C">
            <w:pPr>
              <w:spacing w:after="0"/>
              <w:jc w:val="right"/>
              <w:rPr>
                <w:b/>
                <w:bCs/>
                <w:sz w:val="22"/>
                <w:szCs w:val="22"/>
              </w:rPr>
            </w:pPr>
            <w:r w:rsidRPr="60A05D1C">
              <w:rPr>
                <w:b/>
                <w:bCs/>
                <w:sz w:val="22"/>
                <w:szCs w:val="22"/>
              </w:rPr>
              <w:t>211,0</w:t>
            </w:r>
          </w:p>
        </w:tc>
      </w:tr>
    </w:tbl>
    <w:p w14:paraId="5D4F03D9" w14:textId="07AF30E8" w:rsidR="00D52A69" w:rsidRPr="29F45AC7" w:rsidRDefault="00E4079D" w:rsidP="00D52A69">
      <w:pPr>
        <w:tabs>
          <w:tab w:val="left" w:pos="550"/>
        </w:tabs>
        <w:spacing w:before="120"/>
        <w:rPr>
          <w:caps/>
        </w:rPr>
      </w:pPr>
      <w:r w:rsidRPr="113728CE">
        <w:rPr>
          <w:caps/>
        </w:rPr>
        <w:br w:type="page"/>
      </w:r>
    </w:p>
    <w:p w14:paraId="5D4F0440" w14:textId="417C1316" w:rsidR="00B93477" w:rsidRDefault="60A05D1C" w:rsidP="60A05D1C">
      <w:pPr>
        <w:pStyle w:val="Cmsor4"/>
        <w:ind w:right="-1"/>
        <w:jc w:val="center"/>
        <w:rPr>
          <w:caps/>
        </w:rPr>
      </w:pPr>
      <w:r w:rsidRPr="60A05D1C">
        <w:rPr>
          <w:caps/>
        </w:rPr>
        <w:lastRenderedPageBreak/>
        <w:t>II.</w:t>
      </w:r>
      <w:r w:rsidR="25153DD4">
        <w:br/>
      </w:r>
      <w:r w:rsidRPr="60A05D1C">
        <w:rPr>
          <w:caps/>
        </w:rPr>
        <w:t>Az államháztartás központi alrendszerének finanszírozása</w:t>
      </w:r>
    </w:p>
    <w:p w14:paraId="64D3034E" w14:textId="77777777" w:rsidR="00650CB3" w:rsidRPr="00650CB3" w:rsidRDefault="00650CB3" w:rsidP="00650CB3"/>
    <w:p w14:paraId="5D4F0441" w14:textId="77777777" w:rsidR="006E2559" w:rsidRDefault="60A05D1C" w:rsidP="27083F14">
      <w:pPr>
        <w:pStyle w:val="Cmsor4"/>
        <w:numPr>
          <w:ilvl w:val="0"/>
          <w:numId w:val="5"/>
        </w:numPr>
        <w:spacing w:before="120"/>
        <w:ind w:left="567" w:hanging="567"/>
      </w:pPr>
      <w:r>
        <w:t xml:space="preserve">Állományi adatok </w:t>
      </w:r>
    </w:p>
    <w:p w14:paraId="4C3CD2FF" w14:textId="77777777" w:rsidR="006D30C1" w:rsidRPr="00EC6247" w:rsidRDefault="60A05D1C" w:rsidP="006D30C1">
      <w:pPr>
        <w:spacing w:after="240"/>
        <w:ind w:right="23"/>
        <w:rPr>
          <w:bCs/>
          <w:szCs w:val="26"/>
        </w:rPr>
      </w:pPr>
      <w:r w:rsidRPr="60A05D1C">
        <w:rPr>
          <w:b/>
          <w:bCs/>
        </w:rPr>
        <w:t xml:space="preserve">A központi költségvetés adóssága április </w:t>
      </w:r>
      <w:r>
        <w:t xml:space="preserve">végéig 1243,8 milliárd forinttal </w:t>
      </w:r>
      <w:r w:rsidRPr="60A05D1C">
        <w:rPr>
          <w:b/>
          <w:bCs/>
        </w:rPr>
        <w:t xml:space="preserve">növekedett </w:t>
      </w:r>
      <w:r>
        <w:t>négy, egymást részben ellensúlyozó tényező következtében:</w:t>
      </w:r>
    </w:p>
    <w:p w14:paraId="547750BC" w14:textId="77777777" w:rsidR="006D30C1" w:rsidRPr="00EC6247" w:rsidRDefault="60A05D1C" w:rsidP="60A05D1C">
      <w:pPr>
        <w:numPr>
          <w:ilvl w:val="0"/>
          <w:numId w:val="7"/>
        </w:numPr>
        <w:spacing w:before="120" w:after="240"/>
        <w:ind w:left="714" w:right="23" w:hanging="357"/>
        <w:rPr>
          <w:b/>
          <w:bCs/>
        </w:rPr>
      </w:pPr>
      <w:r w:rsidRPr="60A05D1C">
        <w:rPr>
          <w:b/>
          <w:bCs/>
        </w:rPr>
        <w:t>Az első tényező</w:t>
      </w:r>
      <w:r>
        <w:t xml:space="preserve"> a nettó forintkibocsátás 842,5 milliárd forint összegben, ami a költségvetés éves hiányát és részben a lejáró devizaadósságot </w:t>
      </w:r>
      <w:proofErr w:type="gramStart"/>
      <w:r>
        <w:t>finanszírozza</w:t>
      </w:r>
      <w:proofErr w:type="gramEnd"/>
      <w:r>
        <w:t>.</w:t>
      </w:r>
    </w:p>
    <w:p w14:paraId="00611CCF" w14:textId="77777777" w:rsidR="006D30C1" w:rsidRPr="00EC6247" w:rsidRDefault="60A05D1C" w:rsidP="25153DD4">
      <w:pPr>
        <w:numPr>
          <w:ilvl w:val="0"/>
          <w:numId w:val="7"/>
        </w:numPr>
        <w:spacing w:before="120" w:after="240"/>
        <w:ind w:left="714" w:right="23" w:hanging="357"/>
      </w:pPr>
      <w:r w:rsidRPr="60A05D1C">
        <w:rPr>
          <w:b/>
          <w:bCs/>
        </w:rPr>
        <w:t xml:space="preserve">A második – növelő hatású – tényező </w:t>
      </w:r>
      <w:r>
        <w:t>a forint árfolyamának az elmúlt év végéhez képest bekövetkezett gyengülése, amely az adósság devizában fennálló részének forintban számított nyilvántartási értékét 314,4 milliárd forinttal növelte.</w:t>
      </w:r>
    </w:p>
    <w:p w14:paraId="289AE2E1" w14:textId="77777777" w:rsidR="006D30C1" w:rsidRPr="00EC6247" w:rsidRDefault="60A05D1C" w:rsidP="25153DD4">
      <w:pPr>
        <w:numPr>
          <w:ilvl w:val="0"/>
          <w:numId w:val="7"/>
        </w:numPr>
        <w:spacing w:after="240"/>
        <w:ind w:right="23"/>
      </w:pPr>
      <w:r w:rsidRPr="60A05D1C">
        <w:rPr>
          <w:b/>
          <w:bCs/>
        </w:rPr>
        <w:t xml:space="preserve">A harmadik – szintén növelő hatású – tényező </w:t>
      </w:r>
      <w:r>
        <w:t xml:space="preserve">a deviza-keresztárfolyamok változása és egyéb tényezők miatt bekövetkezett </w:t>
      </w:r>
      <w:proofErr w:type="spellStart"/>
      <w:r>
        <w:t>mark-to-market</w:t>
      </w:r>
      <w:proofErr w:type="spellEnd"/>
      <w:r>
        <w:t xml:space="preserve"> betétállományok növekedése 110,3 milliárd forint összegben.</w:t>
      </w:r>
    </w:p>
    <w:p w14:paraId="6773627F" w14:textId="58FE95A0" w:rsidR="00137A21" w:rsidRPr="00A373CF" w:rsidRDefault="60A05D1C" w:rsidP="60A05D1C">
      <w:pPr>
        <w:numPr>
          <w:ilvl w:val="0"/>
          <w:numId w:val="7"/>
        </w:numPr>
        <w:spacing w:before="120" w:after="240"/>
        <w:ind w:right="23"/>
        <w:rPr>
          <w:b/>
          <w:bCs/>
        </w:rPr>
      </w:pPr>
      <w:r w:rsidRPr="60A05D1C">
        <w:rPr>
          <w:b/>
          <w:bCs/>
        </w:rPr>
        <w:t xml:space="preserve">A negyedik – előbbiekkel ellentétes, csökkentő hatású – tényező </w:t>
      </w:r>
      <w:r>
        <w:t>a nettó devizatörlesztés, amely 23,4 milliárd forinttal csökkentette a költségvetés adósságát.</w:t>
      </w:r>
    </w:p>
    <w:p w14:paraId="509339C9" w14:textId="77777777" w:rsidR="00427794" w:rsidRDefault="00427794" w:rsidP="00427794">
      <w:pPr>
        <w:numPr>
          <w:ilvl w:val="0"/>
          <w:numId w:val="7"/>
        </w:numPr>
        <w:spacing w:before="120"/>
        <w:ind w:left="714" w:right="23" w:hanging="357"/>
        <w:rPr>
          <w:bCs/>
          <w:szCs w:val="26"/>
        </w:rPr>
        <w:sectPr w:rsidR="00427794" w:rsidSect="00D46179">
          <w:headerReference w:type="default" r:id="rId25"/>
          <w:headerReference w:type="first" r:id="rId26"/>
          <w:footnotePr>
            <w:numRestart w:val="eachPage"/>
          </w:footnotePr>
          <w:pgSz w:w="11907" w:h="16840" w:code="9"/>
          <w:pgMar w:top="1134" w:right="1134" w:bottom="1418" w:left="1418" w:header="709" w:footer="709" w:gutter="0"/>
          <w:pgNumType w:start="1"/>
          <w:cols w:space="708"/>
          <w:docGrid w:linePitch="354"/>
        </w:sectPr>
      </w:pPr>
    </w:p>
    <w:p w14:paraId="405D8FE5" w14:textId="40E5740B" w:rsidR="00256EE8" w:rsidRPr="00256EE8" w:rsidRDefault="60A05D1C" w:rsidP="00D94F6F">
      <w:pPr>
        <w:ind w:right="23"/>
        <w:rPr>
          <w:bCs/>
          <w:szCs w:val="26"/>
        </w:rPr>
      </w:pPr>
      <w:r>
        <w:lastRenderedPageBreak/>
        <w:t xml:space="preserve">Az előzetes adatok szerint április végén a </w:t>
      </w:r>
      <w:r w:rsidRPr="60A05D1C">
        <w:rPr>
          <w:b/>
          <w:bCs/>
        </w:rPr>
        <w:t xml:space="preserve">központi költségvetés forint- és devizaadóssága </w:t>
      </w:r>
      <w:r>
        <w:t>az alábbiak szerint alakult:</w:t>
      </w:r>
    </w:p>
    <w:p w14:paraId="45726EA9" w14:textId="108B1B9A" w:rsidR="00BF18EE" w:rsidRDefault="60A05D1C" w:rsidP="00D94F6F">
      <w:pPr>
        <w:overflowPunct w:val="0"/>
        <w:autoSpaceDE w:val="0"/>
        <w:autoSpaceDN w:val="0"/>
        <w:adjustRightInd w:val="0"/>
        <w:spacing w:before="240" w:after="240"/>
        <w:ind w:right="23"/>
        <w:jc w:val="center"/>
        <w:textAlignment w:val="baseline"/>
      </w:pPr>
      <w:r>
        <w:t>A központi költségvetés adósságának alakulása 2020-ban, milliárd forint</w:t>
      </w:r>
    </w:p>
    <w:p w14:paraId="689D04B3" w14:textId="4BA32ABB" w:rsidR="009773BE" w:rsidRDefault="006D30C1" w:rsidP="00D94F6F">
      <w:pPr>
        <w:overflowPunct w:val="0"/>
        <w:autoSpaceDE w:val="0"/>
        <w:autoSpaceDN w:val="0"/>
        <w:adjustRightInd w:val="0"/>
        <w:ind w:right="23"/>
        <w:jc w:val="center"/>
        <w:textAlignment w:val="baseline"/>
      </w:pPr>
      <w:r w:rsidRPr="006D30C1">
        <w:rPr>
          <w:noProof/>
        </w:rPr>
        <w:drawing>
          <wp:inline distT="0" distB="0" distL="0" distR="0" wp14:anchorId="5F514F87" wp14:editId="29AB35F8">
            <wp:extent cx="9072880" cy="3928745"/>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2880" cy="3928745"/>
                    </a:xfrm>
                    <a:prstGeom prst="rect">
                      <a:avLst/>
                    </a:prstGeom>
                    <a:noFill/>
                    <a:ln>
                      <a:noFill/>
                    </a:ln>
                  </pic:spPr>
                </pic:pic>
              </a:graphicData>
            </a:graphic>
          </wp:inline>
        </w:drawing>
      </w:r>
    </w:p>
    <w:p w14:paraId="6ECE2FDE" w14:textId="12A9786E" w:rsidR="00E6275A" w:rsidRPr="00DB479B" w:rsidRDefault="60A05D1C" w:rsidP="60A05D1C">
      <w:pPr>
        <w:rPr>
          <w:sz w:val="20"/>
        </w:rPr>
      </w:pPr>
      <w:r w:rsidRPr="60A05D1C">
        <w:rPr>
          <w:i/>
          <w:iCs/>
          <w:sz w:val="20"/>
        </w:rPr>
        <w:t>Megjegyzés: a táblában szereplő tizedes eltérések kerekítésből adódnak.</w:t>
      </w:r>
    </w:p>
    <w:p w14:paraId="5D4F044B" w14:textId="77777777" w:rsidR="00881044" w:rsidRDefault="00881044" w:rsidP="00694CFA">
      <w:pPr>
        <w:overflowPunct w:val="0"/>
        <w:autoSpaceDE w:val="0"/>
        <w:autoSpaceDN w:val="0"/>
        <w:adjustRightInd w:val="0"/>
        <w:spacing w:before="120"/>
        <w:ind w:right="23"/>
        <w:textAlignment w:val="baseline"/>
        <w:rPr>
          <w:b/>
          <w:bCs/>
          <w:szCs w:val="26"/>
        </w:rPr>
        <w:sectPr w:rsidR="00881044" w:rsidSect="00D46179">
          <w:headerReference w:type="default" r:id="rId28"/>
          <w:headerReference w:type="first" r:id="rId29"/>
          <w:footnotePr>
            <w:numRestart w:val="eachPage"/>
          </w:footnotePr>
          <w:pgSz w:w="16840" w:h="11907" w:orient="landscape" w:code="9"/>
          <w:pgMar w:top="993" w:right="1134" w:bottom="1134" w:left="1418" w:header="709" w:footer="709" w:gutter="0"/>
          <w:cols w:space="708"/>
          <w:titlePg/>
        </w:sectPr>
      </w:pPr>
    </w:p>
    <w:p w14:paraId="644FBCEE" w14:textId="49316323" w:rsidR="00101917" w:rsidRPr="003377B5" w:rsidRDefault="60A05D1C" w:rsidP="60A05D1C">
      <w:pPr>
        <w:pStyle w:val="Szvegtrzs"/>
        <w:rPr>
          <w:color w:val="auto"/>
        </w:rPr>
      </w:pPr>
      <w:r w:rsidRPr="60A05D1C">
        <w:rPr>
          <w:b/>
          <w:bCs/>
          <w:color w:val="auto"/>
        </w:rPr>
        <w:lastRenderedPageBreak/>
        <w:t>A központi költségvetés devizaadóssága</w:t>
      </w:r>
      <w:r w:rsidRPr="60A05D1C">
        <w:rPr>
          <w:color w:val="auto"/>
        </w:rPr>
        <w:t xml:space="preserve"> április végéig 291,0 milliárd forinttal 5412,2 milliárd forintra növekedett az elmúlt év végéhez képest. A devizaadósság részaránya a 2019. év végi 17,3%-os szintről 17,5%-os szintre emelkedett a teljes adósságon belül.</w:t>
      </w:r>
    </w:p>
    <w:p w14:paraId="5B13C98B" w14:textId="77777777" w:rsidR="003377B5" w:rsidRPr="003377B5" w:rsidRDefault="60A05D1C" w:rsidP="003377B5">
      <w:pPr>
        <w:spacing w:before="240"/>
        <w:rPr>
          <w:szCs w:val="26"/>
        </w:rPr>
      </w:pPr>
      <w:r w:rsidRPr="60A05D1C">
        <w:rPr>
          <w:b/>
          <w:bCs/>
        </w:rPr>
        <w:t>A költségvetés forintadóssága</w:t>
      </w:r>
      <w:r>
        <w:t xml:space="preserve"> április végéig 842,5 milliárd forinttal nőtt, és 25 199,6 milliárd forintot ért el, a forint részarány a teljes államadósság 81,5%-át teszi ki. 2019 decemberében ez az arány 82,1% volt.</w:t>
      </w:r>
    </w:p>
    <w:p w14:paraId="2127D1AF" w14:textId="28F58709" w:rsidR="003377B5" w:rsidRPr="003377B5" w:rsidRDefault="60A05D1C" w:rsidP="003377B5">
      <w:pPr>
        <w:spacing w:before="120"/>
        <w:rPr>
          <w:szCs w:val="26"/>
        </w:rPr>
      </w:pPr>
      <w:r>
        <w:t xml:space="preserve">2020. április végén a lakossági állampapírok állománya 8823,4 milliárd forintot tett ki, ami 250,6 milliárd forint csökkenést jelent 2019. december vége óta. A csökkenést elsősorban a koronavírus-járvány következtében kialakult bizonytalan helyzet okozta. A kijárási korlátozások következtében jelentősen visszaesett lakossági </w:t>
      </w:r>
      <w:proofErr w:type="gramStart"/>
      <w:r>
        <w:t>állampapír</w:t>
      </w:r>
      <w:r w:rsidR="00B61BF1">
        <w:t>-</w:t>
      </w:r>
      <w:r>
        <w:t>kereslet döntő</w:t>
      </w:r>
      <w:proofErr w:type="gramEnd"/>
      <w:r>
        <w:t xml:space="preserve"> hányadát a Magyar Állampapír Plusz értékesítése képezte.</w:t>
      </w:r>
    </w:p>
    <w:p w14:paraId="0FA3E78A" w14:textId="77777777" w:rsidR="003377B5" w:rsidRPr="003377B5" w:rsidRDefault="60A05D1C" w:rsidP="60A05D1C">
      <w:pPr>
        <w:pStyle w:val="Default"/>
        <w:spacing w:before="120"/>
        <w:jc w:val="both"/>
        <w:rPr>
          <w:rFonts w:ascii="Times New Roman" w:hAnsi="Times New Roman" w:cs="Times New Roman"/>
          <w:color w:val="auto"/>
          <w:sz w:val="26"/>
          <w:szCs w:val="26"/>
        </w:rPr>
      </w:pPr>
      <w:r w:rsidRPr="60A05D1C">
        <w:rPr>
          <w:rFonts w:ascii="Times New Roman" w:hAnsi="Times New Roman" w:cs="Times New Roman"/>
          <w:color w:val="auto"/>
          <w:sz w:val="26"/>
          <w:szCs w:val="26"/>
        </w:rPr>
        <w:t xml:space="preserve">A kizárólag lakossági ügyfelek által vásárolható Magyar Állampapír Plusz állomány április végéig 671,6 milliárd forinttal növekedett, hó végére 3807,6 milliárd forintot ért el. A nyomdai úton előállított Magyar Állampapír Plusz állománya 71,3 milliárd </w:t>
      </w:r>
      <w:proofErr w:type="gramStart"/>
      <w:r w:rsidRPr="60A05D1C">
        <w:rPr>
          <w:rFonts w:ascii="Times New Roman" w:hAnsi="Times New Roman" w:cs="Times New Roman"/>
          <w:color w:val="auto"/>
          <w:sz w:val="26"/>
          <w:szCs w:val="26"/>
        </w:rPr>
        <w:t>forint növekedés</w:t>
      </w:r>
      <w:proofErr w:type="gramEnd"/>
      <w:r w:rsidRPr="60A05D1C">
        <w:rPr>
          <w:rFonts w:ascii="Times New Roman" w:hAnsi="Times New Roman" w:cs="Times New Roman"/>
          <w:color w:val="auto"/>
          <w:sz w:val="26"/>
          <w:szCs w:val="26"/>
        </w:rPr>
        <w:t xml:space="preserve"> következtében 131,5 milliárd forint volt hó végén. Az egy évnél hosszabb futamidejű Prémium Magyar Állampapír állománya, a forgalmazóktól történő visszavásárlás következtében 2020. április végén 52,7 milliárd forinttal csökkent, amely így 2465,6 milliárd forintot tett ki. </w:t>
      </w:r>
    </w:p>
    <w:p w14:paraId="1DF65F1E" w14:textId="4B083273" w:rsidR="003377B5" w:rsidRPr="003377B5" w:rsidRDefault="60A05D1C" w:rsidP="60A05D1C">
      <w:pPr>
        <w:pStyle w:val="Default"/>
        <w:spacing w:before="120"/>
        <w:jc w:val="both"/>
        <w:rPr>
          <w:rFonts w:ascii="Times New Roman" w:hAnsi="Times New Roman" w:cs="Times New Roman"/>
          <w:color w:val="auto"/>
          <w:sz w:val="26"/>
          <w:szCs w:val="26"/>
        </w:rPr>
      </w:pPr>
      <w:r w:rsidRPr="60A05D1C">
        <w:rPr>
          <w:rFonts w:ascii="Times New Roman" w:hAnsi="Times New Roman" w:cs="Times New Roman"/>
          <w:color w:val="auto"/>
          <w:sz w:val="26"/>
          <w:szCs w:val="26"/>
        </w:rPr>
        <w:t xml:space="preserve">A már nem értékesített Bónusz Magyar Állampapír 121,0 milliárd forint csökkenést követően 330,4 milliárd forintos állománnyal zárt hó végén. A kétéves futamidejű, </w:t>
      </w:r>
      <w:proofErr w:type="gramStart"/>
      <w:r w:rsidRPr="60A05D1C">
        <w:rPr>
          <w:rFonts w:ascii="Times New Roman" w:hAnsi="Times New Roman" w:cs="Times New Roman"/>
          <w:color w:val="auto"/>
          <w:sz w:val="26"/>
          <w:szCs w:val="26"/>
        </w:rPr>
        <w:t>fix</w:t>
      </w:r>
      <w:proofErr w:type="gramEnd"/>
      <w:r w:rsidRPr="60A05D1C">
        <w:rPr>
          <w:rFonts w:ascii="Times New Roman" w:hAnsi="Times New Roman" w:cs="Times New Roman"/>
          <w:color w:val="auto"/>
          <w:sz w:val="26"/>
          <w:szCs w:val="26"/>
        </w:rPr>
        <w:t xml:space="preserve"> kamatozású állampapír állománya 63,7 milliárd forint összegű csökkenése következtében 151,4 milliárd forintra mérséklődött április hó végéig. Az Egyéves Magyar Állampapír állománya 1448,1 milliárd forint volt április végén, ami 709,9 milliárd forinttal alacsonyabb a 2019. év végi állománynál. Az Egyéves Magyar Állampapír állománycsökkenés</w:t>
      </w:r>
      <w:r w:rsidR="003219FA">
        <w:rPr>
          <w:rFonts w:ascii="Times New Roman" w:hAnsi="Times New Roman" w:cs="Times New Roman"/>
          <w:color w:val="auto"/>
          <w:sz w:val="26"/>
          <w:szCs w:val="26"/>
        </w:rPr>
        <w:t>ének</w:t>
      </w:r>
      <w:r w:rsidRPr="60A05D1C">
        <w:rPr>
          <w:rFonts w:ascii="Times New Roman" w:hAnsi="Times New Roman" w:cs="Times New Roman"/>
          <w:color w:val="auto"/>
          <w:sz w:val="26"/>
          <w:szCs w:val="26"/>
        </w:rPr>
        <w:t xml:space="preserve"> oka, hogy a lakossági befektetők lejáró értékpapírjaikból képződő bevételeiket Magyar Állampapír Plusz vásárlására fordítják.</w:t>
      </w:r>
    </w:p>
    <w:p w14:paraId="0FABCE67" w14:textId="77777777" w:rsidR="003377B5" w:rsidRPr="003377B5" w:rsidRDefault="60A05D1C" w:rsidP="60A05D1C">
      <w:pPr>
        <w:pStyle w:val="Default"/>
        <w:spacing w:before="120"/>
        <w:jc w:val="both"/>
        <w:rPr>
          <w:rFonts w:ascii="Times New Roman" w:hAnsi="Times New Roman" w:cs="Times New Roman"/>
          <w:color w:val="auto"/>
          <w:sz w:val="26"/>
          <w:szCs w:val="26"/>
        </w:rPr>
      </w:pPr>
      <w:r w:rsidRPr="60A05D1C">
        <w:rPr>
          <w:rFonts w:ascii="Times New Roman" w:hAnsi="Times New Roman" w:cs="Times New Roman"/>
          <w:color w:val="auto"/>
          <w:sz w:val="26"/>
          <w:szCs w:val="26"/>
        </w:rPr>
        <w:t xml:space="preserve">Az ÁKK </w:t>
      </w:r>
      <w:proofErr w:type="spellStart"/>
      <w:r w:rsidRPr="60A05D1C">
        <w:rPr>
          <w:rFonts w:ascii="Times New Roman" w:hAnsi="Times New Roman" w:cs="Times New Roman"/>
          <w:color w:val="auto"/>
          <w:sz w:val="26"/>
          <w:szCs w:val="26"/>
        </w:rPr>
        <w:t>Zrt</w:t>
      </w:r>
      <w:proofErr w:type="spellEnd"/>
      <w:r w:rsidRPr="60A05D1C">
        <w:rPr>
          <w:rFonts w:ascii="Times New Roman" w:hAnsi="Times New Roman" w:cs="Times New Roman"/>
          <w:color w:val="auto"/>
          <w:sz w:val="26"/>
          <w:szCs w:val="26"/>
        </w:rPr>
        <w:t>. április hó folyamán 111,4 milliárd forint összegben vásárolt vissza lakossági állampapírokat a forgalmazó bankoktól.</w:t>
      </w:r>
    </w:p>
    <w:p w14:paraId="4D1A0A5A" w14:textId="5690AEC9" w:rsidR="003377B5" w:rsidRPr="003377B5" w:rsidRDefault="60A05D1C" w:rsidP="003377B5">
      <w:pPr>
        <w:spacing w:before="240"/>
        <w:ind w:right="23"/>
        <w:rPr>
          <w:szCs w:val="26"/>
        </w:rPr>
      </w:pPr>
      <w:r>
        <w:t>A külföldi befektetők állampapír</w:t>
      </w:r>
      <w:r w:rsidR="00B1023C">
        <w:t>-</w:t>
      </w:r>
      <w:r>
        <w:t>állománya áprilisban 23,4 milliárd forinttal emelkedett az előző hónaphoz képest. A külföldi állomány 99,4%-</w:t>
      </w:r>
      <w:proofErr w:type="gramStart"/>
      <w:r>
        <w:t>a</w:t>
      </w:r>
      <w:proofErr w:type="gramEnd"/>
      <w:r>
        <w:t>, 4014,8 milliárd forint államkötvény és 0,6%-a, 23,9 milliárd forint diszkontkincstárjegy. A külföldi állomány átlagos hátralévő futamideje április végén 5,7 év volt, amely azonos az előző hónap végén mért értékkel.</w:t>
      </w:r>
    </w:p>
    <w:p w14:paraId="4C3881C0" w14:textId="7B2AE9D1" w:rsidR="00BF73A7" w:rsidRPr="003377B5" w:rsidRDefault="60A05D1C" w:rsidP="60A05D1C">
      <w:pPr>
        <w:pStyle w:val="Szvegtrzs"/>
        <w:rPr>
          <w:color w:val="auto"/>
        </w:rPr>
      </w:pPr>
      <w:r w:rsidRPr="60A05D1C">
        <w:rPr>
          <w:color w:val="auto"/>
        </w:rPr>
        <w:t xml:space="preserve">A deviza-államadósság kockázatainak csökkentése érdekében az ÁKK </w:t>
      </w:r>
      <w:proofErr w:type="spellStart"/>
      <w:r w:rsidRPr="60A05D1C">
        <w:rPr>
          <w:color w:val="auto"/>
        </w:rPr>
        <w:t>Zrt</w:t>
      </w:r>
      <w:proofErr w:type="spellEnd"/>
      <w:r w:rsidRPr="60A05D1C">
        <w:rPr>
          <w:color w:val="auto"/>
        </w:rPr>
        <w:t xml:space="preserve">. </w:t>
      </w:r>
      <w:proofErr w:type="spellStart"/>
      <w:r w:rsidRPr="60A05D1C">
        <w:rPr>
          <w:color w:val="auto"/>
        </w:rPr>
        <w:t>swap</w:t>
      </w:r>
      <w:proofErr w:type="spellEnd"/>
      <w:r w:rsidRPr="60A05D1C">
        <w:rPr>
          <w:color w:val="auto"/>
        </w:rPr>
        <w:t xml:space="preserve"> műveleteket köt, amiből az adósságállomány részét képezik az ezen ügyletek után az ÁKK </w:t>
      </w:r>
      <w:proofErr w:type="spellStart"/>
      <w:r w:rsidRPr="60A05D1C">
        <w:rPr>
          <w:color w:val="auto"/>
        </w:rPr>
        <w:t>Zrt.-nél</w:t>
      </w:r>
      <w:proofErr w:type="spellEnd"/>
      <w:r w:rsidRPr="60A05D1C">
        <w:rPr>
          <w:color w:val="auto"/>
        </w:rPr>
        <w:t xml:space="preserve"> elhelyezésre kerülő fedezeti összegek (az ún. </w:t>
      </w:r>
      <w:proofErr w:type="spellStart"/>
      <w:r w:rsidRPr="60A05D1C">
        <w:rPr>
          <w:color w:val="auto"/>
        </w:rPr>
        <w:t>mark-to-market</w:t>
      </w:r>
      <w:proofErr w:type="spellEnd"/>
      <w:r w:rsidRPr="60A05D1C">
        <w:rPr>
          <w:color w:val="auto"/>
        </w:rPr>
        <w:t xml:space="preserve"> betétek) az egyéb kötelezettségek soron. Az elmúlt években az egyéb devizák (főként az USD) jelentősen felértékelődtek az euróhoz képest, az emiatt keletkező többletadósságot viszont a </w:t>
      </w:r>
      <w:proofErr w:type="spellStart"/>
      <w:r w:rsidRPr="60A05D1C">
        <w:rPr>
          <w:color w:val="auto"/>
        </w:rPr>
        <w:t>swapkötéssel</w:t>
      </w:r>
      <w:proofErr w:type="spellEnd"/>
      <w:r w:rsidRPr="60A05D1C">
        <w:rPr>
          <w:color w:val="auto"/>
        </w:rPr>
        <w:t xml:space="preserve"> sikerült kizárni. A vizsgált időszakban az egyéb kötelezettségek állománya 110,3 milliárd forinttal növekedett. Április végén az állomány 313,9 milliárd forintot tett ki, ami a teljes államadósság 1,0%-</w:t>
      </w:r>
      <w:proofErr w:type="gramStart"/>
      <w:r w:rsidR="003267C4">
        <w:rPr>
          <w:color w:val="auto"/>
        </w:rPr>
        <w:t>a</w:t>
      </w:r>
      <w:r w:rsidRPr="60A05D1C">
        <w:rPr>
          <w:color w:val="auto"/>
        </w:rPr>
        <w:t>.</w:t>
      </w:r>
      <w:proofErr w:type="gramEnd"/>
    </w:p>
    <w:p w14:paraId="64ACD137" w14:textId="77777777" w:rsidR="00B72FCC" w:rsidRDefault="60A05D1C" w:rsidP="60A05D1C">
      <w:pPr>
        <w:keepNext/>
        <w:numPr>
          <w:ilvl w:val="0"/>
          <w:numId w:val="5"/>
        </w:numPr>
        <w:overflowPunct w:val="0"/>
        <w:autoSpaceDE w:val="0"/>
        <w:autoSpaceDN w:val="0"/>
        <w:adjustRightInd w:val="0"/>
        <w:ind w:left="567" w:hanging="567"/>
        <w:jc w:val="left"/>
        <w:textAlignment w:val="baseline"/>
        <w:outlineLvl w:val="3"/>
        <w:rPr>
          <w:b/>
          <w:bCs/>
        </w:rPr>
      </w:pPr>
      <w:r w:rsidRPr="60A05D1C">
        <w:rPr>
          <w:b/>
          <w:bCs/>
        </w:rPr>
        <w:lastRenderedPageBreak/>
        <w:t>Kamatok, hozamok alakulása</w:t>
      </w:r>
    </w:p>
    <w:p w14:paraId="27956E6D" w14:textId="0B3B0CD3" w:rsidR="00BF73A7" w:rsidRPr="00BF73A7" w:rsidRDefault="60A05D1C" w:rsidP="00BF73A7">
      <w:pPr>
        <w:overflowPunct w:val="0"/>
        <w:autoSpaceDE w:val="0"/>
        <w:autoSpaceDN w:val="0"/>
        <w:adjustRightInd w:val="0"/>
        <w:textAlignment w:val="baseline"/>
        <w:rPr>
          <w:szCs w:val="26"/>
        </w:rPr>
      </w:pPr>
      <w:r>
        <w:t xml:space="preserve">A diszkontkincstárjegyek áprilisi </w:t>
      </w:r>
      <w:proofErr w:type="gramStart"/>
      <w:r>
        <w:t>aukcióin</w:t>
      </w:r>
      <w:proofErr w:type="gramEnd"/>
      <w:r>
        <w:t xml:space="preserve"> a havi átlagos fedezettség az előző havi 1,5-ről 1,9-re emelkedett. A kötvényaukciókon a havi átlagos fedezettség az előző havi 1,6-ről 3,1-re nőtt.</w:t>
      </w:r>
    </w:p>
    <w:p w14:paraId="40BCBC8F" w14:textId="7A5413DC" w:rsidR="00BF73A7" w:rsidRPr="00BF73A7" w:rsidRDefault="60A05D1C" w:rsidP="00BF73A7">
      <w:pPr>
        <w:overflowPunct w:val="0"/>
        <w:autoSpaceDE w:val="0"/>
        <w:autoSpaceDN w:val="0"/>
        <w:adjustRightInd w:val="0"/>
        <w:textAlignment w:val="baseline"/>
        <w:rPr>
          <w:szCs w:val="26"/>
        </w:rPr>
      </w:pPr>
      <w:r>
        <w:t xml:space="preserve">A 3 hónapos diszkontkincstárjegy utolsó áprilisi </w:t>
      </w:r>
      <w:proofErr w:type="gramStart"/>
      <w:r>
        <w:t>aukcióján</w:t>
      </w:r>
      <w:proofErr w:type="gramEnd"/>
      <w:r>
        <w:t xml:space="preserve"> a hozam az egy hónappal korábbi aukcióhoz képest 21 bázisponttal emelkedett, és 1,00%-ot tett ki. A 12 hónapos kincstárjegy utolsó áprilisi </w:t>
      </w:r>
      <w:proofErr w:type="gramStart"/>
      <w:r>
        <w:t>aukcióján</w:t>
      </w:r>
      <w:proofErr w:type="gramEnd"/>
      <w:r>
        <w:t xml:space="preserve"> a kialakult átlaghozam 1,12% lett, amely 27</w:t>
      </w:r>
      <w:r w:rsidR="00094414">
        <w:t> </w:t>
      </w:r>
      <w:r>
        <w:t>bázisponttal magasabb a márciusi értéknél.</w:t>
      </w:r>
    </w:p>
    <w:p w14:paraId="424DA771" w14:textId="64FDC76B" w:rsidR="00B4580C" w:rsidRPr="00B4580C" w:rsidRDefault="60A05D1C" w:rsidP="00BF73A7">
      <w:pPr>
        <w:overflowPunct w:val="0"/>
        <w:autoSpaceDE w:val="0"/>
        <w:autoSpaceDN w:val="0"/>
        <w:adjustRightInd w:val="0"/>
        <w:textAlignment w:val="baseline"/>
        <w:rPr>
          <w:bCs/>
        </w:rPr>
      </w:pPr>
      <w:r>
        <w:t xml:space="preserve">A 3 éves kötvényaukción a hozam 1,41%-ot tett ki, amely 27 bázisponttal magasabb, mint az utolsó márciusi </w:t>
      </w:r>
      <w:proofErr w:type="gramStart"/>
      <w:r>
        <w:t>aukción</w:t>
      </w:r>
      <w:proofErr w:type="gramEnd"/>
      <w:r>
        <w:t xml:space="preserve"> kialakult átlaghozam. Az 5 éves kötvény utolsó áprilisi </w:t>
      </w:r>
      <w:proofErr w:type="gramStart"/>
      <w:r>
        <w:t>aukcióján</w:t>
      </w:r>
      <w:proofErr w:type="gramEnd"/>
      <w:r>
        <w:t xml:space="preserve"> az átlaghozam 1,42%-ot ért el, amely 1 bázisponttal elmarad az utolsó márciusi aukción kialakult átlaghozamtól. A 10 éves kötvényaukció 2,46%-os átlaghozama 28</w:t>
      </w:r>
      <w:r w:rsidR="000A7BAE">
        <w:t> </w:t>
      </w:r>
      <w:r>
        <w:t xml:space="preserve">bázisponttal magasabb, mint az utolsó februári </w:t>
      </w:r>
      <w:proofErr w:type="gramStart"/>
      <w:r>
        <w:t>aukción</w:t>
      </w:r>
      <w:proofErr w:type="gramEnd"/>
      <w:r>
        <w:t xml:space="preserve"> kialakult átlaghozam. A 15</w:t>
      </w:r>
      <w:r w:rsidR="000A7BAE">
        <w:t> </w:t>
      </w:r>
      <w:r>
        <w:t xml:space="preserve">éves kötvényaukció 2,73%-os átlaghozama 4 bázisponttal elmarad a legutóbbi, februári </w:t>
      </w:r>
      <w:proofErr w:type="gramStart"/>
      <w:r>
        <w:t>aukción</w:t>
      </w:r>
      <w:proofErr w:type="gramEnd"/>
      <w:r>
        <w:t xml:space="preserve"> kialakult átlaghozamtól. </w:t>
      </w:r>
    </w:p>
    <w:sectPr w:rsidR="00B4580C" w:rsidRPr="00B4580C"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8CB98" w14:textId="77777777" w:rsidR="001857E6" w:rsidRDefault="001857E6">
      <w:r>
        <w:separator/>
      </w:r>
    </w:p>
  </w:endnote>
  <w:endnote w:type="continuationSeparator" w:id="0">
    <w:p w14:paraId="35C1DD77" w14:textId="77777777" w:rsidR="001857E6" w:rsidRDefault="001857E6">
      <w:r>
        <w:continuationSeparator/>
      </w:r>
    </w:p>
  </w:endnote>
  <w:endnote w:type="continuationNotice" w:id="1">
    <w:p w14:paraId="39A03275" w14:textId="77777777" w:rsidR="001857E6" w:rsidRDefault="001857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71311"/>
      <w:docPartObj>
        <w:docPartGallery w:val="Page Numbers (Bottom of Page)"/>
        <w:docPartUnique/>
      </w:docPartObj>
    </w:sdtPr>
    <w:sdtEndPr/>
    <w:sdtContent>
      <w:p w14:paraId="47A602DE" w14:textId="754FEDB4" w:rsidR="00E763E7" w:rsidRDefault="00E763E7">
        <w:pPr>
          <w:pStyle w:val="llb"/>
          <w:jc w:val="center"/>
        </w:pPr>
        <w:r>
          <w:fldChar w:fldCharType="begin"/>
        </w:r>
        <w:r>
          <w:instrText>PAGE   \* MERGEFORMAT</w:instrText>
        </w:r>
        <w:r>
          <w:fldChar w:fldCharType="separate"/>
        </w:r>
        <w:r w:rsidR="0013534C">
          <w:rPr>
            <w:noProof/>
          </w:rPr>
          <w:t>23</w:t>
        </w:r>
        <w:r>
          <w:fldChar w:fldCharType="end"/>
        </w:r>
      </w:p>
    </w:sdtContent>
  </w:sdt>
  <w:p w14:paraId="5D4F0473" w14:textId="77777777" w:rsidR="00E763E7" w:rsidRPr="00B65D56" w:rsidRDefault="00E763E7" w:rsidP="00B65D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90023"/>
      <w:docPartObj>
        <w:docPartGallery w:val="Page Numbers (Bottom of Page)"/>
        <w:docPartUnique/>
      </w:docPartObj>
    </w:sdtPr>
    <w:sdtEndPr/>
    <w:sdtContent>
      <w:p w14:paraId="5FB57992" w14:textId="371C8032" w:rsidR="00E763E7" w:rsidRDefault="00E763E7">
        <w:pPr>
          <w:pStyle w:val="llb"/>
          <w:jc w:val="center"/>
        </w:pPr>
        <w:r>
          <w:fldChar w:fldCharType="begin"/>
        </w:r>
        <w:r>
          <w:instrText>PAGE   \* MERGEFORMAT</w:instrText>
        </w:r>
        <w:r>
          <w:fldChar w:fldCharType="separate"/>
        </w:r>
        <w:r w:rsidR="0013534C">
          <w:rPr>
            <w:noProof/>
          </w:rPr>
          <w:t>- 0 -</w:t>
        </w:r>
        <w:r>
          <w:fldChar w:fldCharType="end"/>
        </w:r>
      </w:p>
    </w:sdtContent>
  </w:sdt>
  <w:p w14:paraId="2F25FF07" w14:textId="77777777" w:rsidR="00E763E7" w:rsidRDefault="00E763E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1DBC0" w14:textId="77777777" w:rsidR="001857E6" w:rsidRDefault="001857E6">
      <w:r>
        <w:separator/>
      </w:r>
    </w:p>
  </w:footnote>
  <w:footnote w:type="continuationSeparator" w:id="0">
    <w:p w14:paraId="35490875" w14:textId="77777777" w:rsidR="001857E6" w:rsidRDefault="001857E6">
      <w:r>
        <w:continuationSeparator/>
      </w:r>
    </w:p>
  </w:footnote>
  <w:footnote w:type="continuationNotice" w:id="1">
    <w:p w14:paraId="2D2ECED6" w14:textId="77777777" w:rsidR="001857E6" w:rsidRDefault="001857E6">
      <w:pPr>
        <w:spacing w:after="0"/>
      </w:pPr>
    </w:p>
  </w:footnote>
  <w:footnote w:id="2">
    <w:p w14:paraId="5D4F0478" w14:textId="77777777" w:rsidR="00E763E7" w:rsidRDefault="00E763E7" w:rsidP="60A05D1C">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C22A" w14:textId="77777777" w:rsidR="00E763E7" w:rsidRPr="00881044" w:rsidRDefault="00E763E7"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92FB" w14:textId="77777777" w:rsidR="00E763E7" w:rsidRPr="00FE4DD1" w:rsidRDefault="00E763E7"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6" w14:textId="77777777" w:rsidR="00E763E7" w:rsidRPr="00881044" w:rsidRDefault="00E763E7"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7" w14:textId="77777777" w:rsidR="00E763E7" w:rsidRPr="00FE4DD1" w:rsidRDefault="00E763E7"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6A2F41"/>
    <w:multiLevelType w:val="hybridMultilevel"/>
    <w:tmpl w:val="3D987462"/>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hu-HU" w:vendorID="7" w:dllVersion="513" w:checkStyle="0"/>
  <w:activeWritingStyle w:appName="MSWord" w:lang="hu-HU" w:vendorID="7" w:dllVersion="52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9A"/>
    <w:rsid w:val="00000082"/>
    <w:rsid w:val="00000262"/>
    <w:rsid w:val="0000053E"/>
    <w:rsid w:val="00000779"/>
    <w:rsid w:val="000007F2"/>
    <w:rsid w:val="00000BD9"/>
    <w:rsid w:val="00000C70"/>
    <w:rsid w:val="00000FA7"/>
    <w:rsid w:val="00001164"/>
    <w:rsid w:val="00001A1C"/>
    <w:rsid w:val="00002D44"/>
    <w:rsid w:val="00002EBA"/>
    <w:rsid w:val="00002F32"/>
    <w:rsid w:val="0000319C"/>
    <w:rsid w:val="000031E7"/>
    <w:rsid w:val="0000346F"/>
    <w:rsid w:val="000039C4"/>
    <w:rsid w:val="00003A0A"/>
    <w:rsid w:val="00003AB5"/>
    <w:rsid w:val="00003D71"/>
    <w:rsid w:val="00003DAA"/>
    <w:rsid w:val="00003E72"/>
    <w:rsid w:val="000040A1"/>
    <w:rsid w:val="000041CC"/>
    <w:rsid w:val="0000447C"/>
    <w:rsid w:val="00004A2B"/>
    <w:rsid w:val="00004A6C"/>
    <w:rsid w:val="00004B11"/>
    <w:rsid w:val="00004C60"/>
    <w:rsid w:val="000050A4"/>
    <w:rsid w:val="00005414"/>
    <w:rsid w:val="00005653"/>
    <w:rsid w:val="00006580"/>
    <w:rsid w:val="00006BEB"/>
    <w:rsid w:val="00006C1C"/>
    <w:rsid w:val="00006E83"/>
    <w:rsid w:val="00007429"/>
    <w:rsid w:val="0000786D"/>
    <w:rsid w:val="00007C32"/>
    <w:rsid w:val="00010E9B"/>
    <w:rsid w:val="00010EF9"/>
    <w:rsid w:val="00010FD3"/>
    <w:rsid w:val="00010FED"/>
    <w:rsid w:val="000111EE"/>
    <w:rsid w:val="000115A7"/>
    <w:rsid w:val="000118A8"/>
    <w:rsid w:val="00011A1C"/>
    <w:rsid w:val="00011AEC"/>
    <w:rsid w:val="00011CA1"/>
    <w:rsid w:val="000122E0"/>
    <w:rsid w:val="00012954"/>
    <w:rsid w:val="00012962"/>
    <w:rsid w:val="00012FB0"/>
    <w:rsid w:val="00012FE4"/>
    <w:rsid w:val="000133DD"/>
    <w:rsid w:val="000134F5"/>
    <w:rsid w:val="00013907"/>
    <w:rsid w:val="00013A33"/>
    <w:rsid w:val="00013CD2"/>
    <w:rsid w:val="000140C0"/>
    <w:rsid w:val="00014401"/>
    <w:rsid w:val="000148D6"/>
    <w:rsid w:val="00014A69"/>
    <w:rsid w:val="00014D97"/>
    <w:rsid w:val="000150A0"/>
    <w:rsid w:val="00015137"/>
    <w:rsid w:val="00015230"/>
    <w:rsid w:val="0001572F"/>
    <w:rsid w:val="000158B9"/>
    <w:rsid w:val="000159D2"/>
    <w:rsid w:val="000162DD"/>
    <w:rsid w:val="000171BE"/>
    <w:rsid w:val="0001738B"/>
    <w:rsid w:val="000173CF"/>
    <w:rsid w:val="00017505"/>
    <w:rsid w:val="000176FF"/>
    <w:rsid w:val="00017AB9"/>
    <w:rsid w:val="00017D30"/>
    <w:rsid w:val="00017D97"/>
    <w:rsid w:val="0002048B"/>
    <w:rsid w:val="00020553"/>
    <w:rsid w:val="0002080A"/>
    <w:rsid w:val="0002092A"/>
    <w:rsid w:val="000209F2"/>
    <w:rsid w:val="00021491"/>
    <w:rsid w:val="00021768"/>
    <w:rsid w:val="00021A79"/>
    <w:rsid w:val="00022190"/>
    <w:rsid w:val="0002286F"/>
    <w:rsid w:val="000228D4"/>
    <w:rsid w:val="00022C6B"/>
    <w:rsid w:val="000230A1"/>
    <w:rsid w:val="0002313D"/>
    <w:rsid w:val="00023277"/>
    <w:rsid w:val="00023497"/>
    <w:rsid w:val="00023517"/>
    <w:rsid w:val="000235DE"/>
    <w:rsid w:val="0002365F"/>
    <w:rsid w:val="00023977"/>
    <w:rsid w:val="00023B1E"/>
    <w:rsid w:val="00023D4A"/>
    <w:rsid w:val="000244AA"/>
    <w:rsid w:val="000249CF"/>
    <w:rsid w:val="00024A56"/>
    <w:rsid w:val="00024F61"/>
    <w:rsid w:val="00025088"/>
    <w:rsid w:val="0002532C"/>
    <w:rsid w:val="00025486"/>
    <w:rsid w:val="00025629"/>
    <w:rsid w:val="00025BA3"/>
    <w:rsid w:val="00025C6B"/>
    <w:rsid w:val="0002604D"/>
    <w:rsid w:val="00026280"/>
    <w:rsid w:val="000264E2"/>
    <w:rsid w:val="000266DF"/>
    <w:rsid w:val="00026701"/>
    <w:rsid w:val="000267A2"/>
    <w:rsid w:val="000268B5"/>
    <w:rsid w:val="00026C3E"/>
    <w:rsid w:val="00026CF8"/>
    <w:rsid w:val="00026D90"/>
    <w:rsid w:val="00027046"/>
    <w:rsid w:val="0002735F"/>
    <w:rsid w:val="00027464"/>
    <w:rsid w:val="000274E3"/>
    <w:rsid w:val="000278D7"/>
    <w:rsid w:val="000301B5"/>
    <w:rsid w:val="000302F7"/>
    <w:rsid w:val="0003042E"/>
    <w:rsid w:val="00031079"/>
    <w:rsid w:val="00031114"/>
    <w:rsid w:val="00031212"/>
    <w:rsid w:val="00031A7F"/>
    <w:rsid w:val="00031EE0"/>
    <w:rsid w:val="00032036"/>
    <w:rsid w:val="0003206C"/>
    <w:rsid w:val="000326B6"/>
    <w:rsid w:val="0003279A"/>
    <w:rsid w:val="000327EC"/>
    <w:rsid w:val="00032981"/>
    <w:rsid w:val="000329B0"/>
    <w:rsid w:val="000329C3"/>
    <w:rsid w:val="00032B54"/>
    <w:rsid w:val="00032F08"/>
    <w:rsid w:val="000336BA"/>
    <w:rsid w:val="000337E0"/>
    <w:rsid w:val="00033817"/>
    <w:rsid w:val="00033B0A"/>
    <w:rsid w:val="000341D4"/>
    <w:rsid w:val="00034A1C"/>
    <w:rsid w:val="00034E9F"/>
    <w:rsid w:val="0003506A"/>
    <w:rsid w:val="000353E7"/>
    <w:rsid w:val="000356B8"/>
    <w:rsid w:val="00035846"/>
    <w:rsid w:val="000359D1"/>
    <w:rsid w:val="00035B72"/>
    <w:rsid w:val="00035DFD"/>
    <w:rsid w:val="00035E6C"/>
    <w:rsid w:val="00035E93"/>
    <w:rsid w:val="00035FC8"/>
    <w:rsid w:val="00036A80"/>
    <w:rsid w:val="00036B13"/>
    <w:rsid w:val="00036CEF"/>
    <w:rsid w:val="00036D6A"/>
    <w:rsid w:val="000370CB"/>
    <w:rsid w:val="000371AA"/>
    <w:rsid w:val="000374B0"/>
    <w:rsid w:val="000374D9"/>
    <w:rsid w:val="000375DB"/>
    <w:rsid w:val="0003779F"/>
    <w:rsid w:val="00037A25"/>
    <w:rsid w:val="00037DE9"/>
    <w:rsid w:val="00037E5D"/>
    <w:rsid w:val="00040071"/>
    <w:rsid w:val="00040819"/>
    <w:rsid w:val="00040D56"/>
    <w:rsid w:val="000411F7"/>
    <w:rsid w:val="00041242"/>
    <w:rsid w:val="00041496"/>
    <w:rsid w:val="00041712"/>
    <w:rsid w:val="00041DA5"/>
    <w:rsid w:val="00041E51"/>
    <w:rsid w:val="00041F52"/>
    <w:rsid w:val="000423AE"/>
    <w:rsid w:val="000424F9"/>
    <w:rsid w:val="0004255E"/>
    <w:rsid w:val="00042AAC"/>
    <w:rsid w:val="00042E08"/>
    <w:rsid w:val="00042F3F"/>
    <w:rsid w:val="0004309A"/>
    <w:rsid w:val="0004312B"/>
    <w:rsid w:val="00043F64"/>
    <w:rsid w:val="000444EE"/>
    <w:rsid w:val="0004453C"/>
    <w:rsid w:val="00044996"/>
    <w:rsid w:val="00044B91"/>
    <w:rsid w:val="00044E9F"/>
    <w:rsid w:val="000450BB"/>
    <w:rsid w:val="00045390"/>
    <w:rsid w:val="0004560C"/>
    <w:rsid w:val="000459B0"/>
    <w:rsid w:val="00045EDE"/>
    <w:rsid w:val="00046118"/>
    <w:rsid w:val="00046204"/>
    <w:rsid w:val="00046229"/>
    <w:rsid w:val="0004639A"/>
    <w:rsid w:val="000463F7"/>
    <w:rsid w:val="000464B0"/>
    <w:rsid w:val="000464EB"/>
    <w:rsid w:val="000465F9"/>
    <w:rsid w:val="00046834"/>
    <w:rsid w:val="000468C4"/>
    <w:rsid w:val="000468D4"/>
    <w:rsid w:val="00046D1C"/>
    <w:rsid w:val="0004748D"/>
    <w:rsid w:val="0004754D"/>
    <w:rsid w:val="0004788F"/>
    <w:rsid w:val="000478D9"/>
    <w:rsid w:val="00047986"/>
    <w:rsid w:val="00047A20"/>
    <w:rsid w:val="00050055"/>
    <w:rsid w:val="00050561"/>
    <w:rsid w:val="00050A93"/>
    <w:rsid w:val="00050BE9"/>
    <w:rsid w:val="00050C3F"/>
    <w:rsid w:val="00050E7F"/>
    <w:rsid w:val="000513D6"/>
    <w:rsid w:val="00051653"/>
    <w:rsid w:val="00051D83"/>
    <w:rsid w:val="00051E51"/>
    <w:rsid w:val="00051F8F"/>
    <w:rsid w:val="000521E9"/>
    <w:rsid w:val="00052378"/>
    <w:rsid w:val="0005257C"/>
    <w:rsid w:val="00052606"/>
    <w:rsid w:val="00052889"/>
    <w:rsid w:val="0005295B"/>
    <w:rsid w:val="00052C8F"/>
    <w:rsid w:val="00052DE7"/>
    <w:rsid w:val="00052F73"/>
    <w:rsid w:val="00053202"/>
    <w:rsid w:val="00053627"/>
    <w:rsid w:val="00053733"/>
    <w:rsid w:val="000538D8"/>
    <w:rsid w:val="00053930"/>
    <w:rsid w:val="00053BEC"/>
    <w:rsid w:val="00053CEC"/>
    <w:rsid w:val="0005407D"/>
    <w:rsid w:val="000540CA"/>
    <w:rsid w:val="000540E7"/>
    <w:rsid w:val="00054213"/>
    <w:rsid w:val="0005467E"/>
    <w:rsid w:val="00054697"/>
    <w:rsid w:val="000547B5"/>
    <w:rsid w:val="000547CF"/>
    <w:rsid w:val="00054A93"/>
    <w:rsid w:val="00054C52"/>
    <w:rsid w:val="00054FE3"/>
    <w:rsid w:val="00055097"/>
    <w:rsid w:val="000551F1"/>
    <w:rsid w:val="000556FC"/>
    <w:rsid w:val="000557AC"/>
    <w:rsid w:val="00055A48"/>
    <w:rsid w:val="00055D3F"/>
    <w:rsid w:val="00056922"/>
    <w:rsid w:val="00056BC3"/>
    <w:rsid w:val="00057672"/>
    <w:rsid w:val="0005769C"/>
    <w:rsid w:val="000577AA"/>
    <w:rsid w:val="00057912"/>
    <w:rsid w:val="00057AFF"/>
    <w:rsid w:val="00057F9F"/>
    <w:rsid w:val="0006001E"/>
    <w:rsid w:val="00060784"/>
    <w:rsid w:val="00060819"/>
    <w:rsid w:val="00060826"/>
    <w:rsid w:val="00060844"/>
    <w:rsid w:val="00060866"/>
    <w:rsid w:val="00060AF3"/>
    <w:rsid w:val="00060D40"/>
    <w:rsid w:val="000610CB"/>
    <w:rsid w:val="00061530"/>
    <w:rsid w:val="00061C42"/>
    <w:rsid w:val="00061DFB"/>
    <w:rsid w:val="00061E39"/>
    <w:rsid w:val="000621F4"/>
    <w:rsid w:val="000622F9"/>
    <w:rsid w:val="00062332"/>
    <w:rsid w:val="000625BF"/>
    <w:rsid w:val="00062A7C"/>
    <w:rsid w:val="0006326A"/>
    <w:rsid w:val="00063356"/>
    <w:rsid w:val="0006342C"/>
    <w:rsid w:val="000636B7"/>
    <w:rsid w:val="00063730"/>
    <w:rsid w:val="0006386C"/>
    <w:rsid w:val="000639D7"/>
    <w:rsid w:val="00063B10"/>
    <w:rsid w:val="00063BB3"/>
    <w:rsid w:val="000640FE"/>
    <w:rsid w:val="0006470B"/>
    <w:rsid w:val="0006483D"/>
    <w:rsid w:val="00064E97"/>
    <w:rsid w:val="00065234"/>
    <w:rsid w:val="000652D1"/>
    <w:rsid w:val="00065AAD"/>
    <w:rsid w:val="00065B27"/>
    <w:rsid w:val="00065B4D"/>
    <w:rsid w:val="00065C49"/>
    <w:rsid w:val="00065F1C"/>
    <w:rsid w:val="0006642A"/>
    <w:rsid w:val="0006644F"/>
    <w:rsid w:val="0006662A"/>
    <w:rsid w:val="00066A73"/>
    <w:rsid w:val="00066F74"/>
    <w:rsid w:val="000676EC"/>
    <w:rsid w:val="0006777F"/>
    <w:rsid w:val="00067BCE"/>
    <w:rsid w:val="00067C20"/>
    <w:rsid w:val="000702D0"/>
    <w:rsid w:val="000704E9"/>
    <w:rsid w:val="00071166"/>
    <w:rsid w:val="000712BF"/>
    <w:rsid w:val="0007134D"/>
    <w:rsid w:val="0007139D"/>
    <w:rsid w:val="00071668"/>
    <w:rsid w:val="00071860"/>
    <w:rsid w:val="00071BE9"/>
    <w:rsid w:val="000720C3"/>
    <w:rsid w:val="0007223D"/>
    <w:rsid w:val="00073031"/>
    <w:rsid w:val="00073170"/>
    <w:rsid w:val="000736A3"/>
    <w:rsid w:val="000738A3"/>
    <w:rsid w:val="00073991"/>
    <w:rsid w:val="00073A61"/>
    <w:rsid w:val="00073D4B"/>
    <w:rsid w:val="00073EB1"/>
    <w:rsid w:val="00073F41"/>
    <w:rsid w:val="0007424D"/>
    <w:rsid w:val="00074329"/>
    <w:rsid w:val="00074544"/>
    <w:rsid w:val="0007454D"/>
    <w:rsid w:val="00074742"/>
    <w:rsid w:val="00074C6F"/>
    <w:rsid w:val="00074D2D"/>
    <w:rsid w:val="0007523F"/>
    <w:rsid w:val="000754B7"/>
    <w:rsid w:val="000756AB"/>
    <w:rsid w:val="00075A68"/>
    <w:rsid w:val="00075EA6"/>
    <w:rsid w:val="00075FCE"/>
    <w:rsid w:val="00076374"/>
    <w:rsid w:val="00076937"/>
    <w:rsid w:val="00076F7E"/>
    <w:rsid w:val="0007709B"/>
    <w:rsid w:val="000772FD"/>
    <w:rsid w:val="0007731E"/>
    <w:rsid w:val="000774D1"/>
    <w:rsid w:val="000806E9"/>
    <w:rsid w:val="00080A8A"/>
    <w:rsid w:val="00080BF9"/>
    <w:rsid w:val="00080C35"/>
    <w:rsid w:val="00080E92"/>
    <w:rsid w:val="0008118D"/>
    <w:rsid w:val="0008129E"/>
    <w:rsid w:val="0008147F"/>
    <w:rsid w:val="00081667"/>
    <w:rsid w:val="000818EC"/>
    <w:rsid w:val="00081900"/>
    <w:rsid w:val="00081A82"/>
    <w:rsid w:val="00081FB2"/>
    <w:rsid w:val="0008235E"/>
    <w:rsid w:val="0008236A"/>
    <w:rsid w:val="000827C1"/>
    <w:rsid w:val="000828B9"/>
    <w:rsid w:val="00082A5E"/>
    <w:rsid w:val="000832B8"/>
    <w:rsid w:val="00083625"/>
    <w:rsid w:val="00083647"/>
    <w:rsid w:val="0008374D"/>
    <w:rsid w:val="000838E8"/>
    <w:rsid w:val="00083928"/>
    <w:rsid w:val="000839C4"/>
    <w:rsid w:val="00083D48"/>
    <w:rsid w:val="00083DB7"/>
    <w:rsid w:val="00083E03"/>
    <w:rsid w:val="0008442C"/>
    <w:rsid w:val="000846B0"/>
    <w:rsid w:val="00084C35"/>
    <w:rsid w:val="00084E94"/>
    <w:rsid w:val="00084F8F"/>
    <w:rsid w:val="0008512A"/>
    <w:rsid w:val="00085183"/>
    <w:rsid w:val="000851FF"/>
    <w:rsid w:val="00086040"/>
    <w:rsid w:val="0008659E"/>
    <w:rsid w:val="000865F4"/>
    <w:rsid w:val="00086830"/>
    <w:rsid w:val="00086F21"/>
    <w:rsid w:val="00086F64"/>
    <w:rsid w:val="00087150"/>
    <w:rsid w:val="00087423"/>
    <w:rsid w:val="00087444"/>
    <w:rsid w:val="000875CA"/>
    <w:rsid w:val="000876A5"/>
    <w:rsid w:val="00087987"/>
    <w:rsid w:val="00087CD3"/>
    <w:rsid w:val="0009025B"/>
    <w:rsid w:val="00090271"/>
    <w:rsid w:val="0009055D"/>
    <w:rsid w:val="0009067F"/>
    <w:rsid w:val="0009087F"/>
    <w:rsid w:val="000908E7"/>
    <w:rsid w:val="00090AB4"/>
    <w:rsid w:val="00090C97"/>
    <w:rsid w:val="00090CE7"/>
    <w:rsid w:val="00091084"/>
    <w:rsid w:val="0009121C"/>
    <w:rsid w:val="00091B8D"/>
    <w:rsid w:val="00091B97"/>
    <w:rsid w:val="00091C45"/>
    <w:rsid w:val="00091E5E"/>
    <w:rsid w:val="00091E96"/>
    <w:rsid w:val="0009222C"/>
    <w:rsid w:val="0009228A"/>
    <w:rsid w:val="00092529"/>
    <w:rsid w:val="00092B62"/>
    <w:rsid w:val="00093352"/>
    <w:rsid w:val="000933D7"/>
    <w:rsid w:val="00093521"/>
    <w:rsid w:val="00093854"/>
    <w:rsid w:val="000938C6"/>
    <w:rsid w:val="00093B1E"/>
    <w:rsid w:val="00093CEC"/>
    <w:rsid w:val="00093D38"/>
    <w:rsid w:val="00094414"/>
    <w:rsid w:val="00094808"/>
    <w:rsid w:val="00094843"/>
    <w:rsid w:val="00095B41"/>
    <w:rsid w:val="00095DE3"/>
    <w:rsid w:val="000961B9"/>
    <w:rsid w:val="00096B6E"/>
    <w:rsid w:val="00096BD2"/>
    <w:rsid w:val="00096D11"/>
    <w:rsid w:val="00096FF2"/>
    <w:rsid w:val="00097DA2"/>
    <w:rsid w:val="00097E81"/>
    <w:rsid w:val="00097EC8"/>
    <w:rsid w:val="00097ED1"/>
    <w:rsid w:val="000A0825"/>
    <w:rsid w:val="000A0935"/>
    <w:rsid w:val="000A0A12"/>
    <w:rsid w:val="000A0A38"/>
    <w:rsid w:val="000A10BA"/>
    <w:rsid w:val="000A10BD"/>
    <w:rsid w:val="000A1E01"/>
    <w:rsid w:val="000A1FC2"/>
    <w:rsid w:val="000A209E"/>
    <w:rsid w:val="000A271A"/>
    <w:rsid w:val="000A30EA"/>
    <w:rsid w:val="000A3113"/>
    <w:rsid w:val="000A3214"/>
    <w:rsid w:val="000A3327"/>
    <w:rsid w:val="000A38EF"/>
    <w:rsid w:val="000A3BEE"/>
    <w:rsid w:val="000A3E99"/>
    <w:rsid w:val="000A41AF"/>
    <w:rsid w:val="000A42B7"/>
    <w:rsid w:val="000A45CB"/>
    <w:rsid w:val="000A4F88"/>
    <w:rsid w:val="000A55BD"/>
    <w:rsid w:val="000A5E92"/>
    <w:rsid w:val="000A64D5"/>
    <w:rsid w:val="000A683F"/>
    <w:rsid w:val="000A6F73"/>
    <w:rsid w:val="000A6FDB"/>
    <w:rsid w:val="000A741E"/>
    <w:rsid w:val="000A74A9"/>
    <w:rsid w:val="000A7BAE"/>
    <w:rsid w:val="000A7E87"/>
    <w:rsid w:val="000B0206"/>
    <w:rsid w:val="000B0A30"/>
    <w:rsid w:val="000B0CF3"/>
    <w:rsid w:val="000B0E2B"/>
    <w:rsid w:val="000B1186"/>
    <w:rsid w:val="000B11F1"/>
    <w:rsid w:val="000B13EA"/>
    <w:rsid w:val="000B15CB"/>
    <w:rsid w:val="000B18F1"/>
    <w:rsid w:val="000B1929"/>
    <w:rsid w:val="000B1EEB"/>
    <w:rsid w:val="000B2692"/>
    <w:rsid w:val="000B2ED2"/>
    <w:rsid w:val="000B379C"/>
    <w:rsid w:val="000B3C1C"/>
    <w:rsid w:val="000B3DC8"/>
    <w:rsid w:val="000B3EC9"/>
    <w:rsid w:val="000B427F"/>
    <w:rsid w:val="000B459B"/>
    <w:rsid w:val="000B4A7E"/>
    <w:rsid w:val="000B5BB2"/>
    <w:rsid w:val="000B615B"/>
    <w:rsid w:val="000B65B0"/>
    <w:rsid w:val="000B66DA"/>
    <w:rsid w:val="000B6A3F"/>
    <w:rsid w:val="000B6AC4"/>
    <w:rsid w:val="000B6C0E"/>
    <w:rsid w:val="000B6C94"/>
    <w:rsid w:val="000B6FDC"/>
    <w:rsid w:val="000B74D4"/>
    <w:rsid w:val="000B7925"/>
    <w:rsid w:val="000B79EC"/>
    <w:rsid w:val="000B7D3E"/>
    <w:rsid w:val="000C0263"/>
    <w:rsid w:val="000C037A"/>
    <w:rsid w:val="000C040F"/>
    <w:rsid w:val="000C0E4E"/>
    <w:rsid w:val="000C10AD"/>
    <w:rsid w:val="000C1110"/>
    <w:rsid w:val="000C11C6"/>
    <w:rsid w:val="000C17B1"/>
    <w:rsid w:val="000C18B6"/>
    <w:rsid w:val="000C18FE"/>
    <w:rsid w:val="000C22FD"/>
    <w:rsid w:val="000C23BC"/>
    <w:rsid w:val="000C243D"/>
    <w:rsid w:val="000C2553"/>
    <w:rsid w:val="000C2C75"/>
    <w:rsid w:val="000C321A"/>
    <w:rsid w:val="000C3448"/>
    <w:rsid w:val="000C398C"/>
    <w:rsid w:val="000C3E03"/>
    <w:rsid w:val="000C3E3E"/>
    <w:rsid w:val="000C41ED"/>
    <w:rsid w:val="000C45BE"/>
    <w:rsid w:val="000C463E"/>
    <w:rsid w:val="000C4664"/>
    <w:rsid w:val="000C4867"/>
    <w:rsid w:val="000C508F"/>
    <w:rsid w:val="000C5241"/>
    <w:rsid w:val="000C549B"/>
    <w:rsid w:val="000C5604"/>
    <w:rsid w:val="000C56CA"/>
    <w:rsid w:val="000C58F6"/>
    <w:rsid w:val="000C5968"/>
    <w:rsid w:val="000C6061"/>
    <w:rsid w:val="000C624F"/>
    <w:rsid w:val="000C6BCD"/>
    <w:rsid w:val="000C6FB4"/>
    <w:rsid w:val="000C733A"/>
    <w:rsid w:val="000C7391"/>
    <w:rsid w:val="000C7453"/>
    <w:rsid w:val="000C794C"/>
    <w:rsid w:val="000C7B8F"/>
    <w:rsid w:val="000D02C7"/>
    <w:rsid w:val="000D0735"/>
    <w:rsid w:val="000D07ED"/>
    <w:rsid w:val="000D0BC6"/>
    <w:rsid w:val="000D0CCF"/>
    <w:rsid w:val="000D0EC8"/>
    <w:rsid w:val="000D1080"/>
    <w:rsid w:val="000D143E"/>
    <w:rsid w:val="000D1AEC"/>
    <w:rsid w:val="000D2162"/>
    <w:rsid w:val="000D2222"/>
    <w:rsid w:val="000D22DD"/>
    <w:rsid w:val="000D2A91"/>
    <w:rsid w:val="000D2ACD"/>
    <w:rsid w:val="000D2BFD"/>
    <w:rsid w:val="000D2C0D"/>
    <w:rsid w:val="000D3729"/>
    <w:rsid w:val="000D3CDF"/>
    <w:rsid w:val="000D3EB0"/>
    <w:rsid w:val="000D3F95"/>
    <w:rsid w:val="000D4BD6"/>
    <w:rsid w:val="000D4EF1"/>
    <w:rsid w:val="000D51E1"/>
    <w:rsid w:val="000D5292"/>
    <w:rsid w:val="000D542F"/>
    <w:rsid w:val="000D54C4"/>
    <w:rsid w:val="000D577A"/>
    <w:rsid w:val="000D5CCD"/>
    <w:rsid w:val="000D5D99"/>
    <w:rsid w:val="000D6810"/>
    <w:rsid w:val="000D6C76"/>
    <w:rsid w:val="000D6E2E"/>
    <w:rsid w:val="000D6E87"/>
    <w:rsid w:val="000D6FE6"/>
    <w:rsid w:val="000D79F5"/>
    <w:rsid w:val="000D7C17"/>
    <w:rsid w:val="000D7D3C"/>
    <w:rsid w:val="000E0020"/>
    <w:rsid w:val="000E05E5"/>
    <w:rsid w:val="000E07AE"/>
    <w:rsid w:val="000E0B80"/>
    <w:rsid w:val="000E0F46"/>
    <w:rsid w:val="000E12F9"/>
    <w:rsid w:val="000E1AFF"/>
    <w:rsid w:val="000E1DE7"/>
    <w:rsid w:val="000E20B0"/>
    <w:rsid w:val="000E223E"/>
    <w:rsid w:val="000E2466"/>
    <w:rsid w:val="000E26F1"/>
    <w:rsid w:val="000E2940"/>
    <w:rsid w:val="000E2DA0"/>
    <w:rsid w:val="000E312F"/>
    <w:rsid w:val="000E3278"/>
    <w:rsid w:val="000E3387"/>
    <w:rsid w:val="000E3420"/>
    <w:rsid w:val="000E3430"/>
    <w:rsid w:val="000E3D46"/>
    <w:rsid w:val="000E41DC"/>
    <w:rsid w:val="000E420F"/>
    <w:rsid w:val="000E4277"/>
    <w:rsid w:val="000E47AC"/>
    <w:rsid w:val="000E503A"/>
    <w:rsid w:val="000E525A"/>
    <w:rsid w:val="000E5591"/>
    <w:rsid w:val="000E5A34"/>
    <w:rsid w:val="000E5F7D"/>
    <w:rsid w:val="000E6041"/>
    <w:rsid w:val="000E62B5"/>
    <w:rsid w:val="000E662E"/>
    <w:rsid w:val="000E6909"/>
    <w:rsid w:val="000E6B85"/>
    <w:rsid w:val="000E6E60"/>
    <w:rsid w:val="000E6F1C"/>
    <w:rsid w:val="000E6FB7"/>
    <w:rsid w:val="000E7350"/>
    <w:rsid w:val="000E745B"/>
    <w:rsid w:val="000E7B7C"/>
    <w:rsid w:val="000F023F"/>
    <w:rsid w:val="000F098D"/>
    <w:rsid w:val="000F0E46"/>
    <w:rsid w:val="000F154F"/>
    <w:rsid w:val="000F1BD8"/>
    <w:rsid w:val="000F1E65"/>
    <w:rsid w:val="000F24A1"/>
    <w:rsid w:val="000F24A3"/>
    <w:rsid w:val="000F2919"/>
    <w:rsid w:val="000F2FB7"/>
    <w:rsid w:val="000F341F"/>
    <w:rsid w:val="000F363A"/>
    <w:rsid w:val="000F3838"/>
    <w:rsid w:val="000F3C2E"/>
    <w:rsid w:val="000F3DCE"/>
    <w:rsid w:val="000F3E1A"/>
    <w:rsid w:val="000F3F4D"/>
    <w:rsid w:val="000F4030"/>
    <w:rsid w:val="000F43D9"/>
    <w:rsid w:val="000F49B7"/>
    <w:rsid w:val="000F4D1A"/>
    <w:rsid w:val="000F5785"/>
    <w:rsid w:val="000F5CD3"/>
    <w:rsid w:val="000F5DF9"/>
    <w:rsid w:val="000F5FF7"/>
    <w:rsid w:val="000F6073"/>
    <w:rsid w:val="000F6B36"/>
    <w:rsid w:val="000F6DEC"/>
    <w:rsid w:val="000F7060"/>
    <w:rsid w:val="000F7170"/>
    <w:rsid w:val="000F744F"/>
    <w:rsid w:val="000F7849"/>
    <w:rsid w:val="000F7AD4"/>
    <w:rsid w:val="000F7B58"/>
    <w:rsid w:val="000F7F23"/>
    <w:rsid w:val="001006F2"/>
    <w:rsid w:val="00100AED"/>
    <w:rsid w:val="00100E92"/>
    <w:rsid w:val="00101701"/>
    <w:rsid w:val="00101917"/>
    <w:rsid w:val="00101B9B"/>
    <w:rsid w:val="00101BC2"/>
    <w:rsid w:val="00101FDA"/>
    <w:rsid w:val="0010208B"/>
    <w:rsid w:val="00102255"/>
    <w:rsid w:val="00102343"/>
    <w:rsid w:val="001024C6"/>
    <w:rsid w:val="001027C3"/>
    <w:rsid w:val="00102ABC"/>
    <w:rsid w:val="00102D54"/>
    <w:rsid w:val="00103AF9"/>
    <w:rsid w:val="00104479"/>
    <w:rsid w:val="00104728"/>
    <w:rsid w:val="0010496A"/>
    <w:rsid w:val="00104AEE"/>
    <w:rsid w:val="00104BAF"/>
    <w:rsid w:val="00104D97"/>
    <w:rsid w:val="00105314"/>
    <w:rsid w:val="00105777"/>
    <w:rsid w:val="00105951"/>
    <w:rsid w:val="00105CA3"/>
    <w:rsid w:val="00105D1F"/>
    <w:rsid w:val="001063AD"/>
    <w:rsid w:val="00106752"/>
    <w:rsid w:val="001069E7"/>
    <w:rsid w:val="00106BC7"/>
    <w:rsid w:val="00106CDC"/>
    <w:rsid w:val="00106F31"/>
    <w:rsid w:val="00107058"/>
    <w:rsid w:val="001071AB"/>
    <w:rsid w:val="0010724A"/>
    <w:rsid w:val="00107827"/>
    <w:rsid w:val="00110091"/>
    <w:rsid w:val="0011034D"/>
    <w:rsid w:val="00110748"/>
    <w:rsid w:val="00110B6A"/>
    <w:rsid w:val="00110C23"/>
    <w:rsid w:val="00111085"/>
    <w:rsid w:val="00111635"/>
    <w:rsid w:val="00111904"/>
    <w:rsid w:val="00111B0B"/>
    <w:rsid w:val="001121BA"/>
    <w:rsid w:val="001121FA"/>
    <w:rsid w:val="00112BAF"/>
    <w:rsid w:val="00112BB6"/>
    <w:rsid w:val="00112BE5"/>
    <w:rsid w:val="001136A2"/>
    <w:rsid w:val="001136F6"/>
    <w:rsid w:val="001139C5"/>
    <w:rsid w:val="00113B53"/>
    <w:rsid w:val="00113BAF"/>
    <w:rsid w:val="00113C91"/>
    <w:rsid w:val="00113F82"/>
    <w:rsid w:val="0011508B"/>
    <w:rsid w:val="001150A8"/>
    <w:rsid w:val="00115546"/>
    <w:rsid w:val="00115750"/>
    <w:rsid w:val="0011595F"/>
    <w:rsid w:val="00116176"/>
    <w:rsid w:val="00116427"/>
    <w:rsid w:val="00116AB1"/>
    <w:rsid w:val="00116DAD"/>
    <w:rsid w:val="00116FB4"/>
    <w:rsid w:val="00117574"/>
    <w:rsid w:val="00117717"/>
    <w:rsid w:val="00117C41"/>
    <w:rsid w:val="0012048C"/>
    <w:rsid w:val="001204FC"/>
    <w:rsid w:val="00120A2C"/>
    <w:rsid w:val="00120F4A"/>
    <w:rsid w:val="00120FEB"/>
    <w:rsid w:val="001210AF"/>
    <w:rsid w:val="001212C9"/>
    <w:rsid w:val="0012135A"/>
    <w:rsid w:val="00121410"/>
    <w:rsid w:val="00121DE4"/>
    <w:rsid w:val="00121E1C"/>
    <w:rsid w:val="0012263B"/>
    <w:rsid w:val="001226AA"/>
    <w:rsid w:val="001239CC"/>
    <w:rsid w:val="00123CD0"/>
    <w:rsid w:val="00124225"/>
    <w:rsid w:val="00124607"/>
    <w:rsid w:val="0012476B"/>
    <w:rsid w:val="0012477D"/>
    <w:rsid w:val="0012483F"/>
    <w:rsid w:val="00124897"/>
    <w:rsid w:val="00124967"/>
    <w:rsid w:val="00125076"/>
    <w:rsid w:val="0012513D"/>
    <w:rsid w:val="00125141"/>
    <w:rsid w:val="00125AC8"/>
    <w:rsid w:val="00125B76"/>
    <w:rsid w:val="00125D2F"/>
    <w:rsid w:val="00125D90"/>
    <w:rsid w:val="0012618A"/>
    <w:rsid w:val="00126262"/>
    <w:rsid w:val="00126620"/>
    <w:rsid w:val="00126867"/>
    <w:rsid w:val="00126E66"/>
    <w:rsid w:val="00127139"/>
    <w:rsid w:val="00127395"/>
    <w:rsid w:val="0012794E"/>
    <w:rsid w:val="00127C84"/>
    <w:rsid w:val="0013003B"/>
    <w:rsid w:val="00130ABA"/>
    <w:rsid w:val="00130B55"/>
    <w:rsid w:val="001312D1"/>
    <w:rsid w:val="0013137D"/>
    <w:rsid w:val="00131485"/>
    <w:rsid w:val="00131900"/>
    <w:rsid w:val="0013241C"/>
    <w:rsid w:val="00132592"/>
    <w:rsid w:val="00133101"/>
    <w:rsid w:val="00133884"/>
    <w:rsid w:val="00133D79"/>
    <w:rsid w:val="0013409A"/>
    <w:rsid w:val="0013447D"/>
    <w:rsid w:val="00134C90"/>
    <w:rsid w:val="00134F0C"/>
    <w:rsid w:val="0013513D"/>
    <w:rsid w:val="0013534C"/>
    <w:rsid w:val="00135388"/>
    <w:rsid w:val="00135696"/>
    <w:rsid w:val="00135AEC"/>
    <w:rsid w:val="00135D7A"/>
    <w:rsid w:val="00135E47"/>
    <w:rsid w:val="00135E8F"/>
    <w:rsid w:val="00136092"/>
    <w:rsid w:val="0013609D"/>
    <w:rsid w:val="00136531"/>
    <w:rsid w:val="001365AE"/>
    <w:rsid w:val="0013661D"/>
    <w:rsid w:val="00136AEA"/>
    <w:rsid w:val="00136DD0"/>
    <w:rsid w:val="00136DD3"/>
    <w:rsid w:val="00136EB9"/>
    <w:rsid w:val="00137097"/>
    <w:rsid w:val="0013711F"/>
    <w:rsid w:val="001371CF"/>
    <w:rsid w:val="001376D7"/>
    <w:rsid w:val="00137A21"/>
    <w:rsid w:val="00137B29"/>
    <w:rsid w:val="00137C45"/>
    <w:rsid w:val="00137D4B"/>
    <w:rsid w:val="00140219"/>
    <w:rsid w:val="001402FD"/>
    <w:rsid w:val="00140314"/>
    <w:rsid w:val="0014031C"/>
    <w:rsid w:val="0014082F"/>
    <w:rsid w:val="00140F6E"/>
    <w:rsid w:val="001411DD"/>
    <w:rsid w:val="0014126A"/>
    <w:rsid w:val="0014129D"/>
    <w:rsid w:val="0014148F"/>
    <w:rsid w:val="00141579"/>
    <w:rsid w:val="00142069"/>
    <w:rsid w:val="001423BA"/>
    <w:rsid w:val="0014275D"/>
    <w:rsid w:val="0014298A"/>
    <w:rsid w:val="00142E30"/>
    <w:rsid w:val="00142F34"/>
    <w:rsid w:val="00142F57"/>
    <w:rsid w:val="0014316A"/>
    <w:rsid w:val="00143392"/>
    <w:rsid w:val="00143671"/>
    <w:rsid w:val="001437F8"/>
    <w:rsid w:val="001438EA"/>
    <w:rsid w:val="00143A35"/>
    <w:rsid w:val="00143C04"/>
    <w:rsid w:val="00143C5A"/>
    <w:rsid w:val="00143DD0"/>
    <w:rsid w:val="00143E8D"/>
    <w:rsid w:val="0014446E"/>
    <w:rsid w:val="0014479F"/>
    <w:rsid w:val="00144B94"/>
    <w:rsid w:val="0014569E"/>
    <w:rsid w:val="00145A32"/>
    <w:rsid w:val="00145D01"/>
    <w:rsid w:val="00145D9D"/>
    <w:rsid w:val="00145F80"/>
    <w:rsid w:val="00145FF7"/>
    <w:rsid w:val="00146A4C"/>
    <w:rsid w:val="00146AE4"/>
    <w:rsid w:val="00146C74"/>
    <w:rsid w:val="00146F36"/>
    <w:rsid w:val="001473C4"/>
    <w:rsid w:val="00147482"/>
    <w:rsid w:val="00147585"/>
    <w:rsid w:val="00147A25"/>
    <w:rsid w:val="00147C45"/>
    <w:rsid w:val="001501D7"/>
    <w:rsid w:val="0015045E"/>
    <w:rsid w:val="00150A96"/>
    <w:rsid w:val="00150EC6"/>
    <w:rsid w:val="00150ECC"/>
    <w:rsid w:val="00151165"/>
    <w:rsid w:val="00151DFA"/>
    <w:rsid w:val="00151E44"/>
    <w:rsid w:val="0015205B"/>
    <w:rsid w:val="00152292"/>
    <w:rsid w:val="00152C6F"/>
    <w:rsid w:val="00152E35"/>
    <w:rsid w:val="00152EB0"/>
    <w:rsid w:val="00153027"/>
    <w:rsid w:val="0015307F"/>
    <w:rsid w:val="001532A4"/>
    <w:rsid w:val="0015383C"/>
    <w:rsid w:val="00153905"/>
    <w:rsid w:val="001544DA"/>
    <w:rsid w:val="00154A48"/>
    <w:rsid w:val="00154A89"/>
    <w:rsid w:val="00154FFA"/>
    <w:rsid w:val="00155223"/>
    <w:rsid w:val="0015540C"/>
    <w:rsid w:val="00155ED0"/>
    <w:rsid w:val="00155F30"/>
    <w:rsid w:val="001560DC"/>
    <w:rsid w:val="00156D2A"/>
    <w:rsid w:val="0015742E"/>
    <w:rsid w:val="00157964"/>
    <w:rsid w:val="00157E6F"/>
    <w:rsid w:val="00157ECB"/>
    <w:rsid w:val="00160175"/>
    <w:rsid w:val="0016092E"/>
    <w:rsid w:val="00160CEB"/>
    <w:rsid w:val="00160D8C"/>
    <w:rsid w:val="0016103C"/>
    <w:rsid w:val="001615B7"/>
    <w:rsid w:val="00161659"/>
    <w:rsid w:val="001616CB"/>
    <w:rsid w:val="001619E6"/>
    <w:rsid w:val="00161DA4"/>
    <w:rsid w:val="00161E2D"/>
    <w:rsid w:val="001621EF"/>
    <w:rsid w:val="001624B0"/>
    <w:rsid w:val="0016263B"/>
    <w:rsid w:val="00162ABA"/>
    <w:rsid w:val="00162AC3"/>
    <w:rsid w:val="00162DDF"/>
    <w:rsid w:val="00162F2A"/>
    <w:rsid w:val="001631A9"/>
    <w:rsid w:val="00163243"/>
    <w:rsid w:val="001637A1"/>
    <w:rsid w:val="00163BF1"/>
    <w:rsid w:val="00163C01"/>
    <w:rsid w:val="00163D1F"/>
    <w:rsid w:val="0016436C"/>
    <w:rsid w:val="0016444F"/>
    <w:rsid w:val="0016456F"/>
    <w:rsid w:val="00164878"/>
    <w:rsid w:val="00164A1E"/>
    <w:rsid w:val="00164F57"/>
    <w:rsid w:val="00164FAC"/>
    <w:rsid w:val="00165003"/>
    <w:rsid w:val="00166196"/>
    <w:rsid w:val="001664BB"/>
    <w:rsid w:val="00166F66"/>
    <w:rsid w:val="00167475"/>
    <w:rsid w:val="00167B8E"/>
    <w:rsid w:val="00167EA0"/>
    <w:rsid w:val="00167FF6"/>
    <w:rsid w:val="00170138"/>
    <w:rsid w:val="001701CA"/>
    <w:rsid w:val="001702A3"/>
    <w:rsid w:val="00170361"/>
    <w:rsid w:val="0017042D"/>
    <w:rsid w:val="0017098E"/>
    <w:rsid w:val="001710D9"/>
    <w:rsid w:val="00171261"/>
    <w:rsid w:val="00171283"/>
    <w:rsid w:val="00171427"/>
    <w:rsid w:val="00171C3F"/>
    <w:rsid w:val="00171DAF"/>
    <w:rsid w:val="0017229E"/>
    <w:rsid w:val="0017242D"/>
    <w:rsid w:val="00172BE9"/>
    <w:rsid w:val="00172C42"/>
    <w:rsid w:val="00172E1B"/>
    <w:rsid w:val="00173014"/>
    <w:rsid w:val="00173160"/>
    <w:rsid w:val="00173290"/>
    <w:rsid w:val="001736C2"/>
    <w:rsid w:val="00173BFB"/>
    <w:rsid w:val="00173F4F"/>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7104"/>
    <w:rsid w:val="00177593"/>
    <w:rsid w:val="00177819"/>
    <w:rsid w:val="00177B0B"/>
    <w:rsid w:val="00177C38"/>
    <w:rsid w:val="00177CFE"/>
    <w:rsid w:val="00177EE6"/>
    <w:rsid w:val="001808E8"/>
    <w:rsid w:val="0018091B"/>
    <w:rsid w:val="00180932"/>
    <w:rsid w:val="00180A1B"/>
    <w:rsid w:val="00180C76"/>
    <w:rsid w:val="00181096"/>
    <w:rsid w:val="001812A7"/>
    <w:rsid w:val="001813A7"/>
    <w:rsid w:val="001819C2"/>
    <w:rsid w:val="0018208B"/>
    <w:rsid w:val="00182096"/>
    <w:rsid w:val="00182593"/>
    <w:rsid w:val="001828D0"/>
    <w:rsid w:val="00182E26"/>
    <w:rsid w:val="00182EAC"/>
    <w:rsid w:val="00182FAF"/>
    <w:rsid w:val="00183087"/>
    <w:rsid w:val="0018317F"/>
    <w:rsid w:val="001831E4"/>
    <w:rsid w:val="001834FC"/>
    <w:rsid w:val="00183501"/>
    <w:rsid w:val="00183580"/>
    <w:rsid w:val="001835EC"/>
    <w:rsid w:val="0018366C"/>
    <w:rsid w:val="00183C61"/>
    <w:rsid w:val="00184119"/>
    <w:rsid w:val="001844D8"/>
    <w:rsid w:val="00184754"/>
    <w:rsid w:val="001848FF"/>
    <w:rsid w:val="00184C77"/>
    <w:rsid w:val="00184CFF"/>
    <w:rsid w:val="00184D31"/>
    <w:rsid w:val="00184D61"/>
    <w:rsid w:val="00184FA0"/>
    <w:rsid w:val="001855AD"/>
    <w:rsid w:val="00185792"/>
    <w:rsid w:val="001857E6"/>
    <w:rsid w:val="00185957"/>
    <w:rsid w:val="00185C47"/>
    <w:rsid w:val="0018608A"/>
    <w:rsid w:val="001863D5"/>
    <w:rsid w:val="00186629"/>
    <w:rsid w:val="00186FB8"/>
    <w:rsid w:val="00186FD4"/>
    <w:rsid w:val="001871F1"/>
    <w:rsid w:val="001872BD"/>
    <w:rsid w:val="0018754E"/>
    <w:rsid w:val="00187693"/>
    <w:rsid w:val="00187A34"/>
    <w:rsid w:val="00187DFE"/>
    <w:rsid w:val="001907A0"/>
    <w:rsid w:val="001909EA"/>
    <w:rsid w:val="00190A7E"/>
    <w:rsid w:val="00190BAC"/>
    <w:rsid w:val="00190F89"/>
    <w:rsid w:val="00191196"/>
    <w:rsid w:val="00191462"/>
    <w:rsid w:val="001916BE"/>
    <w:rsid w:val="00191925"/>
    <w:rsid w:val="00191C2B"/>
    <w:rsid w:val="00192332"/>
    <w:rsid w:val="00192427"/>
    <w:rsid w:val="00192667"/>
    <w:rsid w:val="001927BA"/>
    <w:rsid w:val="00193225"/>
    <w:rsid w:val="00193579"/>
    <w:rsid w:val="00194256"/>
    <w:rsid w:val="001943CB"/>
    <w:rsid w:val="00194B05"/>
    <w:rsid w:val="00194B3F"/>
    <w:rsid w:val="0019518A"/>
    <w:rsid w:val="00195214"/>
    <w:rsid w:val="0019548C"/>
    <w:rsid w:val="001956D7"/>
    <w:rsid w:val="001960A1"/>
    <w:rsid w:val="001960EB"/>
    <w:rsid w:val="00196207"/>
    <w:rsid w:val="00196366"/>
    <w:rsid w:val="001963B1"/>
    <w:rsid w:val="001966C8"/>
    <w:rsid w:val="0019680E"/>
    <w:rsid w:val="0019688A"/>
    <w:rsid w:val="00196C0C"/>
    <w:rsid w:val="00196EB7"/>
    <w:rsid w:val="00196F8D"/>
    <w:rsid w:val="0019705B"/>
    <w:rsid w:val="0019732A"/>
    <w:rsid w:val="001973AC"/>
    <w:rsid w:val="00197428"/>
    <w:rsid w:val="0019766B"/>
    <w:rsid w:val="00197758"/>
    <w:rsid w:val="0019780A"/>
    <w:rsid w:val="00197BF4"/>
    <w:rsid w:val="00197E5D"/>
    <w:rsid w:val="001A0137"/>
    <w:rsid w:val="001A0367"/>
    <w:rsid w:val="001A084F"/>
    <w:rsid w:val="001A11AE"/>
    <w:rsid w:val="001A1354"/>
    <w:rsid w:val="001A13B2"/>
    <w:rsid w:val="001A143D"/>
    <w:rsid w:val="001A1B7A"/>
    <w:rsid w:val="001A20AE"/>
    <w:rsid w:val="001A22C7"/>
    <w:rsid w:val="001A2601"/>
    <w:rsid w:val="001A27D2"/>
    <w:rsid w:val="001A2CC7"/>
    <w:rsid w:val="001A2E56"/>
    <w:rsid w:val="001A3540"/>
    <w:rsid w:val="001A3624"/>
    <w:rsid w:val="001A3CC8"/>
    <w:rsid w:val="001A3DC7"/>
    <w:rsid w:val="001A3E96"/>
    <w:rsid w:val="001A3EFD"/>
    <w:rsid w:val="001A40BE"/>
    <w:rsid w:val="001A42A0"/>
    <w:rsid w:val="001A4555"/>
    <w:rsid w:val="001A5268"/>
    <w:rsid w:val="001A56D0"/>
    <w:rsid w:val="001A570B"/>
    <w:rsid w:val="001A5A54"/>
    <w:rsid w:val="001A5F47"/>
    <w:rsid w:val="001A6102"/>
    <w:rsid w:val="001A72C9"/>
    <w:rsid w:val="001A7A0E"/>
    <w:rsid w:val="001A7A40"/>
    <w:rsid w:val="001A7E52"/>
    <w:rsid w:val="001A7E84"/>
    <w:rsid w:val="001A7ECE"/>
    <w:rsid w:val="001B0B96"/>
    <w:rsid w:val="001B0F06"/>
    <w:rsid w:val="001B1635"/>
    <w:rsid w:val="001B188F"/>
    <w:rsid w:val="001B1912"/>
    <w:rsid w:val="001B1A2F"/>
    <w:rsid w:val="001B1E31"/>
    <w:rsid w:val="001B20B6"/>
    <w:rsid w:val="001B21EB"/>
    <w:rsid w:val="001B22DA"/>
    <w:rsid w:val="001B2540"/>
    <w:rsid w:val="001B2574"/>
    <w:rsid w:val="001B26F3"/>
    <w:rsid w:val="001B2772"/>
    <w:rsid w:val="001B27E4"/>
    <w:rsid w:val="001B2AA1"/>
    <w:rsid w:val="001B3544"/>
    <w:rsid w:val="001B35F2"/>
    <w:rsid w:val="001B39C7"/>
    <w:rsid w:val="001B3F9A"/>
    <w:rsid w:val="001B40BB"/>
    <w:rsid w:val="001B4158"/>
    <w:rsid w:val="001B4207"/>
    <w:rsid w:val="001B425B"/>
    <w:rsid w:val="001B474F"/>
    <w:rsid w:val="001B47A9"/>
    <w:rsid w:val="001B495D"/>
    <w:rsid w:val="001B4BE2"/>
    <w:rsid w:val="001B4E58"/>
    <w:rsid w:val="001B5764"/>
    <w:rsid w:val="001B5901"/>
    <w:rsid w:val="001B59C2"/>
    <w:rsid w:val="001B59DA"/>
    <w:rsid w:val="001B5D7C"/>
    <w:rsid w:val="001B609D"/>
    <w:rsid w:val="001B6293"/>
    <w:rsid w:val="001B64BC"/>
    <w:rsid w:val="001B64E6"/>
    <w:rsid w:val="001B7291"/>
    <w:rsid w:val="001B79C0"/>
    <w:rsid w:val="001B7B2E"/>
    <w:rsid w:val="001B7EC3"/>
    <w:rsid w:val="001C00FC"/>
    <w:rsid w:val="001C0822"/>
    <w:rsid w:val="001C097A"/>
    <w:rsid w:val="001C09F1"/>
    <w:rsid w:val="001C160A"/>
    <w:rsid w:val="001C196C"/>
    <w:rsid w:val="001C1A94"/>
    <w:rsid w:val="001C1EF5"/>
    <w:rsid w:val="001C202A"/>
    <w:rsid w:val="001C230B"/>
    <w:rsid w:val="001C255B"/>
    <w:rsid w:val="001C27A9"/>
    <w:rsid w:val="001C2AF6"/>
    <w:rsid w:val="001C2D9E"/>
    <w:rsid w:val="001C2EA3"/>
    <w:rsid w:val="001C38B7"/>
    <w:rsid w:val="001C4050"/>
    <w:rsid w:val="001C4384"/>
    <w:rsid w:val="001C4AF1"/>
    <w:rsid w:val="001C4BE4"/>
    <w:rsid w:val="001C505A"/>
    <w:rsid w:val="001C530D"/>
    <w:rsid w:val="001C5E20"/>
    <w:rsid w:val="001C5E6E"/>
    <w:rsid w:val="001C5F2E"/>
    <w:rsid w:val="001C694B"/>
    <w:rsid w:val="001C6C81"/>
    <w:rsid w:val="001C6EC0"/>
    <w:rsid w:val="001C714E"/>
    <w:rsid w:val="001C7188"/>
    <w:rsid w:val="001C7231"/>
    <w:rsid w:val="001C7834"/>
    <w:rsid w:val="001D0049"/>
    <w:rsid w:val="001D01AE"/>
    <w:rsid w:val="001D024E"/>
    <w:rsid w:val="001D1C7F"/>
    <w:rsid w:val="001D21DA"/>
    <w:rsid w:val="001D3178"/>
    <w:rsid w:val="001D351B"/>
    <w:rsid w:val="001D3702"/>
    <w:rsid w:val="001D3709"/>
    <w:rsid w:val="001D39D2"/>
    <w:rsid w:val="001D3C35"/>
    <w:rsid w:val="001D42BF"/>
    <w:rsid w:val="001D48C1"/>
    <w:rsid w:val="001D4A12"/>
    <w:rsid w:val="001D4C9B"/>
    <w:rsid w:val="001D51CE"/>
    <w:rsid w:val="001D5317"/>
    <w:rsid w:val="001D5468"/>
    <w:rsid w:val="001D5C83"/>
    <w:rsid w:val="001D603C"/>
    <w:rsid w:val="001D67C4"/>
    <w:rsid w:val="001D67FE"/>
    <w:rsid w:val="001D6B71"/>
    <w:rsid w:val="001D6C5B"/>
    <w:rsid w:val="001D6DF6"/>
    <w:rsid w:val="001D6F83"/>
    <w:rsid w:val="001D70A4"/>
    <w:rsid w:val="001D73E3"/>
    <w:rsid w:val="001D758F"/>
    <w:rsid w:val="001D75F1"/>
    <w:rsid w:val="001D7682"/>
    <w:rsid w:val="001D7A65"/>
    <w:rsid w:val="001D7B57"/>
    <w:rsid w:val="001D7BE0"/>
    <w:rsid w:val="001D7E9D"/>
    <w:rsid w:val="001D7EBA"/>
    <w:rsid w:val="001E0026"/>
    <w:rsid w:val="001E005B"/>
    <w:rsid w:val="001E053A"/>
    <w:rsid w:val="001E0CA7"/>
    <w:rsid w:val="001E1334"/>
    <w:rsid w:val="001E142E"/>
    <w:rsid w:val="001E144D"/>
    <w:rsid w:val="001E155D"/>
    <w:rsid w:val="001E176B"/>
    <w:rsid w:val="001E19AD"/>
    <w:rsid w:val="001E1F27"/>
    <w:rsid w:val="001E20FE"/>
    <w:rsid w:val="001E259E"/>
    <w:rsid w:val="001E2C86"/>
    <w:rsid w:val="001E2DF0"/>
    <w:rsid w:val="001E3297"/>
    <w:rsid w:val="001E33F7"/>
    <w:rsid w:val="001E35C3"/>
    <w:rsid w:val="001E37AA"/>
    <w:rsid w:val="001E37D3"/>
    <w:rsid w:val="001E4141"/>
    <w:rsid w:val="001E43E5"/>
    <w:rsid w:val="001E4959"/>
    <w:rsid w:val="001E4AB1"/>
    <w:rsid w:val="001E4CCC"/>
    <w:rsid w:val="001E4DA2"/>
    <w:rsid w:val="001E4F63"/>
    <w:rsid w:val="001E5A93"/>
    <w:rsid w:val="001E5D38"/>
    <w:rsid w:val="001E5EA9"/>
    <w:rsid w:val="001E677B"/>
    <w:rsid w:val="001E6840"/>
    <w:rsid w:val="001E6BD1"/>
    <w:rsid w:val="001E6EDC"/>
    <w:rsid w:val="001E73DE"/>
    <w:rsid w:val="001F0049"/>
    <w:rsid w:val="001F06B9"/>
    <w:rsid w:val="001F0997"/>
    <w:rsid w:val="001F0A97"/>
    <w:rsid w:val="001F0A99"/>
    <w:rsid w:val="001F0DC5"/>
    <w:rsid w:val="001F1095"/>
    <w:rsid w:val="001F1299"/>
    <w:rsid w:val="001F14DF"/>
    <w:rsid w:val="001F1507"/>
    <w:rsid w:val="001F207C"/>
    <w:rsid w:val="001F22F3"/>
    <w:rsid w:val="001F29AE"/>
    <w:rsid w:val="001F2AB3"/>
    <w:rsid w:val="001F2CEA"/>
    <w:rsid w:val="001F32A7"/>
    <w:rsid w:val="001F385D"/>
    <w:rsid w:val="001F3BFF"/>
    <w:rsid w:val="001F3CD9"/>
    <w:rsid w:val="001F3F4E"/>
    <w:rsid w:val="001F4520"/>
    <w:rsid w:val="001F45C6"/>
    <w:rsid w:val="001F4A79"/>
    <w:rsid w:val="001F4BF3"/>
    <w:rsid w:val="001F4E40"/>
    <w:rsid w:val="001F57E2"/>
    <w:rsid w:val="001F5CC3"/>
    <w:rsid w:val="001F5DB3"/>
    <w:rsid w:val="001F5F28"/>
    <w:rsid w:val="001F63F8"/>
    <w:rsid w:val="001F6543"/>
    <w:rsid w:val="001F6889"/>
    <w:rsid w:val="001F6E41"/>
    <w:rsid w:val="001F70CF"/>
    <w:rsid w:val="001F7308"/>
    <w:rsid w:val="001F7461"/>
    <w:rsid w:val="001F7742"/>
    <w:rsid w:val="001F78F1"/>
    <w:rsid w:val="001F7CAF"/>
    <w:rsid w:val="001F7D91"/>
    <w:rsid w:val="001F7E56"/>
    <w:rsid w:val="001F7F01"/>
    <w:rsid w:val="001F7FE0"/>
    <w:rsid w:val="002003B0"/>
    <w:rsid w:val="002009DE"/>
    <w:rsid w:val="0020136C"/>
    <w:rsid w:val="0020142B"/>
    <w:rsid w:val="00201628"/>
    <w:rsid w:val="00201781"/>
    <w:rsid w:val="0020185F"/>
    <w:rsid w:val="00201A65"/>
    <w:rsid w:val="00201D02"/>
    <w:rsid w:val="00201F00"/>
    <w:rsid w:val="0020222D"/>
    <w:rsid w:val="002029DC"/>
    <w:rsid w:val="00203303"/>
    <w:rsid w:val="0020334E"/>
    <w:rsid w:val="00203483"/>
    <w:rsid w:val="002037B2"/>
    <w:rsid w:val="00203AAD"/>
    <w:rsid w:val="00203BC0"/>
    <w:rsid w:val="00203FE0"/>
    <w:rsid w:val="00204100"/>
    <w:rsid w:val="00204621"/>
    <w:rsid w:val="00204CE2"/>
    <w:rsid w:val="00205693"/>
    <w:rsid w:val="00205950"/>
    <w:rsid w:val="00205A89"/>
    <w:rsid w:val="00205C0D"/>
    <w:rsid w:val="00205DA5"/>
    <w:rsid w:val="00206263"/>
    <w:rsid w:val="0020650C"/>
    <w:rsid w:val="00206AF2"/>
    <w:rsid w:val="00206F45"/>
    <w:rsid w:val="00207E25"/>
    <w:rsid w:val="00207F7B"/>
    <w:rsid w:val="00207F81"/>
    <w:rsid w:val="00210147"/>
    <w:rsid w:val="002105C1"/>
    <w:rsid w:val="0021062E"/>
    <w:rsid w:val="002106A7"/>
    <w:rsid w:val="0021079F"/>
    <w:rsid w:val="00210948"/>
    <w:rsid w:val="002109BE"/>
    <w:rsid w:val="002109C0"/>
    <w:rsid w:val="002109F5"/>
    <w:rsid w:val="00210A98"/>
    <w:rsid w:val="00210C92"/>
    <w:rsid w:val="00210D88"/>
    <w:rsid w:val="00210DED"/>
    <w:rsid w:val="00211167"/>
    <w:rsid w:val="002113A3"/>
    <w:rsid w:val="00211A60"/>
    <w:rsid w:val="00212185"/>
    <w:rsid w:val="00212205"/>
    <w:rsid w:val="00212432"/>
    <w:rsid w:val="0021243C"/>
    <w:rsid w:val="00212677"/>
    <w:rsid w:val="00212784"/>
    <w:rsid w:val="00212A87"/>
    <w:rsid w:val="00212AA3"/>
    <w:rsid w:val="00212BFA"/>
    <w:rsid w:val="00212E05"/>
    <w:rsid w:val="00213107"/>
    <w:rsid w:val="00213791"/>
    <w:rsid w:val="002139BD"/>
    <w:rsid w:val="00213A05"/>
    <w:rsid w:val="00214548"/>
    <w:rsid w:val="00214BF3"/>
    <w:rsid w:val="002153E3"/>
    <w:rsid w:val="00215474"/>
    <w:rsid w:val="002154AB"/>
    <w:rsid w:val="00215716"/>
    <w:rsid w:val="002163E0"/>
    <w:rsid w:val="00216571"/>
    <w:rsid w:val="00216A25"/>
    <w:rsid w:val="00216B10"/>
    <w:rsid w:val="00216BC3"/>
    <w:rsid w:val="00216FEB"/>
    <w:rsid w:val="002173DB"/>
    <w:rsid w:val="002175E8"/>
    <w:rsid w:val="00217903"/>
    <w:rsid w:val="002179B2"/>
    <w:rsid w:val="00217BE8"/>
    <w:rsid w:val="00217F2A"/>
    <w:rsid w:val="00220093"/>
    <w:rsid w:val="0022065B"/>
    <w:rsid w:val="00220AFD"/>
    <w:rsid w:val="00220BB8"/>
    <w:rsid w:val="002210F4"/>
    <w:rsid w:val="00221615"/>
    <w:rsid w:val="002216E0"/>
    <w:rsid w:val="0022178D"/>
    <w:rsid w:val="0022179D"/>
    <w:rsid w:val="0022185C"/>
    <w:rsid w:val="002218A2"/>
    <w:rsid w:val="002218A4"/>
    <w:rsid w:val="002219C4"/>
    <w:rsid w:val="00221DB6"/>
    <w:rsid w:val="00221ED8"/>
    <w:rsid w:val="0022223D"/>
    <w:rsid w:val="002227D9"/>
    <w:rsid w:val="00222A7E"/>
    <w:rsid w:val="00222F82"/>
    <w:rsid w:val="00223142"/>
    <w:rsid w:val="00223956"/>
    <w:rsid w:val="00223AD3"/>
    <w:rsid w:val="00223BA0"/>
    <w:rsid w:val="0022431D"/>
    <w:rsid w:val="002246F7"/>
    <w:rsid w:val="002251C6"/>
    <w:rsid w:val="002254D0"/>
    <w:rsid w:val="00225793"/>
    <w:rsid w:val="00225967"/>
    <w:rsid w:val="002259F3"/>
    <w:rsid w:val="00226188"/>
    <w:rsid w:val="002264DD"/>
    <w:rsid w:val="00226C84"/>
    <w:rsid w:val="002272CF"/>
    <w:rsid w:val="00227320"/>
    <w:rsid w:val="00227424"/>
    <w:rsid w:val="002276C4"/>
    <w:rsid w:val="00230033"/>
    <w:rsid w:val="002300BB"/>
    <w:rsid w:val="002304FF"/>
    <w:rsid w:val="002309A7"/>
    <w:rsid w:val="00230CE2"/>
    <w:rsid w:val="002311B8"/>
    <w:rsid w:val="002314D5"/>
    <w:rsid w:val="00231664"/>
    <w:rsid w:val="00231949"/>
    <w:rsid w:val="00231B39"/>
    <w:rsid w:val="00231BFE"/>
    <w:rsid w:val="00231F22"/>
    <w:rsid w:val="00231FBD"/>
    <w:rsid w:val="0023231A"/>
    <w:rsid w:val="00232763"/>
    <w:rsid w:val="00232A2E"/>
    <w:rsid w:val="00232FA9"/>
    <w:rsid w:val="00233082"/>
    <w:rsid w:val="00233180"/>
    <w:rsid w:val="00233474"/>
    <w:rsid w:val="00233674"/>
    <w:rsid w:val="002336C5"/>
    <w:rsid w:val="00233E42"/>
    <w:rsid w:val="00233E7F"/>
    <w:rsid w:val="00234110"/>
    <w:rsid w:val="00234120"/>
    <w:rsid w:val="002343F1"/>
    <w:rsid w:val="00234437"/>
    <w:rsid w:val="002349CF"/>
    <w:rsid w:val="002349ED"/>
    <w:rsid w:val="00234F4A"/>
    <w:rsid w:val="0023538F"/>
    <w:rsid w:val="002355D3"/>
    <w:rsid w:val="002358F8"/>
    <w:rsid w:val="00235AE2"/>
    <w:rsid w:val="00236294"/>
    <w:rsid w:val="002368F6"/>
    <w:rsid w:val="00236F99"/>
    <w:rsid w:val="0023731C"/>
    <w:rsid w:val="00237681"/>
    <w:rsid w:val="002377C2"/>
    <w:rsid w:val="002378CB"/>
    <w:rsid w:val="00237963"/>
    <w:rsid w:val="00240682"/>
    <w:rsid w:val="002406E0"/>
    <w:rsid w:val="00240D1D"/>
    <w:rsid w:val="00240EB9"/>
    <w:rsid w:val="0024119A"/>
    <w:rsid w:val="002414B9"/>
    <w:rsid w:val="00241810"/>
    <w:rsid w:val="00241A63"/>
    <w:rsid w:val="00241C3E"/>
    <w:rsid w:val="00241CF4"/>
    <w:rsid w:val="00241E2B"/>
    <w:rsid w:val="00242439"/>
    <w:rsid w:val="00242A5F"/>
    <w:rsid w:val="00242BC3"/>
    <w:rsid w:val="00242C51"/>
    <w:rsid w:val="00242D3A"/>
    <w:rsid w:val="00242D74"/>
    <w:rsid w:val="0024339F"/>
    <w:rsid w:val="002434A9"/>
    <w:rsid w:val="00243535"/>
    <w:rsid w:val="00243EAD"/>
    <w:rsid w:val="0024442A"/>
    <w:rsid w:val="00244709"/>
    <w:rsid w:val="00244AE7"/>
    <w:rsid w:val="00244E54"/>
    <w:rsid w:val="002452CA"/>
    <w:rsid w:val="00245571"/>
    <w:rsid w:val="00245DB2"/>
    <w:rsid w:val="00245F5B"/>
    <w:rsid w:val="002469EA"/>
    <w:rsid w:val="00246D63"/>
    <w:rsid w:val="00246DC2"/>
    <w:rsid w:val="0024709B"/>
    <w:rsid w:val="00247638"/>
    <w:rsid w:val="0024776A"/>
    <w:rsid w:val="0024778E"/>
    <w:rsid w:val="0024784E"/>
    <w:rsid w:val="002479A4"/>
    <w:rsid w:val="002479B9"/>
    <w:rsid w:val="00247BCC"/>
    <w:rsid w:val="00247F3C"/>
    <w:rsid w:val="00250253"/>
    <w:rsid w:val="002504FE"/>
    <w:rsid w:val="00250C9F"/>
    <w:rsid w:val="00250EAA"/>
    <w:rsid w:val="00251099"/>
    <w:rsid w:val="0025172B"/>
    <w:rsid w:val="00251984"/>
    <w:rsid w:val="00251A60"/>
    <w:rsid w:val="00251CDB"/>
    <w:rsid w:val="00251D1C"/>
    <w:rsid w:val="002525C6"/>
    <w:rsid w:val="002528F9"/>
    <w:rsid w:val="00252B28"/>
    <w:rsid w:val="00252BAF"/>
    <w:rsid w:val="00252CF7"/>
    <w:rsid w:val="00252D36"/>
    <w:rsid w:val="002530F8"/>
    <w:rsid w:val="002539C0"/>
    <w:rsid w:val="00253E19"/>
    <w:rsid w:val="00253F11"/>
    <w:rsid w:val="002542CD"/>
    <w:rsid w:val="00254597"/>
    <w:rsid w:val="00254AD2"/>
    <w:rsid w:val="00254E63"/>
    <w:rsid w:val="0025508A"/>
    <w:rsid w:val="002551C0"/>
    <w:rsid w:val="002551D2"/>
    <w:rsid w:val="002554F4"/>
    <w:rsid w:val="0025560B"/>
    <w:rsid w:val="002557C7"/>
    <w:rsid w:val="00255BC0"/>
    <w:rsid w:val="00256069"/>
    <w:rsid w:val="002562B9"/>
    <w:rsid w:val="00256495"/>
    <w:rsid w:val="00256E1E"/>
    <w:rsid w:val="00256EE8"/>
    <w:rsid w:val="00257080"/>
    <w:rsid w:val="002577A0"/>
    <w:rsid w:val="00257DF6"/>
    <w:rsid w:val="002601E8"/>
    <w:rsid w:val="00260386"/>
    <w:rsid w:val="00260651"/>
    <w:rsid w:val="00260742"/>
    <w:rsid w:val="0026078A"/>
    <w:rsid w:val="002609BB"/>
    <w:rsid w:val="002610F3"/>
    <w:rsid w:val="00261261"/>
    <w:rsid w:val="00261279"/>
    <w:rsid w:val="0026187B"/>
    <w:rsid w:val="00261A18"/>
    <w:rsid w:val="00261C2C"/>
    <w:rsid w:val="0026201C"/>
    <w:rsid w:val="0026266D"/>
    <w:rsid w:val="0026278D"/>
    <w:rsid w:val="0026289F"/>
    <w:rsid w:val="00262EC5"/>
    <w:rsid w:val="002630DF"/>
    <w:rsid w:val="002637FC"/>
    <w:rsid w:val="00263A57"/>
    <w:rsid w:val="00263DC4"/>
    <w:rsid w:val="00264A3D"/>
    <w:rsid w:val="00264A5E"/>
    <w:rsid w:val="00264B01"/>
    <w:rsid w:val="00265193"/>
    <w:rsid w:val="00265249"/>
    <w:rsid w:val="002652EE"/>
    <w:rsid w:val="002656F3"/>
    <w:rsid w:val="00265736"/>
    <w:rsid w:val="00265739"/>
    <w:rsid w:val="00265830"/>
    <w:rsid w:val="00265B2D"/>
    <w:rsid w:val="00265B74"/>
    <w:rsid w:val="00265CF4"/>
    <w:rsid w:val="002660E7"/>
    <w:rsid w:val="002663A6"/>
    <w:rsid w:val="00266436"/>
    <w:rsid w:val="002665F7"/>
    <w:rsid w:val="00266749"/>
    <w:rsid w:val="00266816"/>
    <w:rsid w:val="00266AE8"/>
    <w:rsid w:val="00266B7D"/>
    <w:rsid w:val="00266CF4"/>
    <w:rsid w:val="00266D0B"/>
    <w:rsid w:val="0026700F"/>
    <w:rsid w:val="0026790D"/>
    <w:rsid w:val="00267B57"/>
    <w:rsid w:val="0027009D"/>
    <w:rsid w:val="00270562"/>
    <w:rsid w:val="002706AA"/>
    <w:rsid w:val="002708D5"/>
    <w:rsid w:val="00270C7F"/>
    <w:rsid w:val="002711E2"/>
    <w:rsid w:val="00271439"/>
    <w:rsid w:val="00271D40"/>
    <w:rsid w:val="002724A5"/>
    <w:rsid w:val="00272916"/>
    <w:rsid w:val="00272C18"/>
    <w:rsid w:val="00272EF5"/>
    <w:rsid w:val="002736CA"/>
    <w:rsid w:val="0027391A"/>
    <w:rsid w:val="00273B49"/>
    <w:rsid w:val="00273C12"/>
    <w:rsid w:val="00273D39"/>
    <w:rsid w:val="00273D64"/>
    <w:rsid w:val="00274014"/>
    <w:rsid w:val="002741B7"/>
    <w:rsid w:val="00274470"/>
    <w:rsid w:val="00274500"/>
    <w:rsid w:val="002746A4"/>
    <w:rsid w:val="00274787"/>
    <w:rsid w:val="00274B2C"/>
    <w:rsid w:val="00274E5F"/>
    <w:rsid w:val="00275201"/>
    <w:rsid w:val="0027531C"/>
    <w:rsid w:val="00275D02"/>
    <w:rsid w:val="00275D19"/>
    <w:rsid w:val="002764A8"/>
    <w:rsid w:val="002765B4"/>
    <w:rsid w:val="00276C52"/>
    <w:rsid w:val="00276FA2"/>
    <w:rsid w:val="002770BA"/>
    <w:rsid w:val="00277507"/>
    <w:rsid w:val="002776A7"/>
    <w:rsid w:val="002776F1"/>
    <w:rsid w:val="00277764"/>
    <w:rsid w:val="00277AC3"/>
    <w:rsid w:val="00277B59"/>
    <w:rsid w:val="00277D42"/>
    <w:rsid w:val="00277FE2"/>
    <w:rsid w:val="0028000B"/>
    <w:rsid w:val="00280129"/>
    <w:rsid w:val="002801BE"/>
    <w:rsid w:val="002803D4"/>
    <w:rsid w:val="0028055C"/>
    <w:rsid w:val="00280EE2"/>
    <w:rsid w:val="002811FC"/>
    <w:rsid w:val="0028121E"/>
    <w:rsid w:val="002812DE"/>
    <w:rsid w:val="0028150E"/>
    <w:rsid w:val="00281636"/>
    <w:rsid w:val="0028181E"/>
    <w:rsid w:val="00281A9D"/>
    <w:rsid w:val="00281C3B"/>
    <w:rsid w:val="00281D7B"/>
    <w:rsid w:val="002822CF"/>
    <w:rsid w:val="002822F7"/>
    <w:rsid w:val="002829AF"/>
    <w:rsid w:val="00282A0E"/>
    <w:rsid w:val="00282B45"/>
    <w:rsid w:val="0028325B"/>
    <w:rsid w:val="00283527"/>
    <w:rsid w:val="00283599"/>
    <w:rsid w:val="002835EB"/>
    <w:rsid w:val="00283EC1"/>
    <w:rsid w:val="00284188"/>
    <w:rsid w:val="00284219"/>
    <w:rsid w:val="002842B4"/>
    <w:rsid w:val="00284495"/>
    <w:rsid w:val="002846D2"/>
    <w:rsid w:val="002850E3"/>
    <w:rsid w:val="00285259"/>
    <w:rsid w:val="00285296"/>
    <w:rsid w:val="002854A2"/>
    <w:rsid w:val="002859E6"/>
    <w:rsid w:val="00286081"/>
    <w:rsid w:val="00286A48"/>
    <w:rsid w:val="00286FA6"/>
    <w:rsid w:val="00287165"/>
    <w:rsid w:val="00287236"/>
    <w:rsid w:val="00287749"/>
    <w:rsid w:val="00287F4C"/>
    <w:rsid w:val="00290547"/>
    <w:rsid w:val="00290623"/>
    <w:rsid w:val="002908C3"/>
    <w:rsid w:val="00290921"/>
    <w:rsid w:val="00290D74"/>
    <w:rsid w:val="002911A9"/>
    <w:rsid w:val="002913E1"/>
    <w:rsid w:val="00291950"/>
    <w:rsid w:val="00291D28"/>
    <w:rsid w:val="00291FFE"/>
    <w:rsid w:val="00292187"/>
    <w:rsid w:val="0029230C"/>
    <w:rsid w:val="0029270C"/>
    <w:rsid w:val="00292763"/>
    <w:rsid w:val="00292BE7"/>
    <w:rsid w:val="00293002"/>
    <w:rsid w:val="0029331F"/>
    <w:rsid w:val="00293377"/>
    <w:rsid w:val="002933D6"/>
    <w:rsid w:val="002933DF"/>
    <w:rsid w:val="002934DC"/>
    <w:rsid w:val="0029355C"/>
    <w:rsid w:val="002938B3"/>
    <w:rsid w:val="00293C73"/>
    <w:rsid w:val="00293E30"/>
    <w:rsid w:val="00294001"/>
    <w:rsid w:val="00294019"/>
    <w:rsid w:val="002946B9"/>
    <w:rsid w:val="00294888"/>
    <w:rsid w:val="00294B4F"/>
    <w:rsid w:val="00294B9E"/>
    <w:rsid w:val="00295095"/>
    <w:rsid w:val="00295E02"/>
    <w:rsid w:val="00295F5D"/>
    <w:rsid w:val="0029601F"/>
    <w:rsid w:val="0029612F"/>
    <w:rsid w:val="00296320"/>
    <w:rsid w:val="00296476"/>
    <w:rsid w:val="00296579"/>
    <w:rsid w:val="00296BB7"/>
    <w:rsid w:val="0029743E"/>
    <w:rsid w:val="002974BF"/>
    <w:rsid w:val="002977F4"/>
    <w:rsid w:val="00297BE8"/>
    <w:rsid w:val="00297C51"/>
    <w:rsid w:val="00297D2B"/>
    <w:rsid w:val="002A0DBF"/>
    <w:rsid w:val="002A0E97"/>
    <w:rsid w:val="002A11CD"/>
    <w:rsid w:val="002A1607"/>
    <w:rsid w:val="002A1668"/>
    <w:rsid w:val="002A2116"/>
    <w:rsid w:val="002A285F"/>
    <w:rsid w:val="002A2D70"/>
    <w:rsid w:val="002A343D"/>
    <w:rsid w:val="002A348C"/>
    <w:rsid w:val="002A3624"/>
    <w:rsid w:val="002A3678"/>
    <w:rsid w:val="002A381F"/>
    <w:rsid w:val="002A3DBC"/>
    <w:rsid w:val="002A4128"/>
    <w:rsid w:val="002A4297"/>
    <w:rsid w:val="002A462A"/>
    <w:rsid w:val="002A4F06"/>
    <w:rsid w:val="002A5CFF"/>
    <w:rsid w:val="002A5E7F"/>
    <w:rsid w:val="002A5F7A"/>
    <w:rsid w:val="002A66F5"/>
    <w:rsid w:val="002A6760"/>
    <w:rsid w:val="002A6E34"/>
    <w:rsid w:val="002A71A3"/>
    <w:rsid w:val="002A77DD"/>
    <w:rsid w:val="002A7DE8"/>
    <w:rsid w:val="002B02B6"/>
    <w:rsid w:val="002B02C9"/>
    <w:rsid w:val="002B0315"/>
    <w:rsid w:val="002B0473"/>
    <w:rsid w:val="002B0504"/>
    <w:rsid w:val="002B055D"/>
    <w:rsid w:val="002B05D4"/>
    <w:rsid w:val="002B0A1C"/>
    <w:rsid w:val="002B0D00"/>
    <w:rsid w:val="002B118B"/>
    <w:rsid w:val="002B122F"/>
    <w:rsid w:val="002B1646"/>
    <w:rsid w:val="002B1811"/>
    <w:rsid w:val="002B1A62"/>
    <w:rsid w:val="002B1E21"/>
    <w:rsid w:val="002B24E1"/>
    <w:rsid w:val="002B2CA1"/>
    <w:rsid w:val="002B2D5E"/>
    <w:rsid w:val="002B316D"/>
    <w:rsid w:val="002B3201"/>
    <w:rsid w:val="002B37DA"/>
    <w:rsid w:val="002B3B31"/>
    <w:rsid w:val="002B400C"/>
    <w:rsid w:val="002B40E3"/>
    <w:rsid w:val="002B422A"/>
    <w:rsid w:val="002B4431"/>
    <w:rsid w:val="002B48C2"/>
    <w:rsid w:val="002B5037"/>
    <w:rsid w:val="002B51F5"/>
    <w:rsid w:val="002B5504"/>
    <w:rsid w:val="002B5A80"/>
    <w:rsid w:val="002B6141"/>
    <w:rsid w:val="002B6253"/>
    <w:rsid w:val="002B6B28"/>
    <w:rsid w:val="002C0591"/>
    <w:rsid w:val="002C0826"/>
    <w:rsid w:val="002C0985"/>
    <w:rsid w:val="002C098D"/>
    <w:rsid w:val="002C0BEF"/>
    <w:rsid w:val="002C0D29"/>
    <w:rsid w:val="002C109F"/>
    <w:rsid w:val="002C157F"/>
    <w:rsid w:val="002C1632"/>
    <w:rsid w:val="002C1817"/>
    <w:rsid w:val="002C18AD"/>
    <w:rsid w:val="002C1E64"/>
    <w:rsid w:val="002C201C"/>
    <w:rsid w:val="002C216E"/>
    <w:rsid w:val="002C21B6"/>
    <w:rsid w:val="002C23EF"/>
    <w:rsid w:val="002C27F3"/>
    <w:rsid w:val="002C2B8C"/>
    <w:rsid w:val="002C2C23"/>
    <w:rsid w:val="002C30D0"/>
    <w:rsid w:val="002C3122"/>
    <w:rsid w:val="002C31DD"/>
    <w:rsid w:val="002C340D"/>
    <w:rsid w:val="002C350A"/>
    <w:rsid w:val="002C3558"/>
    <w:rsid w:val="002C3F27"/>
    <w:rsid w:val="002C459B"/>
    <w:rsid w:val="002C4A86"/>
    <w:rsid w:val="002C4DA2"/>
    <w:rsid w:val="002C4E4B"/>
    <w:rsid w:val="002C4E50"/>
    <w:rsid w:val="002C4FA3"/>
    <w:rsid w:val="002C50F7"/>
    <w:rsid w:val="002C5165"/>
    <w:rsid w:val="002C5187"/>
    <w:rsid w:val="002C598F"/>
    <w:rsid w:val="002C5996"/>
    <w:rsid w:val="002C653C"/>
    <w:rsid w:val="002C66A5"/>
    <w:rsid w:val="002C6A04"/>
    <w:rsid w:val="002C6B51"/>
    <w:rsid w:val="002C6F4F"/>
    <w:rsid w:val="002C6F6E"/>
    <w:rsid w:val="002C7014"/>
    <w:rsid w:val="002C7175"/>
    <w:rsid w:val="002C7621"/>
    <w:rsid w:val="002C7A6E"/>
    <w:rsid w:val="002C7CC1"/>
    <w:rsid w:val="002C7ED6"/>
    <w:rsid w:val="002C7EFD"/>
    <w:rsid w:val="002D029A"/>
    <w:rsid w:val="002D0407"/>
    <w:rsid w:val="002D0480"/>
    <w:rsid w:val="002D0606"/>
    <w:rsid w:val="002D07BD"/>
    <w:rsid w:val="002D0C6C"/>
    <w:rsid w:val="002D0CC9"/>
    <w:rsid w:val="002D0D9F"/>
    <w:rsid w:val="002D0E1C"/>
    <w:rsid w:val="002D10E8"/>
    <w:rsid w:val="002D17C2"/>
    <w:rsid w:val="002D1BA4"/>
    <w:rsid w:val="002D1E69"/>
    <w:rsid w:val="002D211F"/>
    <w:rsid w:val="002D2222"/>
    <w:rsid w:val="002D22FB"/>
    <w:rsid w:val="002D23D5"/>
    <w:rsid w:val="002D26E7"/>
    <w:rsid w:val="002D2918"/>
    <w:rsid w:val="002D2B2C"/>
    <w:rsid w:val="002D30B3"/>
    <w:rsid w:val="002D3E79"/>
    <w:rsid w:val="002D4087"/>
    <w:rsid w:val="002D40C3"/>
    <w:rsid w:val="002D512D"/>
    <w:rsid w:val="002D550F"/>
    <w:rsid w:val="002D5666"/>
    <w:rsid w:val="002D5A48"/>
    <w:rsid w:val="002D5E76"/>
    <w:rsid w:val="002D5F18"/>
    <w:rsid w:val="002D6296"/>
    <w:rsid w:val="002D659B"/>
    <w:rsid w:val="002D666A"/>
    <w:rsid w:val="002D683A"/>
    <w:rsid w:val="002D69FC"/>
    <w:rsid w:val="002D6B72"/>
    <w:rsid w:val="002D6D39"/>
    <w:rsid w:val="002D72DF"/>
    <w:rsid w:val="002D7306"/>
    <w:rsid w:val="002D7D04"/>
    <w:rsid w:val="002E0082"/>
    <w:rsid w:val="002E058F"/>
    <w:rsid w:val="002E0925"/>
    <w:rsid w:val="002E09EC"/>
    <w:rsid w:val="002E0D51"/>
    <w:rsid w:val="002E16BA"/>
    <w:rsid w:val="002E1772"/>
    <w:rsid w:val="002E1808"/>
    <w:rsid w:val="002E1DF6"/>
    <w:rsid w:val="002E2818"/>
    <w:rsid w:val="002E2C8E"/>
    <w:rsid w:val="002E300F"/>
    <w:rsid w:val="002E3DAA"/>
    <w:rsid w:val="002E495B"/>
    <w:rsid w:val="002E53E0"/>
    <w:rsid w:val="002E5A13"/>
    <w:rsid w:val="002E5C94"/>
    <w:rsid w:val="002E5FED"/>
    <w:rsid w:val="002E615D"/>
    <w:rsid w:val="002E6851"/>
    <w:rsid w:val="002E6907"/>
    <w:rsid w:val="002E6B2D"/>
    <w:rsid w:val="002E6CC7"/>
    <w:rsid w:val="002E7220"/>
    <w:rsid w:val="002E7BDC"/>
    <w:rsid w:val="002E7D35"/>
    <w:rsid w:val="002E7DD9"/>
    <w:rsid w:val="002E7E02"/>
    <w:rsid w:val="002F08A7"/>
    <w:rsid w:val="002F0999"/>
    <w:rsid w:val="002F0B40"/>
    <w:rsid w:val="002F0BFE"/>
    <w:rsid w:val="002F1451"/>
    <w:rsid w:val="002F1AC3"/>
    <w:rsid w:val="002F1E10"/>
    <w:rsid w:val="002F1E9E"/>
    <w:rsid w:val="002F23EF"/>
    <w:rsid w:val="002F2404"/>
    <w:rsid w:val="002F25E1"/>
    <w:rsid w:val="002F272E"/>
    <w:rsid w:val="002F278B"/>
    <w:rsid w:val="002F2A64"/>
    <w:rsid w:val="002F2B19"/>
    <w:rsid w:val="002F2B88"/>
    <w:rsid w:val="002F2F47"/>
    <w:rsid w:val="002F33C4"/>
    <w:rsid w:val="002F3C17"/>
    <w:rsid w:val="002F3EC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3004AE"/>
    <w:rsid w:val="00300646"/>
    <w:rsid w:val="00300C12"/>
    <w:rsid w:val="00300C27"/>
    <w:rsid w:val="00300D96"/>
    <w:rsid w:val="00300E6A"/>
    <w:rsid w:val="003013FF"/>
    <w:rsid w:val="00301498"/>
    <w:rsid w:val="00301767"/>
    <w:rsid w:val="00302031"/>
    <w:rsid w:val="00302521"/>
    <w:rsid w:val="0030270D"/>
    <w:rsid w:val="00302B9E"/>
    <w:rsid w:val="00302C30"/>
    <w:rsid w:val="00302DEA"/>
    <w:rsid w:val="0030303F"/>
    <w:rsid w:val="00303333"/>
    <w:rsid w:val="00303513"/>
    <w:rsid w:val="00303A4F"/>
    <w:rsid w:val="00303BDC"/>
    <w:rsid w:val="00303DB8"/>
    <w:rsid w:val="0030405E"/>
    <w:rsid w:val="0030452B"/>
    <w:rsid w:val="0030455D"/>
    <w:rsid w:val="00304666"/>
    <w:rsid w:val="00304835"/>
    <w:rsid w:val="0030487D"/>
    <w:rsid w:val="00304B91"/>
    <w:rsid w:val="00304FB8"/>
    <w:rsid w:val="003051DB"/>
    <w:rsid w:val="00305892"/>
    <w:rsid w:val="00305957"/>
    <w:rsid w:val="00305E1F"/>
    <w:rsid w:val="003061CB"/>
    <w:rsid w:val="0030623C"/>
    <w:rsid w:val="00306842"/>
    <w:rsid w:val="00306958"/>
    <w:rsid w:val="00306A87"/>
    <w:rsid w:val="00306B2C"/>
    <w:rsid w:val="0030702F"/>
    <w:rsid w:val="003070F7"/>
    <w:rsid w:val="00307153"/>
    <w:rsid w:val="0030796F"/>
    <w:rsid w:val="0030797A"/>
    <w:rsid w:val="00307D41"/>
    <w:rsid w:val="00307D93"/>
    <w:rsid w:val="00310063"/>
    <w:rsid w:val="003100FD"/>
    <w:rsid w:val="0031067F"/>
    <w:rsid w:val="00310CAB"/>
    <w:rsid w:val="00311013"/>
    <w:rsid w:val="00311152"/>
    <w:rsid w:val="00311186"/>
    <w:rsid w:val="003113C0"/>
    <w:rsid w:val="003116E8"/>
    <w:rsid w:val="003116E9"/>
    <w:rsid w:val="003117B1"/>
    <w:rsid w:val="00311851"/>
    <w:rsid w:val="00311AAA"/>
    <w:rsid w:val="00311E0B"/>
    <w:rsid w:val="003121B8"/>
    <w:rsid w:val="003122E3"/>
    <w:rsid w:val="003125B7"/>
    <w:rsid w:val="003126D8"/>
    <w:rsid w:val="003129FE"/>
    <w:rsid w:val="00312BE0"/>
    <w:rsid w:val="00312EC5"/>
    <w:rsid w:val="00312F98"/>
    <w:rsid w:val="00313119"/>
    <w:rsid w:val="003131B9"/>
    <w:rsid w:val="00313341"/>
    <w:rsid w:val="0031341A"/>
    <w:rsid w:val="00313A5F"/>
    <w:rsid w:val="00313C49"/>
    <w:rsid w:val="00313E25"/>
    <w:rsid w:val="0031426C"/>
    <w:rsid w:val="0031454E"/>
    <w:rsid w:val="003145E4"/>
    <w:rsid w:val="003149E2"/>
    <w:rsid w:val="00314F8B"/>
    <w:rsid w:val="00315639"/>
    <w:rsid w:val="00315781"/>
    <w:rsid w:val="00315A8A"/>
    <w:rsid w:val="00315B33"/>
    <w:rsid w:val="00315E92"/>
    <w:rsid w:val="003160D7"/>
    <w:rsid w:val="003166A8"/>
    <w:rsid w:val="00316759"/>
    <w:rsid w:val="003169A3"/>
    <w:rsid w:val="00316D5C"/>
    <w:rsid w:val="00316DDA"/>
    <w:rsid w:val="00316EBC"/>
    <w:rsid w:val="00316F22"/>
    <w:rsid w:val="00317430"/>
    <w:rsid w:val="00317B62"/>
    <w:rsid w:val="00317BA8"/>
    <w:rsid w:val="00317C77"/>
    <w:rsid w:val="00317DC6"/>
    <w:rsid w:val="00317F0D"/>
    <w:rsid w:val="00317F2F"/>
    <w:rsid w:val="00317F7C"/>
    <w:rsid w:val="00320651"/>
    <w:rsid w:val="00320744"/>
    <w:rsid w:val="00320923"/>
    <w:rsid w:val="003210FA"/>
    <w:rsid w:val="0032142C"/>
    <w:rsid w:val="003214FC"/>
    <w:rsid w:val="00321527"/>
    <w:rsid w:val="003219FA"/>
    <w:rsid w:val="00321A47"/>
    <w:rsid w:val="00322103"/>
    <w:rsid w:val="00322382"/>
    <w:rsid w:val="003223DA"/>
    <w:rsid w:val="00322433"/>
    <w:rsid w:val="00322462"/>
    <w:rsid w:val="0032263A"/>
    <w:rsid w:val="0032276E"/>
    <w:rsid w:val="003228CB"/>
    <w:rsid w:val="00322CF5"/>
    <w:rsid w:val="003232D1"/>
    <w:rsid w:val="0032342F"/>
    <w:rsid w:val="00323533"/>
    <w:rsid w:val="003237B2"/>
    <w:rsid w:val="00324111"/>
    <w:rsid w:val="00324162"/>
    <w:rsid w:val="003243CE"/>
    <w:rsid w:val="0032444A"/>
    <w:rsid w:val="0032466A"/>
    <w:rsid w:val="003248AA"/>
    <w:rsid w:val="00324A87"/>
    <w:rsid w:val="00324C63"/>
    <w:rsid w:val="00324D7D"/>
    <w:rsid w:val="00325292"/>
    <w:rsid w:val="00325395"/>
    <w:rsid w:val="00325576"/>
    <w:rsid w:val="00325B64"/>
    <w:rsid w:val="00325B6B"/>
    <w:rsid w:val="00325D3E"/>
    <w:rsid w:val="00325E85"/>
    <w:rsid w:val="00325F83"/>
    <w:rsid w:val="003264F4"/>
    <w:rsid w:val="003265F4"/>
    <w:rsid w:val="003267C4"/>
    <w:rsid w:val="00327069"/>
    <w:rsid w:val="003272D6"/>
    <w:rsid w:val="00327325"/>
    <w:rsid w:val="00327457"/>
    <w:rsid w:val="00327476"/>
    <w:rsid w:val="00327566"/>
    <w:rsid w:val="003275F1"/>
    <w:rsid w:val="0032774E"/>
    <w:rsid w:val="00327F83"/>
    <w:rsid w:val="0033013D"/>
    <w:rsid w:val="00330640"/>
    <w:rsid w:val="003313F2"/>
    <w:rsid w:val="003315A9"/>
    <w:rsid w:val="003315AE"/>
    <w:rsid w:val="003316FA"/>
    <w:rsid w:val="00332462"/>
    <w:rsid w:val="00332704"/>
    <w:rsid w:val="00332ADB"/>
    <w:rsid w:val="00332B8F"/>
    <w:rsid w:val="00333841"/>
    <w:rsid w:val="00335205"/>
    <w:rsid w:val="0033560D"/>
    <w:rsid w:val="00335A5F"/>
    <w:rsid w:val="00335D7A"/>
    <w:rsid w:val="00335F09"/>
    <w:rsid w:val="00336169"/>
    <w:rsid w:val="00336247"/>
    <w:rsid w:val="0033647B"/>
    <w:rsid w:val="003365D7"/>
    <w:rsid w:val="00336992"/>
    <w:rsid w:val="00336EE1"/>
    <w:rsid w:val="003373FA"/>
    <w:rsid w:val="003374A5"/>
    <w:rsid w:val="00337529"/>
    <w:rsid w:val="003377B5"/>
    <w:rsid w:val="003378F7"/>
    <w:rsid w:val="003379EB"/>
    <w:rsid w:val="00337F6F"/>
    <w:rsid w:val="00337FB8"/>
    <w:rsid w:val="0034045D"/>
    <w:rsid w:val="003405DF"/>
    <w:rsid w:val="00340733"/>
    <w:rsid w:val="00340911"/>
    <w:rsid w:val="00340C59"/>
    <w:rsid w:val="00340F30"/>
    <w:rsid w:val="00342044"/>
    <w:rsid w:val="003420F2"/>
    <w:rsid w:val="00342590"/>
    <w:rsid w:val="00342A8D"/>
    <w:rsid w:val="00342DCF"/>
    <w:rsid w:val="003431C3"/>
    <w:rsid w:val="00344565"/>
    <w:rsid w:val="0034467A"/>
    <w:rsid w:val="0034474A"/>
    <w:rsid w:val="00344BD2"/>
    <w:rsid w:val="00344E92"/>
    <w:rsid w:val="00344EEA"/>
    <w:rsid w:val="00345043"/>
    <w:rsid w:val="003454DD"/>
    <w:rsid w:val="00345B3F"/>
    <w:rsid w:val="0034663B"/>
    <w:rsid w:val="00346D8F"/>
    <w:rsid w:val="00346F5A"/>
    <w:rsid w:val="00347012"/>
    <w:rsid w:val="003470B4"/>
    <w:rsid w:val="00347BA9"/>
    <w:rsid w:val="00350451"/>
    <w:rsid w:val="00350570"/>
    <w:rsid w:val="00350A71"/>
    <w:rsid w:val="00350D4C"/>
    <w:rsid w:val="00350E6B"/>
    <w:rsid w:val="00351170"/>
    <w:rsid w:val="0035166B"/>
    <w:rsid w:val="00351C81"/>
    <w:rsid w:val="00352499"/>
    <w:rsid w:val="00352863"/>
    <w:rsid w:val="00352AD3"/>
    <w:rsid w:val="00352FCF"/>
    <w:rsid w:val="003532A6"/>
    <w:rsid w:val="00353318"/>
    <w:rsid w:val="00353909"/>
    <w:rsid w:val="00353ACA"/>
    <w:rsid w:val="00353B7E"/>
    <w:rsid w:val="0035402B"/>
    <w:rsid w:val="00354443"/>
    <w:rsid w:val="00354CD5"/>
    <w:rsid w:val="00354E31"/>
    <w:rsid w:val="00354F11"/>
    <w:rsid w:val="0035500F"/>
    <w:rsid w:val="00355093"/>
    <w:rsid w:val="00355772"/>
    <w:rsid w:val="003559EA"/>
    <w:rsid w:val="00355DB0"/>
    <w:rsid w:val="00355DBF"/>
    <w:rsid w:val="00355F23"/>
    <w:rsid w:val="003561B8"/>
    <w:rsid w:val="00356260"/>
    <w:rsid w:val="0035628B"/>
    <w:rsid w:val="0035666F"/>
    <w:rsid w:val="0035679D"/>
    <w:rsid w:val="00356841"/>
    <w:rsid w:val="00356CE1"/>
    <w:rsid w:val="00356D8E"/>
    <w:rsid w:val="00356ED7"/>
    <w:rsid w:val="00357588"/>
    <w:rsid w:val="003577A5"/>
    <w:rsid w:val="0036011E"/>
    <w:rsid w:val="00360714"/>
    <w:rsid w:val="00360928"/>
    <w:rsid w:val="00360C33"/>
    <w:rsid w:val="00360DE2"/>
    <w:rsid w:val="00361272"/>
    <w:rsid w:val="00361522"/>
    <w:rsid w:val="003617E9"/>
    <w:rsid w:val="00361AAA"/>
    <w:rsid w:val="00361AFB"/>
    <w:rsid w:val="00362333"/>
    <w:rsid w:val="00362373"/>
    <w:rsid w:val="003626EA"/>
    <w:rsid w:val="00362BA1"/>
    <w:rsid w:val="00362F33"/>
    <w:rsid w:val="00363A81"/>
    <w:rsid w:val="00363B34"/>
    <w:rsid w:val="00363B51"/>
    <w:rsid w:val="00363DEE"/>
    <w:rsid w:val="00363EEE"/>
    <w:rsid w:val="00364670"/>
    <w:rsid w:val="00364E9E"/>
    <w:rsid w:val="00365118"/>
    <w:rsid w:val="0036524A"/>
    <w:rsid w:val="00365F9C"/>
    <w:rsid w:val="00366186"/>
    <w:rsid w:val="00366543"/>
    <w:rsid w:val="0036677B"/>
    <w:rsid w:val="0036688C"/>
    <w:rsid w:val="00366F22"/>
    <w:rsid w:val="00367395"/>
    <w:rsid w:val="0036777E"/>
    <w:rsid w:val="00367990"/>
    <w:rsid w:val="00367D92"/>
    <w:rsid w:val="00367DF1"/>
    <w:rsid w:val="00367E4C"/>
    <w:rsid w:val="003703D6"/>
    <w:rsid w:val="0037040D"/>
    <w:rsid w:val="003708A7"/>
    <w:rsid w:val="0037140F"/>
    <w:rsid w:val="00371D5F"/>
    <w:rsid w:val="00372100"/>
    <w:rsid w:val="0037223B"/>
    <w:rsid w:val="00372475"/>
    <w:rsid w:val="0037248B"/>
    <w:rsid w:val="00372605"/>
    <w:rsid w:val="003726C1"/>
    <w:rsid w:val="003727F6"/>
    <w:rsid w:val="00372ACF"/>
    <w:rsid w:val="00372DCB"/>
    <w:rsid w:val="00372FC0"/>
    <w:rsid w:val="00373151"/>
    <w:rsid w:val="00373294"/>
    <w:rsid w:val="003734EE"/>
    <w:rsid w:val="003737C0"/>
    <w:rsid w:val="00373B0D"/>
    <w:rsid w:val="00373E66"/>
    <w:rsid w:val="00373F12"/>
    <w:rsid w:val="00374107"/>
    <w:rsid w:val="00374317"/>
    <w:rsid w:val="003744C9"/>
    <w:rsid w:val="00374655"/>
    <w:rsid w:val="003746B5"/>
    <w:rsid w:val="0037535E"/>
    <w:rsid w:val="00375454"/>
    <w:rsid w:val="003759CE"/>
    <w:rsid w:val="00375AE9"/>
    <w:rsid w:val="00375BB0"/>
    <w:rsid w:val="00376ED3"/>
    <w:rsid w:val="00377379"/>
    <w:rsid w:val="00377460"/>
    <w:rsid w:val="003776B8"/>
    <w:rsid w:val="003778D9"/>
    <w:rsid w:val="0037792D"/>
    <w:rsid w:val="003779C3"/>
    <w:rsid w:val="00377AA0"/>
    <w:rsid w:val="0038031E"/>
    <w:rsid w:val="003805D1"/>
    <w:rsid w:val="00380BC8"/>
    <w:rsid w:val="0038103B"/>
    <w:rsid w:val="0038113C"/>
    <w:rsid w:val="0038139F"/>
    <w:rsid w:val="00381C53"/>
    <w:rsid w:val="00381E75"/>
    <w:rsid w:val="003820D6"/>
    <w:rsid w:val="0038217C"/>
    <w:rsid w:val="0038229E"/>
    <w:rsid w:val="00382311"/>
    <w:rsid w:val="00382729"/>
    <w:rsid w:val="00382CE0"/>
    <w:rsid w:val="003832DB"/>
    <w:rsid w:val="0038333B"/>
    <w:rsid w:val="00383999"/>
    <w:rsid w:val="00383AEB"/>
    <w:rsid w:val="00383AF2"/>
    <w:rsid w:val="00383DB0"/>
    <w:rsid w:val="00383FC4"/>
    <w:rsid w:val="00384101"/>
    <w:rsid w:val="003842E0"/>
    <w:rsid w:val="0038464F"/>
    <w:rsid w:val="003846CD"/>
    <w:rsid w:val="00384807"/>
    <w:rsid w:val="003848E8"/>
    <w:rsid w:val="00384A2B"/>
    <w:rsid w:val="00384EA2"/>
    <w:rsid w:val="00385BED"/>
    <w:rsid w:val="00385C0A"/>
    <w:rsid w:val="00385CF6"/>
    <w:rsid w:val="00385D82"/>
    <w:rsid w:val="00385E6F"/>
    <w:rsid w:val="00385FD8"/>
    <w:rsid w:val="00385FFB"/>
    <w:rsid w:val="0038600B"/>
    <w:rsid w:val="003862A8"/>
    <w:rsid w:val="003869C6"/>
    <w:rsid w:val="00386A1A"/>
    <w:rsid w:val="00386BC5"/>
    <w:rsid w:val="00386FC9"/>
    <w:rsid w:val="00387B10"/>
    <w:rsid w:val="0039030A"/>
    <w:rsid w:val="00390493"/>
    <w:rsid w:val="00390575"/>
    <w:rsid w:val="003908B8"/>
    <w:rsid w:val="00390984"/>
    <w:rsid w:val="00390FEA"/>
    <w:rsid w:val="00391232"/>
    <w:rsid w:val="00391ABA"/>
    <w:rsid w:val="00391B3B"/>
    <w:rsid w:val="00391D38"/>
    <w:rsid w:val="0039211A"/>
    <w:rsid w:val="0039241B"/>
    <w:rsid w:val="00392B55"/>
    <w:rsid w:val="00392B5A"/>
    <w:rsid w:val="00392C84"/>
    <w:rsid w:val="00392CDD"/>
    <w:rsid w:val="00393216"/>
    <w:rsid w:val="003933A8"/>
    <w:rsid w:val="00393567"/>
    <w:rsid w:val="0039356D"/>
    <w:rsid w:val="003937A8"/>
    <w:rsid w:val="00393B66"/>
    <w:rsid w:val="00394D69"/>
    <w:rsid w:val="00394E50"/>
    <w:rsid w:val="0039503A"/>
    <w:rsid w:val="00395135"/>
    <w:rsid w:val="003958D7"/>
    <w:rsid w:val="00395CE9"/>
    <w:rsid w:val="00395D64"/>
    <w:rsid w:val="003960D4"/>
    <w:rsid w:val="003963F2"/>
    <w:rsid w:val="0039680F"/>
    <w:rsid w:val="00396AC0"/>
    <w:rsid w:val="00396AEA"/>
    <w:rsid w:val="00396C09"/>
    <w:rsid w:val="00396C54"/>
    <w:rsid w:val="00396D31"/>
    <w:rsid w:val="00396FB0"/>
    <w:rsid w:val="00397379"/>
    <w:rsid w:val="0039753B"/>
    <w:rsid w:val="00397B76"/>
    <w:rsid w:val="00397CD7"/>
    <w:rsid w:val="00397CF1"/>
    <w:rsid w:val="003A027F"/>
    <w:rsid w:val="003A03D9"/>
    <w:rsid w:val="003A0415"/>
    <w:rsid w:val="003A0438"/>
    <w:rsid w:val="003A0533"/>
    <w:rsid w:val="003A07D0"/>
    <w:rsid w:val="003A0B63"/>
    <w:rsid w:val="003A0E17"/>
    <w:rsid w:val="003A14FC"/>
    <w:rsid w:val="003A17E5"/>
    <w:rsid w:val="003A1D91"/>
    <w:rsid w:val="003A1FA6"/>
    <w:rsid w:val="003A2331"/>
    <w:rsid w:val="003A23EF"/>
    <w:rsid w:val="003A26C3"/>
    <w:rsid w:val="003A2A86"/>
    <w:rsid w:val="003A2B97"/>
    <w:rsid w:val="003A2CBC"/>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61C2"/>
    <w:rsid w:val="003A61C5"/>
    <w:rsid w:val="003A652C"/>
    <w:rsid w:val="003A66C1"/>
    <w:rsid w:val="003A6860"/>
    <w:rsid w:val="003A6A40"/>
    <w:rsid w:val="003A6BAB"/>
    <w:rsid w:val="003A71E6"/>
    <w:rsid w:val="003A746E"/>
    <w:rsid w:val="003A74A3"/>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C2D"/>
    <w:rsid w:val="003B1C34"/>
    <w:rsid w:val="003B2164"/>
    <w:rsid w:val="003B2274"/>
    <w:rsid w:val="003B25E5"/>
    <w:rsid w:val="003B2816"/>
    <w:rsid w:val="003B2901"/>
    <w:rsid w:val="003B2B28"/>
    <w:rsid w:val="003B3220"/>
    <w:rsid w:val="003B328D"/>
    <w:rsid w:val="003B39BE"/>
    <w:rsid w:val="003B3A8D"/>
    <w:rsid w:val="003B3E95"/>
    <w:rsid w:val="003B4422"/>
    <w:rsid w:val="003B45AE"/>
    <w:rsid w:val="003B47B1"/>
    <w:rsid w:val="003B48D5"/>
    <w:rsid w:val="003B4A5D"/>
    <w:rsid w:val="003B4A7A"/>
    <w:rsid w:val="003B4B20"/>
    <w:rsid w:val="003B4CDD"/>
    <w:rsid w:val="003B5133"/>
    <w:rsid w:val="003B515D"/>
    <w:rsid w:val="003B59BE"/>
    <w:rsid w:val="003B5B99"/>
    <w:rsid w:val="003B5DC3"/>
    <w:rsid w:val="003B646E"/>
    <w:rsid w:val="003B674C"/>
    <w:rsid w:val="003B680A"/>
    <w:rsid w:val="003B6A06"/>
    <w:rsid w:val="003B6A60"/>
    <w:rsid w:val="003B6DC7"/>
    <w:rsid w:val="003B6E7F"/>
    <w:rsid w:val="003B6E95"/>
    <w:rsid w:val="003B7723"/>
    <w:rsid w:val="003B7847"/>
    <w:rsid w:val="003B7DC4"/>
    <w:rsid w:val="003B7E2D"/>
    <w:rsid w:val="003C0658"/>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FAE"/>
    <w:rsid w:val="003C30C4"/>
    <w:rsid w:val="003C3333"/>
    <w:rsid w:val="003C353F"/>
    <w:rsid w:val="003C3E6F"/>
    <w:rsid w:val="003C3F4D"/>
    <w:rsid w:val="003C416A"/>
    <w:rsid w:val="003C4E3A"/>
    <w:rsid w:val="003C50E3"/>
    <w:rsid w:val="003C5135"/>
    <w:rsid w:val="003C5DA5"/>
    <w:rsid w:val="003C5ED6"/>
    <w:rsid w:val="003C638B"/>
    <w:rsid w:val="003C6549"/>
    <w:rsid w:val="003C665F"/>
    <w:rsid w:val="003C676E"/>
    <w:rsid w:val="003C6DB8"/>
    <w:rsid w:val="003C6F30"/>
    <w:rsid w:val="003C73A6"/>
    <w:rsid w:val="003C7779"/>
    <w:rsid w:val="003C7785"/>
    <w:rsid w:val="003C77B4"/>
    <w:rsid w:val="003C790E"/>
    <w:rsid w:val="003C7A26"/>
    <w:rsid w:val="003C7BA2"/>
    <w:rsid w:val="003C7C11"/>
    <w:rsid w:val="003D037A"/>
    <w:rsid w:val="003D03E0"/>
    <w:rsid w:val="003D04E8"/>
    <w:rsid w:val="003D0699"/>
    <w:rsid w:val="003D08B0"/>
    <w:rsid w:val="003D09E1"/>
    <w:rsid w:val="003D0B03"/>
    <w:rsid w:val="003D0BEC"/>
    <w:rsid w:val="003D0F0B"/>
    <w:rsid w:val="003D11A9"/>
    <w:rsid w:val="003D12E0"/>
    <w:rsid w:val="003D12ED"/>
    <w:rsid w:val="003D1F22"/>
    <w:rsid w:val="003D2835"/>
    <w:rsid w:val="003D28F1"/>
    <w:rsid w:val="003D2DA7"/>
    <w:rsid w:val="003D2F5C"/>
    <w:rsid w:val="003D344E"/>
    <w:rsid w:val="003D3A51"/>
    <w:rsid w:val="003D3DCF"/>
    <w:rsid w:val="003D4411"/>
    <w:rsid w:val="003D4548"/>
    <w:rsid w:val="003D4B83"/>
    <w:rsid w:val="003D5238"/>
    <w:rsid w:val="003D52F8"/>
    <w:rsid w:val="003D5782"/>
    <w:rsid w:val="003D59F4"/>
    <w:rsid w:val="003D5D7C"/>
    <w:rsid w:val="003D5E7B"/>
    <w:rsid w:val="003D5F4B"/>
    <w:rsid w:val="003D6246"/>
    <w:rsid w:val="003D686F"/>
    <w:rsid w:val="003D697B"/>
    <w:rsid w:val="003D698F"/>
    <w:rsid w:val="003D6A64"/>
    <w:rsid w:val="003D759B"/>
    <w:rsid w:val="003D78A5"/>
    <w:rsid w:val="003D7F6E"/>
    <w:rsid w:val="003E0025"/>
    <w:rsid w:val="003E0337"/>
    <w:rsid w:val="003E033D"/>
    <w:rsid w:val="003E03BB"/>
    <w:rsid w:val="003E068B"/>
    <w:rsid w:val="003E07DF"/>
    <w:rsid w:val="003E0BCE"/>
    <w:rsid w:val="003E0D11"/>
    <w:rsid w:val="003E0F89"/>
    <w:rsid w:val="003E11E0"/>
    <w:rsid w:val="003E16C4"/>
    <w:rsid w:val="003E16FC"/>
    <w:rsid w:val="003E1EBB"/>
    <w:rsid w:val="003E205A"/>
    <w:rsid w:val="003E2CB5"/>
    <w:rsid w:val="003E341E"/>
    <w:rsid w:val="003E3AEB"/>
    <w:rsid w:val="003E3D6A"/>
    <w:rsid w:val="003E3E72"/>
    <w:rsid w:val="003E416F"/>
    <w:rsid w:val="003E4220"/>
    <w:rsid w:val="003E42C4"/>
    <w:rsid w:val="003E42E8"/>
    <w:rsid w:val="003E44D4"/>
    <w:rsid w:val="003E4AAF"/>
    <w:rsid w:val="003E4D6D"/>
    <w:rsid w:val="003E51C3"/>
    <w:rsid w:val="003E5985"/>
    <w:rsid w:val="003E5CD0"/>
    <w:rsid w:val="003E5E84"/>
    <w:rsid w:val="003E5ED6"/>
    <w:rsid w:val="003E6044"/>
    <w:rsid w:val="003E6120"/>
    <w:rsid w:val="003E66BC"/>
    <w:rsid w:val="003E6FCE"/>
    <w:rsid w:val="003E7143"/>
    <w:rsid w:val="003E7500"/>
    <w:rsid w:val="003E7569"/>
    <w:rsid w:val="003E7693"/>
    <w:rsid w:val="003E771A"/>
    <w:rsid w:val="003E77BC"/>
    <w:rsid w:val="003E7A02"/>
    <w:rsid w:val="003E7C51"/>
    <w:rsid w:val="003E7DC1"/>
    <w:rsid w:val="003E7E1D"/>
    <w:rsid w:val="003E7FDA"/>
    <w:rsid w:val="003F06E0"/>
    <w:rsid w:val="003F0722"/>
    <w:rsid w:val="003F0957"/>
    <w:rsid w:val="003F0B64"/>
    <w:rsid w:val="003F0B80"/>
    <w:rsid w:val="003F12BD"/>
    <w:rsid w:val="003F1341"/>
    <w:rsid w:val="003F1352"/>
    <w:rsid w:val="003F1CB2"/>
    <w:rsid w:val="003F1F70"/>
    <w:rsid w:val="003F20FD"/>
    <w:rsid w:val="003F2787"/>
    <w:rsid w:val="003F2FB9"/>
    <w:rsid w:val="003F3257"/>
    <w:rsid w:val="003F32F0"/>
    <w:rsid w:val="003F34B5"/>
    <w:rsid w:val="003F34B7"/>
    <w:rsid w:val="003F365C"/>
    <w:rsid w:val="003F36DA"/>
    <w:rsid w:val="003F38DE"/>
    <w:rsid w:val="003F4ABF"/>
    <w:rsid w:val="003F4C65"/>
    <w:rsid w:val="003F4FD5"/>
    <w:rsid w:val="003F514D"/>
    <w:rsid w:val="003F5839"/>
    <w:rsid w:val="003F6175"/>
    <w:rsid w:val="003F66E5"/>
    <w:rsid w:val="003F66EB"/>
    <w:rsid w:val="003F6B2B"/>
    <w:rsid w:val="003F6CAC"/>
    <w:rsid w:val="003F702F"/>
    <w:rsid w:val="003F7347"/>
    <w:rsid w:val="003F7F61"/>
    <w:rsid w:val="0040000D"/>
    <w:rsid w:val="004000A1"/>
    <w:rsid w:val="004001FF"/>
    <w:rsid w:val="004002D0"/>
    <w:rsid w:val="00400482"/>
    <w:rsid w:val="0040066B"/>
    <w:rsid w:val="004007A7"/>
    <w:rsid w:val="0040097D"/>
    <w:rsid w:val="00400A7F"/>
    <w:rsid w:val="00400DA4"/>
    <w:rsid w:val="00400EF8"/>
    <w:rsid w:val="0040107A"/>
    <w:rsid w:val="004012B4"/>
    <w:rsid w:val="004014FF"/>
    <w:rsid w:val="00401798"/>
    <w:rsid w:val="004017C0"/>
    <w:rsid w:val="00401E2D"/>
    <w:rsid w:val="00401EA7"/>
    <w:rsid w:val="00402139"/>
    <w:rsid w:val="00402601"/>
    <w:rsid w:val="004026C5"/>
    <w:rsid w:val="004026D3"/>
    <w:rsid w:val="00402AC5"/>
    <w:rsid w:val="00402F9C"/>
    <w:rsid w:val="00403014"/>
    <w:rsid w:val="004036D0"/>
    <w:rsid w:val="00403D99"/>
    <w:rsid w:val="00404061"/>
    <w:rsid w:val="00404518"/>
    <w:rsid w:val="00404845"/>
    <w:rsid w:val="00404DFC"/>
    <w:rsid w:val="0040524C"/>
    <w:rsid w:val="00405258"/>
    <w:rsid w:val="0040563A"/>
    <w:rsid w:val="00405B50"/>
    <w:rsid w:val="00406144"/>
    <w:rsid w:val="004064FF"/>
    <w:rsid w:val="0040666D"/>
    <w:rsid w:val="00406786"/>
    <w:rsid w:val="004069E6"/>
    <w:rsid w:val="00406A98"/>
    <w:rsid w:val="00406B87"/>
    <w:rsid w:val="00406D3F"/>
    <w:rsid w:val="004078AB"/>
    <w:rsid w:val="00410263"/>
    <w:rsid w:val="0041038D"/>
    <w:rsid w:val="004103CB"/>
    <w:rsid w:val="004104FC"/>
    <w:rsid w:val="0041050B"/>
    <w:rsid w:val="00410B6B"/>
    <w:rsid w:val="00410FAC"/>
    <w:rsid w:val="0041107F"/>
    <w:rsid w:val="004111D3"/>
    <w:rsid w:val="004111F9"/>
    <w:rsid w:val="00411B3B"/>
    <w:rsid w:val="00411D7C"/>
    <w:rsid w:val="004122A9"/>
    <w:rsid w:val="00412476"/>
    <w:rsid w:val="00412B19"/>
    <w:rsid w:val="00413183"/>
    <w:rsid w:val="00413712"/>
    <w:rsid w:val="004137CB"/>
    <w:rsid w:val="004138D7"/>
    <w:rsid w:val="00413FEB"/>
    <w:rsid w:val="00414162"/>
    <w:rsid w:val="00414762"/>
    <w:rsid w:val="00414E7B"/>
    <w:rsid w:val="00414EF6"/>
    <w:rsid w:val="00414F4F"/>
    <w:rsid w:val="00415158"/>
    <w:rsid w:val="0041536F"/>
    <w:rsid w:val="00415634"/>
    <w:rsid w:val="00415E52"/>
    <w:rsid w:val="00415F9B"/>
    <w:rsid w:val="00415FF8"/>
    <w:rsid w:val="004164B9"/>
    <w:rsid w:val="004167FC"/>
    <w:rsid w:val="0041713E"/>
    <w:rsid w:val="004172E9"/>
    <w:rsid w:val="004174CF"/>
    <w:rsid w:val="00417924"/>
    <w:rsid w:val="00417E5C"/>
    <w:rsid w:val="00417FC4"/>
    <w:rsid w:val="00420025"/>
    <w:rsid w:val="0042080C"/>
    <w:rsid w:val="0042086B"/>
    <w:rsid w:val="0042110A"/>
    <w:rsid w:val="0042127C"/>
    <w:rsid w:val="004212BF"/>
    <w:rsid w:val="00421756"/>
    <w:rsid w:val="004218EF"/>
    <w:rsid w:val="0042195B"/>
    <w:rsid w:val="00422054"/>
    <w:rsid w:val="0042217D"/>
    <w:rsid w:val="004221DA"/>
    <w:rsid w:val="00422304"/>
    <w:rsid w:val="00422EED"/>
    <w:rsid w:val="0042316A"/>
    <w:rsid w:val="00423230"/>
    <w:rsid w:val="0042382F"/>
    <w:rsid w:val="0042386C"/>
    <w:rsid w:val="00423B28"/>
    <w:rsid w:val="00423C94"/>
    <w:rsid w:val="00423DF5"/>
    <w:rsid w:val="00424007"/>
    <w:rsid w:val="00424156"/>
    <w:rsid w:val="00424499"/>
    <w:rsid w:val="0042467C"/>
    <w:rsid w:val="00424834"/>
    <w:rsid w:val="004249F9"/>
    <w:rsid w:val="0042564B"/>
    <w:rsid w:val="004257E1"/>
    <w:rsid w:val="00425818"/>
    <w:rsid w:val="004258A8"/>
    <w:rsid w:val="004258D7"/>
    <w:rsid w:val="00425BBC"/>
    <w:rsid w:val="00425E07"/>
    <w:rsid w:val="00426200"/>
    <w:rsid w:val="00426469"/>
    <w:rsid w:val="0042664D"/>
    <w:rsid w:val="00426752"/>
    <w:rsid w:val="00426B0A"/>
    <w:rsid w:val="00426BD3"/>
    <w:rsid w:val="0042712E"/>
    <w:rsid w:val="00427411"/>
    <w:rsid w:val="00427696"/>
    <w:rsid w:val="00427794"/>
    <w:rsid w:val="004277EE"/>
    <w:rsid w:val="00427EDA"/>
    <w:rsid w:val="00430348"/>
    <w:rsid w:val="004303C7"/>
    <w:rsid w:val="004307AD"/>
    <w:rsid w:val="0043092A"/>
    <w:rsid w:val="00430F78"/>
    <w:rsid w:val="004311A0"/>
    <w:rsid w:val="00431C28"/>
    <w:rsid w:val="00431D3B"/>
    <w:rsid w:val="00431E56"/>
    <w:rsid w:val="00432356"/>
    <w:rsid w:val="00432379"/>
    <w:rsid w:val="0043254A"/>
    <w:rsid w:val="00432984"/>
    <w:rsid w:val="004329AB"/>
    <w:rsid w:val="00432A08"/>
    <w:rsid w:val="004332F6"/>
    <w:rsid w:val="00433365"/>
    <w:rsid w:val="004334CE"/>
    <w:rsid w:val="0043382A"/>
    <w:rsid w:val="00433D8F"/>
    <w:rsid w:val="00433F60"/>
    <w:rsid w:val="00434102"/>
    <w:rsid w:val="0043434C"/>
    <w:rsid w:val="00434A24"/>
    <w:rsid w:val="00435309"/>
    <w:rsid w:val="004358C4"/>
    <w:rsid w:val="00436349"/>
    <w:rsid w:val="004365E3"/>
    <w:rsid w:val="004374ED"/>
    <w:rsid w:val="004376B2"/>
    <w:rsid w:val="004407D5"/>
    <w:rsid w:val="00441BF2"/>
    <w:rsid w:val="00441ED1"/>
    <w:rsid w:val="004423F8"/>
    <w:rsid w:val="004432D2"/>
    <w:rsid w:val="0044386D"/>
    <w:rsid w:val="00443E58"/>
    <w:rsid w:val="004442E2"/>
    <w:rsid w:val="0044465C"/>
    <w:rsid w:val="004448B3"/>
    <w:rsid w:val="004448CD"/>
    <w:rsid w:val="00444921"/>
    <w:rsid w:val="00444A34"/>
    <w:rsid w:val="00444F31"/>
    <w:rsid w:val="004453FD"/>
    <w:rsid w:val="00445895"/>
    <w:rsid w:val="00445AA5"/>
    <w:rsid w:val="00445D0B"/>
    <w:rsid w:val="00445D50"/>
    <w:rsid w:val="00445E4D"/>
    <w:rsid w:val="00446060"/>
    <w:rsid w:val="004461E9"/>
    <w:rsid w:val="0044643B"/>
    <w:rsid w:val="00446938"/>
    <w:rsid w:val="00446CCE"/>
    <w:rsid w:val="004470B1"/>
    <w:rsid w:val="00447AE9"/>
    <w:rsid w:val="00447D2B"/>
    <w:rsid w:val="004500FC"/>
    <w:rsid w:val="00450791"/>
    <w:rsid w:val="00450A34"/>
    <w:rsid w:val="00450F11"/>
    <w:rsid w:val="004513CB"/>
    <w:rsid w:val="00451601"/>
    <w:rsid w:val="0045180E"/>
    <w:rsid w:val="00451B7A"/>
    <w:rsid w:val="00452218"/>
    <w:rsid w:val="00452413"/>
    <w:rsid w:val="0045257F"/>
    <w:rsid w:val="00452A10"/>
    <w:rsid w:val="00452DF6"/>
    <w:rsid w:val="00452F82"/>
    <w:rsid w:val="00453007"/>
    <w:rsid w:val="004530CD"/>
    <w:rsid w:val="0045374D"/>
    <w:rsid w:val="00454145"/>
    <w:rsid w:val="004541C4"/>
    <w:rsid w:val="00454553"/>
    <w:rsid w:val="00454974"/>
    <w:rsid w:val="00454E4D"/>
    <w:rsid w:val="00454ECC"/>
    <w:rsid w:val="00454F56"/>
    <w:rsid w:val="00455189"/>
    <w:rsid w:val="0045530E"/>
    <w:rsid w:val="00455477"/>
    <w:rsid w:val="00455569"/>
    <w:rsid w:val="00455B50"/>
    <w:rsid w:val="00455E7A"/>
    <w:rsid w:val="00455F14"/>
    <w:rsid w:val="00456722"/>
    <w:rsid w:val="00456935"/>
    <w:rsid w:val="00456FA7"/>
    <w:rsid w:val="004576D0"/>
    <w:rsid w:val="0045790C"/>
    <w:rsid w:val="00457ECB"/>
    <w:rsid w:val="00460237"/>
    <w:rsid w:val="00460492"/>
    <w:rsid w:val="00460543"/>
    <w:rsid w:val="0046067F"/>
    <w:rsid w:val="004607AA"/>
    <w:rsid w:val="004608FB"/>
    <w:rsid w:val="004609D1"/>
    <w:rsid w:val="00460B56"/>
    <w:rsid w:val="00460CE1"/>
    <w:rsid w:val="00460E72"/>
    <w:rsid w:val="00460FC2"/>
    <w:rsid w:val="004610D8"/>
    <w:rsid w:val="004616A1"/>
    <w:rsid w:val="00461A02"/>
    <w:rsid w:val="00462476"/>
    <w:rsid w:val="004624E2"/>
    <w:rsid w:val="00462755"/>
    <w:rsid w:val="00463182"/>
    <w:rsid w:val="004633BA"/>
    <w:rsid w:val="00463B47"/>
    <w:rsid w:val="00463E6A"/>
    <w:rsid w:val="00463F06"/>
    <w:rsid w:val="0046437C"/>
    <w:rsid w:val="0046438A"/>
    <w:rsid w:val="00464B4B"/>
    <w:rsid w:val="00464B8A"/>
    <w:rsid w:val="00464C76"/>
    <w:rsid w:val="00464E2B"/>
    <w:rsid w:val="00464F08"/>
    <w:rsid w:val="00465154"/>
    <w:rsid w:val="004653F2"/>
    <w:rsid w:val="0046547C"/>
    <w:rsid w:val="00465ADF"/>
    <w:rsid w:val="00465BAD"/>
    <w:rsid w:val="00465BE6"/>
    <w:rsid w:val="00465CD3"/>
    <w:rsid w:val="00465F7C"/>
    <w:rsid w:val="004660EF"/>
    <w:rsid w:val="00466281"/>
    <w:rsid w:val="004665C7"/>
    <w:rsid w:val="00466B0F"/>
    <w:rsid w:val="00466C67"/>
    <w:rsid w:val="00466D70"/>
    <w:rsid w:val="00467148"/>
    <w:rsid w:val="0046783F"/>
    <w:rsid w:val="00467B6B"/>
    <w:rsid w:val="00467E17"/>
    <w:rsid w:val="00467EAF"/>
    <w:rsid w:val="004702E7"/>
    <w:rsid w:val="004704CF"/>
    <w:rsid w:val="004706EB"/>
    <w:rsid w:val="00470811"/>
    <w:rsid w:val="00470EB5"/>
    <w:rsid w:val="004711B2"/>
    <w:rsid w:val="004713AB"/>
    <w:rsid w:val="004716E4"/>
    <w:rsid w:val="00471D0C"/>
    <w:rsid w:val="00471F27"/>
    <w:rsid w:val="0047263B"/>
    <w:rsid w:val="0047279A"/>
    <w:rsid w:val="00472C25"/>
    <w:rsid w:val="00473070"/>
    <w:rsid w:val="00473071"/>
    <w:rsid w:val="0047336E"/>
    <w:rsid w:val="004737B7"/>
    <w:rsid w:val="00473B72"/>
    <w:rsid w:val="00473C85"/>
    <w:rsid w:val="004740CB"/>
    <w:rsid w:val="004742BB"/>
    <w:rsid w:val="00474E06"/>
    <w:rsid w:val="00474F7B"/>
    <w:rsid w:val="0047568B"/>
    <w:rsid w:val="0047595C"/>
    <w:rsid w:val="004759D3"/>
    <w:rsid w:val="00475BA4"/>
    <w:rsid w:val="00475C23"/>
    <w:rsid w:val="00475E0D"/>
    <w:rsid w:val="00475EB2"/>
    <w:rsid w:val="0047607E"/>
    <w:rsid w:val="0047610F"/>
    <w:rsid w:val="004765CC"/>
    <w:rsid w:val="0047671B"/>
    <w:rsid w:val="00476CE7"/>
    <w:rsid w:val="00476E5C"/>
    <w:rsid w:val="00476FB5"/>
    <w:rsid w:val="00477238"/>
    <w:rsid w:val="00477411"/>
    <w:rsid w:val="0047758F"/>
    <w:rsid w:val="004776F8"/>
    <w:rsid w:val="00477A35"/>
    <w:rsid w:val="00477CDE"/>
    <w:rsid w:val="00477DB5"/>
    <w:rsid w:val="004808BF"/>
    <w:rsid w:val="00481265"/>
    <w:rsid w:val="004814B2"/>
    <w:rsid w:val="004814ED"/>
    <w:rsid w:val="004815B4"/>
    <w:rsid w:val="0048167D"/>
    <w:rsid w:val="0048193C"/>
    <w:rsid w:val="00481BD0"/>
    <w:rsid w:val="00481C9A"/>
    <w:rsid w:val="00481FE7"/>
    <w:rsid w:val="004825F3"/>
    <w:rsid w:val="004828B1"/>
    <w:rsid w:val="004831CF"/>
    <w:rsid w:val="004831F7"/>
    <w:rsid w:val="004834C6"/>
    <w:rsid w:val="0048363E"/>
    <w:rsid w:val="00483A53"/>
    <w:rsid w:val="00483DB0"/>
    <w:rsid w:val="00484034"/>
    <w:rsid w:val="0048403E"/>
    <w:rsid w:val="0048489A"/>
    <w:rsid w:val="00484E3C"/>
    <w:rsid w:val="00484FD1"/>
    <w:rsid w:val="00485273"/>
    <w:rsid w:val="00485535"/>
    <w:rsid w:val="00485605"/>
    <w:rsid w:val="0048564B"/>
    <w:rsid w:val="00485788"/>
    <w:rsid w:val="004857A2"/>
    <w:rsid w:val="00485A0A"/>
    <w:rsid w:val="00485CEE"/>
    <w:rsid w:val="00485E28"/>
    <w:rsid w:val="004866EA"/>
    <w:rsid w:val="0048677C"/>
    <w:rsid w:val="00486CED"/>
    <w:rsid w:val="00487259"/>
    <w:rsid w:val="0048741B"/>
    <w:rsid w:val="004875A8"/>
    <w:rsid w:val="0048760A"/>
    <w:rsid w:val="00487626"/>
    <w:rsid w:val="004876CE"/>
    <w:rsid w:val="004876EC"/>
    <w:rsid w:val="004905CE"/>
    <w:rsid w:val="00490659"/>
    <w:rsid w:val="00490961"/>
    <w:rsid w:val="00490BB0"/>
    <w:rsid w:val="00491155"/>
    <w:rsid w:val="00491215"/>
    <w:rsid w:val="0049121D"/>
    <w:rsid w:val="00491599"/>
    <w:rsid w:val="004927A8"/>
    <w:rsid w:val="004929BD"/>
    <w:rsid w:val="00493588"/>
    <w:rsid w:val="00493707"/>
    <w:rsid w:val="004939B6"/>
    <w:rsid w:val="00493C16"/>
    <w:rsid w:val="0049408C"/>
    <w:rsid w:val="0049455C"/>
    <w:rsid w:val="00494788"/>
    <w:rsid w:val="00494E3A"/>
    <w:rsid w:val="00494F90"/>
    <w:rsid w:val="004957D9"/>
    <w:rsid w:val="0049580B"/>
    <w:rsid w:val="00495C16"/>
    <w:rsid w:val="00495F2D"/>
    <w:rsid w:val="004964B5"/>
    <w:rsid w:val="004964F4"/>
    <w:rsid w:val="004967A0"/>
    <w:rsid w:val="00496CB3"/>
    <w:rsid w:val="004970FC"/>
    <w:rsid w:val="0049778F"/>
    <w:rsid w:val="004978BE"/>
    <w:rsid w:val="004978DD"/>
    <w:rsid w:val="004979D2"/>
    <w:rsid w:val="00497B99"/>
    <w:rsid w:val="00497CCD"/>
    <w:rsid w:val="004A0129"/>
    <w:rsid w:val="004A0166"/>
    <w:rsid w:val="004A025D"/>
    <w:rsid w:val="004A068D"/>
    <w:rsid w:val="004A0937"/>
    <w:rsid w:val="004A0D9B"/>
    <w:rsid w:val="004A0E75"/>
    <w:rsid w:val="004A0F65"/>
    <w:rsid w:val="004A11A2"/>
    <w:rsid w:val="004A157E"/>
    <w:rsid w:val="004A1BEA"/>
    <w:rsid w:val="004A1FF2"/>
    <w:rsid w:val="004A21C2"/>
    <w:rsid w:val="004A2207"/>
    <w:rsid w:val="004A29F9"/>
    <w:rsid w:val="004A2F5A"/>
    <w:rsid w:val="004A2F7D"/>
    <w:rsid w:val="004A2FC6"/>
    <w:rsid w:val="004A352E"/>
    <w:rsid w:val="004A42CA"/>
    <w:rsid w:val="004A4D8C"/>
    <w:rsid w:val="004A4F4B"/>
    <w:rsid w:val="004A518A"/>
    <w:rsid w:val="004A649E"/>
    <w:rsid w:val="004A6A0E"/>
    <w:rsid w:val="004A6C08"/>
    <w:rsid w:val="004A6C93"/>
    <w:rsid w:val="004A6F86"/>
    <w:rsid w:val="004A700F"/>
    <w:rsid w:val="004A713C"/>
    <w:rsid w:val="004A7167"/>
    <w:rsid w:val="004A7554"/>
    <w:rsid w:val="004A7602"/>
    <w:rsid w:val="004A77A9"/>
    <w:rsid w:val="004A7DFF"/>
    <w:rsid w:val="004B0075"/>
    <w:rsid w:val="004B00C0"/>
    <w:rsid w:val="004B03FB"/>
    <w:rsid w:val="004B0866"/>
    <w:rsid w:val="004B14B0"/>
    <w:rsid w:val="004B15F3"/>
    <w:rsid w:val="004B18B5"/>
    <w:rsid w:val="004B1F75"/>
    <w:rsid w:val="004B2194"/>
    <w:rsid w:val="004B21C7"/>
    <w:rsid w:val="004B22C0"/>
    <w:rsid w:val="004B22CE"/>
    <w:rsid w:val="004B2379"/>
    <w:rsid w:val="004B23A8"/>
    <w:rsid w:val="004B243D"/>
    <w:rsid w:val="004B2642"/>
    <w:rsid w:val="004B2AAA"/>
    <w:rsid w:val="004B2D10"/>
    <w:rsid w:val="004B2D49"/>
    <w:rsid w:val="004B2E03"/>
    <w:rsid w:val="004B362B"/>
    <w:rsid w:val="004B3994"/>
    <w:rsid w:val="004B3FA5"/>
    <w:rsid w:val="004B43BF"/>
    <w:rsid w:val="004B4551"/>
    <w:rsid w:val="004B499C"/>
    <w:rsid w:val="004B4C2B"/>
    <w:rsid w:val="004B4C6D"/>
    <w:rsid w:val="004B56DF"/>
    <w:rsid w:val="004B58F3"/>
    <w:rsid w:val="004B5A00"/>
    <w:rsid w:val="004B5C55"/>
    <w:rsid w:val="004B612E"/>
    <w:rsid w:val="004B6130"/>
    <w:rsid w:val="004B6313"/>
    <w:rsid w:val="004B6A83"/>
    <w:rsid w:val="004B6F89"/>
    <w:rsid w:val="004B74BC"/>
    <w:rsid w:val="004B75E0"/>
    <w:rsid w:val="004B76CD"/>
    <w:rsid w:val="004B776E"/>
    <w:rsid w:val="004B79FE"/>
    <w:rsid w:val="004B7F62"/>
    <w:rsid w:val="004C0416"/>
    <w:rsid w:val="004C04D3"/>
    <w:rsid w:val="004C099E"/>
    <w:rsid w:val="004C0BC5"/>
    <w:rsid w:val="004C12AE"/>
    <w:rsid w:val="004C1410"/>
    <w:rsid w:val="004C1494"/>
    <w:rsid w:val="004C17B3"/>
    <w:rsid w:val="004C1E6C"/>
    <w:rsid w:val="004C1FE6"/>
    <w:rsid w:val="004C203B"/>
    <w:rsid w:val="004C22C1"/>
    <w:rsid w:val="004C257D"/>
    <w:rsid w:val="004C3033"/>
    <w:rsid w:val="004C30D8"/>
    <w:rsid w:val="004C30F8"/>
    <w:rsid w:val="004C356F"/>
    <w:rsid w:val="004C3C2D"/>
    <w:rsid w:val="004C3C8E"/>
    <w:rsid w:val="004C3D0C"/>
    <w:rsid w:val="004C4442"/>
    <w:rsid w:val="004C497C"/>
    <w:rsid w:val="004C4BC1"/>
    <w:rsid w:val="004C4F28"/>
    <w:rsid w:val="004C5FDC"/>
    <w:rsid w:val="004C61AE"/>
    <w:rsid w:val="004C6275"/>
    <w:rsid w:val="004C6347"/>
    <w:rsid w:val="004C63DF"/>
    <w:rsid w:val="004C68F7"/>
    <w:rsid w:val="004C6C42"/>
    <w:rsid w:val="004C6D17"/>
    <w:rsid w:val="004C6EBA"/>
    <w:rsid w:val="004C7955"/>
    <w:rsid w:val="004D057C"/>
    <w:rsid w:val="004D0CC3"/>
    <w:rsid w:val="004D1474"/>
    <w:rsid w:val="004D1589"/>
    <w:rsid w:val="004D207B"/>
    <w:rsid w:val="004D20D3"/>
    <w:rsid w:val="004D23C2"/>
    <w:rsid w:val="004D2D53"/>
    <w:rsid w:val="004D32AD"/>
    <w:rsid w:val="004D3A79"/>
    <w:rsid w:val="004D3E95"/>
    <w:rsid w:val="004D3ECD"/>
    <w:rsid w:val="004D43BF"/>
    <w:rsid w:val="004D4685"/>
    <w:rsid w:val="004D4A7D"/>
    <w:rsid w:val="004D51DF"/>
    <w:rsid w:val="004D52AE"/>
    <w:rsid w:val="004D52EC"/>
    <w:rsid w:val="004D5483"/>
    <w:rsid w:val="004D5569"/>
    <w:rsid w:val="004D568D"/>
    <w:rsid w:val="004D5821"/>
    <w:rsid w:val="004D5CC2"/>
    <w:rsid w:val="004D5E3F"/>
    <w:rsid w:val="004D5E43"/>
    <w:rsid w:val="004D5F02"/>
    <w:rsid w:val="004D6247"/>
    <w:rsid w:val="004D6353"/>
    <w:rsid w:val="004D638A"/>
    <w:rsid w:val="004D6682"/>
    <w:rsid w:val="004D7005"/>
    <w:rsid w:val="004D7462"/>
    <w:rsid w:val="004D765B"/>
    <w:rsid w:val="004D7677"/>
    <w:rsid w:val="004D7809"/>
    <w:rsid w:val="004D7A46"/>
    <w:rsid w:val="004D7F5E"/>
    <w:rsid w:val="004E02DE"/>
    <w:rsid w:val="004E0640"/>
    <w:rsid w:val="004E0772"/>
    <w:rsid w:val="004E143B"/>
    <w:rsid w:val="004E161A"/>
    <w:rsid w:val="004E1A76"/>
    <w:rsid w:val="004E1D7B"/>
    <w:rsid w:val="004E1D8B"/>
    <w:rsid w:val="004E1E71"/>
    <w:rsid w:val="004E1F4C"/>
    <w:rsid w:val="004E226D"/>
    <w:rsid w:val="004E2272"/>
    <w:rsid w:val="004E2329"/>
    <w:rsid w:val="004E245C"/>
    <w:rsid w:val="004E251E"/>
    <w:rsid w:val="004E25F8"/>
    <w:rsid w:val="004E26F1"/>
    <w:rsid w:val="004E2944"/>
    <w:rsid w:val="004E3479"/>
    <w:rsid w:val="004E3C6C"/>
    <w:rsid w:val="004E3EEB"/>
    <w:rsid w:val="004E4492"/>
    <w:rsid w:val="004E4890"/>
    <w:rsid w:val="004E4C7C"/>
    <w:rsid w:val="004E4CBB"/>
    <w:rsid w:val="004E4FA3"/>
    <w:rsid w:val="004E4FCA"/>
    <w:rsid w:val="004E5274"/>
    <w:rsid w:val="004E58BF"/>
    <w:rsid w:val="004E5979"/>
    <w:rsid w:val="004E5B43"/>
    <w:rsid w:val="004E5C56"/>
    <w:rsid w:val="004E5C67"/>
    <w:rsid w:val="004E633E"/>
    <w:rsid w:val="004E67EC"/>
    <w:rsid w:val="004E6978"/>
    <w:rsid w:val="004E69C6"/>
    <w:rsid w:val="004E7442"/>
    <w:rsid w:val="004E77F4"/>
    <w:rsid w:val="004F003C"/>
    <w:rsid w:val="004F0393"/>
    <w:rsid w:val="004F09ED"/>
    <w:rsid w:val="004F0D19"/>
    <w:rsid w:val="004F0EBB"/>
    <w:rsid w:val="004F10CA"/>
    <w:rsid w:val="004F1256"/>
    <w:rsid w:val="004F12FC"/>
    <w:rsid w:val="004F13E9"/>
    <w:rsid w:val="004F1411"/>
    <w:rsid w:val="004F1527"/>
    <w:rsid w:val="004F2272"/>
    <w:rsid w:val="004F2401"/>
    <w:rsid w:val="004F25E7"/>
    <w:rsid w:val="004F2681"/>
    <w:rsid w:val="004F289D"/>
    <w:rsid w:val="004F3000"/>
    <w:rsid w:val="004F3061"/>
    <w:rsid w:val="004F396D"/>
    <w:rsid w:val="004F3A18"/>
    <w:rsid w:val="004F3ABF"/>
    <w:rsid w:val="004F3D72"/>
    <w:rsid w:val="004F3FB5"/>
    <w:rsid w:val="004F4633"/>
    <w:rsid w:val="004F4638"/>
    <w:rsid w:val="004F47D2"/>
    <w:rsid w:val="004F49FE"/>
    <w:rsid w:val="004F4C2A"/>
    <w:rsid w:val="004F53BF"/>
    <w:rsid w:val="004F54B6"/>
    <w:rsid w:val="004F5FAB"/>
    <w:rsid w:val="004F5FFF"/>
    <w:rsid w:val="004F606A"/>
    <w:rsid w:val="004F649E"/>
    <w:rsid w:val="004F7094"/>
    <w:rsid w:val="004F7638"/>
    <w:rsid w:val="004F77AB"/>
    <w:rsid w:val="005001E2"/>
    <w:rsid w:val="00500678"/>
    <w:rsid w:val="00500C21"/>
    <w:rsid w:val="00501E8F"/>
    <w:rsid w:val="0050258A"/>
    <w:rsid w:val="005025BE"/>
    <w:rsid w:val="005029DF"/>
    <w:rsid w:val="00502A1E"/>
    <w:rsid w:val="0050309B"/>
    <w:rsid w:val="005039F7"/>
    <w:rsid w:val="005039F8"/>
    <w:rsid w:val="00503B90"/>
    <w:rsid w:val="00503CF4"/>
    <w:rsid w:val="005040A6"/>
    <w:rsid w:val="005043A8"/>
    <w:rsid w:val="00504841"/>
    <w:rsid w:val="00504887"/>
    <w:rsid w:val="00504D34"/>
    <w:rsid w:val="00504D92"/>
    <w:rsid w:val="00504F9E"/>
    <w:rsid w:val="00505163"/>
    <w:rsid w:val="005053A0"/>
    <w:rsid w:val="005053DB"/>
    <w:rsid w:val="0050580C"/>
    <w:rsid w:val="005058F8"/>
    <w:rsid w:val="00505D1C"/>
    <w:rsid w:val="00505DBB"/>
    <w:rsid w:val="005060C9"/>
    <w:rsid w:val="00506293"/>
    <w:rsid w:val="005062C7"/>
    <w:rsid w:val="00506504"/>
    <w:rsid w:val="00506A9B"/>
    <w:rsid w:val="005072A1"/>
    <w:rsid w:val="005074E5"/>
    <w:rsid w:val="00507967"/>
    <w:rsid w:val="00507C3E"/>
    <w:rsid w:val="00510352"/>
    <w:rsid w:val="00510988"/>
    <w:rsid w:val="00510EB1"/>
    <w:rsid w:val="00510F20"/>
    <w:rsid w:val="00510FB0"/>
    <w:rsid w:val="0051102F"/>
    <w:rsid w:val="005112F3"/>
    <w:rsid w:val="005126BA"/>
    <w:rsid w:val="005128DA"/>
    <w:rsid w:val="00512917"/>
    <w:rsid w:val="00512F40"/>
    <w:rsid w:val="00513061"/>
    <w:rsid w:val="0051345C"/>
    <w:rsid w:val="005134F9"/>
    <w:rsid w:val="00513C2E"/>
    <w:rsid w:val="005140D8"/>
    <w:rsid w:val="0051419C"/>
    <w:rsid w:val="00514880"/>
    <w:rsid w:val="00515AA8"/>
    <w:rsid w:val="00515EB8"/>
    <w:rsid w:val="00515F98"/>
    <w:rsid w:val="00516127"/>
    <w:rsid w:val="0051639D"/>
    <w:rsid w:val="00516621"/>
    <w:rsid w:val="00516CA7"/>
    <w:rsid w:val="005175E2"/>
    <w:rsid w:val="00517DE4"/>
    <w:rsid w:val="0052016B"/>
    <w:rsid w:val="0052092D"/>
    <w:rsid w:val="00520C21"/>
    <w:rsid w:val="00520D35"/>
    <w:rsid w:val="00520D6F"/>
    <w:rsid w:val="00520E4C"/>
    <w:rsid w:val="00521005"/>
    <w:rsid w:val="00521231"/>
    <w:rsid w:val="005213C0"/>
    <w:rsid w:val="005216E1"/>
    <w:rsid w:val="00521706"/>
    <w:rsid w:val="00521897"/>
    <w:rsid w:val="00521E81"/>
    <w:rsid w:val="00521FA1"/>
    <w:rsid w:val="005224D3"/>
    <w:rsid w:val="00522A4D"/>
    <w:rsid w:val="00522E15"/>
    <w:rsid w:val="00522E26"/>
    <w:rsid w:val="00523122"/>
    <w:rsid w:val="00523250"/>
    <w:rsid w:val="005232BF"/>
    <w:rsid w:val="00523320"/>
    <w:rsid w:val="00523691"/>
    <w:rsid w:val="005238B5"/>
    <w:rsid w:val="00523A8B"/>
    <w:rsid w:val="00523E22"/>
    <w:rsid w:val="00523F14"/>
    <w:rsid w:val="00524324"/>
    <w:rsid w:val="005243EE"/>
    <w:rsid w:val="0052449A"/>
    <w:rsid w:val="0052454C"/>
    <w:rsid w:val="00524A80"/>
    <w:rsid w:val="00524D09"/>
    <w:rsid w:val="00524DC7"/>
    <w:rsid w:val="00524E32"/>
    <w:rsid w:val="00524F29"/>
    <w:rsid w:val="005256AA"/>
    <w:rsid w:val="0052575A"/>
    <w:rsid w:val="0052586C"/>
    <w:rsid w:val="00525ACE"/>
    <w:rsid w:val="00525D43"/>
    <w:rsid w:val="00526194"/>
    <w:rsid w:val="005264BF"/>
    <w:rsid w:val="00526AC9"/>
    <w:rsid w:val="00526B3A"/>
    <w:rsid w:val="00526BBF"/>
    <w:rsid w:val="00526BFA"/>
    <w:rsid w:val="005271A4"/>
    <w:rsid w:val="005273FB"/>
    <w:rsid w:val="00527660"/>
    <w:rsid w:val="005276A9"/>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5A2"/>
    <w:rsid w:val="005317CD"/>
    <w:rsid w:val="0053190D"/>
    <w:rsid w:val="00532772"/>
    <w:rsid w:val="0053287D"/>
    <w:rsid w:val="00532A8C"/>
    <w:rsid w:val="00532B71"/>
    <w:rsid w:val="00532ECE"/>
    <w:rsid w:val="00533C62"/>
    <w:rsid w:val="00533D59"/>
    <w:rsid w:val="00534342"/>
    <w:rsid w:val="0053452B"/>
    <w:rsid w:val="005346DA"/>
    <w:rsid w:val="00534E0A"/>
    <w:rsid w:val="00534E79"/>
    <w:rsid w:val="00535015"/>
    <w:rsid w:val="0053505E"/>
    <w:rsid w:val="005353AA"/>
    <w:rsid w:val="00535542"/>
    <w:rsid w:val="00535678"/>
    <w:rsid w:val="00535E5B"/>
    <w:rsid w:val="00535F5B"/>
    <w:rsid w:val="00535F87"/>
    <w:rsid w:val="00535FDF"/>
    <w:rsid w:val="0053636A"/>
    <w:rsid w:val="00536EAC"/>
    <w:rsid w:val="00537179"/>
    <w:rsid w:val="005371D8"/>
    <w:rsid w:val="005379A7"/>
    <w:rsid w:val="00540808"/>
    <w:rsid w:val="00540870"/>
    <w:rsid w:val="005408B5"/>
    <w:rsid w:val="00540935"/>
    <w:rsid w:val="00540961"/>
    <w:rsid w:val="00540BFD"/>
    <w:rsid w:val="00540F31"/>
    <w:rsid w:val="00540F39"/>
    <w:rsid w:val="0054121C"/>
    <w:rsid w:val="00541235"/>
    <w:rsid w:val="0054125C"/>
    <w:rsid w:val="00541590"/>
    <w:rsid w:val="005417D0"/>
    <w:rsid w:val="00542276"/>
    <w:rsid w:val="00542409"/>
    <w:rsid w:val="0054305F"/>
    <w:rsid w:val="00543976"/>
    <w:rsid w:val="005439B7"/>
    <w:rsid w:val="00543B3F"/>
    <w:rsid w:val="00543B97"/>
    <w:rsid w:val="0054403B"/>
    <w:rsid w:val="0054412D"/>
    <w:rsid w:val="00544268"/>
    <w:rsid w:val="005442DF"/>
    <w:rsid w:val="0054434A"/>
    <w:rsid w:val="0054437E"/>
    <w:rsid w:val="005443C3"/>
    <w:rsid w:val="0054443C"/>
    <w:rsid w:val="005448C9"/>
    <w:rsid w:val="00544DC0"/>
    <w:rsid w:val="00545085"/>
    <w:rsid w:val="005454C8"/>
    <w:rsid w:val="00545626"/>
    <w:rsid w:val="0054633C"/>
    <w:rsid w:val="00546345"/>
    <w:rsid w:val="0054636E"/>
    <w:rsid w:val="00546700"/>
    <w:rsid w:val="00546A40"/>
    <w:rsid w:val="00546A86"/>
    <w:rsid w:val="00546CA1"/>
    <w:rsid w:val="00546EA7"/>
    <w:rsid w:val="0054786F"/>
    <w:rsid w:val="00547BD9"/>
    <w:rsid w:val="00547D49"/>
    <w:rsid w:val="00550213"/>
    <w:rsid w:val="00550DB8"/>
    <w:rsid w:val="00551291"/>
    <w:rsid w:val="005513F9"/>
    <w:rsid w:val="00551563"/>
    <w:rsid w:val="00551739"/>
    <w:rsid w:val="00551892"/>
    <w:rsid w:val="0055200A"/>
    <w:rsid w:val="005523A5"/>
    <w:rsid w:val="00552BAD"/>
    <w:rsid w:val="00552E0E"/>
    <w:rsid w:val="0055359B"/>
    <w:rsid w:val="0055391C"/>
    <w:rsid w:val="00553B58"/>
    <w:rsid w:val="00554205"/>
    <w:rsid w:val="005543D5"/>
    <w:rsid w:val="005547B1"/>
    <w:rsid w:val="00554810"/>
    <w:rsid w:val="00554F38"/>
    <w:rsid w:val="00555153"/>
    <w:rsid w:val="005551B0"/>
    <w:rsid w:val="00555628"/>
    <w:rsid w:val="005558CC"/>
    <w:rsid w:val="00555D19"/>
    <w:rsid w:val="00555EB2"/>
    <w:rsid w:val="00556A44"/>
    <w:rsid w:val="00556E1D"/>
    <w:rsid w:val="00556E89"/>
    <w:rsid w:val="005572E6"/>
    <w:rsid w:val="0055747D"/>
    <w:rsid w:val="005576BE"/>
    <w:rsid w:val="00557706"/>
    <w:rsid w:val="00557BA4"/>
    <w:rsid w:val="00557D2B"/>
    <w:rsid w:val="00560197"/>
    <w:rsid w:val="00560618"/>
    <w:rsid w:val="00560725"/>
    <w:rsid w:val="00560C55"/>
    <w:rsid w:val="00560D46"/>
    <w:rsid w:val="00560F64"/>
    <w:rsid w:val="00561232"/>
    <w:rsid w:val="0056189E"/>
    <w:rsid w:val="005619D9"/>
    <w:rsid w:val="00561BE5"/>
    <w:rsid w:val="00561CA7"/>
    <w:rsid w:val="00562019"/>
    <w:rsid w:val="005629C1"/>
    <w:rsid w:val="00562A31"/>
    <w:rsid w:val="00562B30"/>
    <w:rsid w:val="00562F7B"/>
    <w:rsid w:val="0056301A"/>
    <w:rsid w:val="00563642"/>
    <w:rsid w:val="00563756"/>
    <w:rsid w:val="0056473C"/>
    <w:rsid w:val="0056498C"/>
    <w:rsid w:val="005649BF"/>
    <w:rsid w:val="00564B8E"/>
    <w:rsid w:val="005651DD"/>
    <w:rsid w:val="0056520D"/>
    <w:rsid w:val="0056530E"/>
    <w:rsid w:val="005653EB"/>
    <w:rsid w:val="00565BA8"/>
    <w:rsid w:val="00565BC1"/>
    <w:rsid w:val="00565CE3"/>
    <w:rsid w:val="00565DB1"/>
    <w:rsid w:val="005661DC"/>
    <w:rsid w:val="0056639C"/>
    <w:rsid w:val="00566565"/>
    <w:rsid w:val="00567033"/>
    <w:rsid w:val="005677C0"/>
    <w:rsid w:val="00567AAE"/>
    <w:rsid w:val="00567B09"/>
    <w:rsid w:val="00567B9D"/>
    <w:rsid w:val="00567C2C"/>
    <w:rsid w:val="00567ECF"/>
    <w:rsid w:val="00570183"/>
    <w:rsid w:val="0057028C"/>
    <w:rsid w:val="0057052F"/>
    <w:rsid w:val="00570A8E"/>
    <w:rsid w:val="00570CDF"/>
    <w:rsid w:val="00571233"/>
    <w:rsid w:val="00571393"/>
    <w:rsid w:val="00571C4B"/>
    <w:rsid w:val="00571F96"/>
    <w:rsid w:val="005721FD"/>
    <w:rsid w:val="00572249"/>
    <w:rsid w:val="0057304A"/>
    <w:rsid w:val="0057320B"/>
    <w:rsid w:val="00573557"/>
    <w:rsid w:val="0057378F"/>
    <w:rsid w:val="00573865"/>
    <w:rsid w:val="005738D3"/>
    <w:rsid w:val="00573A07"/>
    <w:rsid w:val="00573A99"/>
    <w:rsid w:val="00573C01"/>
    <w:rsid w:val="005745A6"/>
    <w:rsid w:val="00574CFA"/>
    <w:rsid w:val="00574E62"/>
    <w:rsid w:val="00575226"/>
    <w:rsid w:val="00575423"/>
    <w:rsid w:val="0057572C"/>
    <w:rsid w:val="00575917"/>
    <w:rsid w:val="0057591B"/>
    <w:rsid w:val="00575B46"/>
    <w:rsid w:val="0057627A"/>
    <w:rsid w:val="0057677F"/>
    <w:rsid w:val="00576AD3"/>
    <w:rsid w:val="005779FD"/>
    <w:rsid w:val="00577D42"/>
    <w:rsid w:val="00577E78"/>
    <w:rsid w:val="0058002C"/>
    <w:rsid w:val="0058020D"/>
    <w:rsid w:val="0058043D"/>
    <w:rsid w:val="005805CE"/>
    <w:rsid w:val="00580629"/>
    <w:rsid w:val="00580C90"/>
    <w:rsid w:val="00580DC9"/>
    <w:rsid w:val="00580FE6"/>
    <w:rsid w:val="00581375"/>
    <w:rsid w:val="005814A2"/>
    <w:rsid w:val="00581543"/>
    <w:rsid w:val="005821A6"/>
    <w:rsid w:val="0058251E"/>
    <w:rsid w:val="00582900"/>
    <w:rsid w:val="00582BE0"/>
    <w:rsid w:val="00582D89"/>
    <w:rsid w:val="00583089"/>
    <w:rsid w:val="005833BD"/>
    <w:rsid w:val="00583711"/>
    <w:rsid w:val="00583743"/>
    <w:rsid w:val="005838F5"/>
    <w:rsid w:val="00583977"/>
    <w:rsid w:val="0058400A"/>
    <w:rsid w:val="005854F6"/>
    <w:rsid w:val="00586581"/>
    <w:rsid w:val="00586722"/>
    <w:rsid w:val="00586A14"/>
    <w:rsid w:val="00587004"/>
    <w:rsid w:val="0058722B"/>
    <w:rsid w:val="00587405"/>
    <w:rsid w:val="0058743C"/>
    <w:rsid w:val="00587AB5"/>
    <w:rsid w:val="005901CB"/>
    <w:rsid w:val="005901D3"/>
    <w:rsid w:val="005905D0"/>
    <w:rsid w:val="0059098B"/>
    <w:rsid w:val="00590993"/>
    <w:rsid w:val="00590AF6"/>
    <w:rsid w:val="00590CA9"/>
    <w:rsid w:val="00590D7C"/>
    <w:rsid w:val="005910BD"/>
    <w:rsid w:val="005914FD"/>
    <w:rsid w:val="00591860"/>
    <w:rsid w:val="00591D4F"/>
    <w:rsid w:val="00591E10"/>
    <w:rsid w:val="00591EC2"/>
    <w:rsid w:val="005920BE"/>
    <w:rsid w:val="00592B34"/>
    <w:rsid w:val="00592B97"/>
    <w:rsid w:val="00592F7D"/>
    <w:rsid w:val="00592F83"/>
    <w:rsid w:val="00593CFD"/>
    <w:rsid w:val="00594047"/>
    <w:rsid w:val="005944BB"/>
    <w:rsid w:val="0059459F"/>
    <w:rsid w:val="0059503E"/>
    <w:rsid w:val="00595366"/>
    <w:rsid w:val="00595622"/>
    <w:rsid w:val="00595A5F"/>
    <w:rsid w:val="00595C50"/>
    <w:rsid w:val="00595DAE"/>
    <w:rsid w:val="00595E3D"/>
    <w:rsid w:val="00596024"/>
    <w:rsid w:val="00596622"/>
    <w:rsid w:val="00596785"/>
    <w:rsid w:val="005967AD"/>
    <w:rsid w:val="0059680D"/>
    <w:rsid w:val="00596D9E"/>
    <w:rsid w:val="0059766C"/>
    <w:rsid w:val="00597882"/>
    <w:rsid w:val="00597C40"/>
    <w:rsid w:val="005A065E"/>
    <w:rsid w:val="005A07AF"/>
    <w:rsid w:val="005A0905"/>
    <w:rsid w:val="005A0917"/>
    <w:rsid w:val="005A0DB5"/>
    <w:rsid w:val="005A19B9"/>
    <w:rsid w:val="005A19EC"/>
    <w:rsid w:val="005A1BFA"/>
    <w:rsid w:val="005A2122"/>
    <w:rsid w:val="005A23F5"/>
    <w:rsid w:val="005A246C"/>
    <w:rsid w:val="005A25D7"/>
    <w:rsid w:val="005A285E"/>
    <w:rsid w:val="005A2A63"/>
    <w:rsid w:val="005A32B7"/>
    <w:rsid w:val="005A3599"/>
    <w:rsid w:val="005A373F"/>
    <w:rsid w:val="005A381C"/>
    <w:rsid w:val="005A3CB8"/>
    <w:rsid w:val="005A411D"/>
    <w:rsid w:val="005A422D"/>
    <w:rsid w:val="005A45BC"/>
    <w:rsid w:val="005A4605"/>
    <w:rsid w:val="005A4625"/>
    <w:rsid w:val="005A4D96"/>
    <w:rsid w:val="005A4DD5"/>
    <w:rsid w:val="005A4E18"/>
    <w:rsid w:val="005A59E1"/>
    <w:rsid w:val="005A5ACD"/>
    <w:rsid w:val="005A5AE9"/>
    <w:rsid w:val="005A5C8A"/>
    <w:rsid w:val="005A5DB9"/>
    <w:rsid w:val="005A6008"/>
    <w:rsid w:val="005A6251"/>
    <w:rsid w:val="005A6ACB"/>
    <w:rsid w:val="005A6C2E"/>
    <w:rsid w:val="005A714C"/>
    <w:rsid w:val="005A735B"/>
    <w:rsid w:val="005A7A16"/>
    <w:rsid w:val="005A7ACF"/>
    <w:rsid w:val="005A7AE4"/>
    <w:rsid w:val="005A7B50"/>
    <w:rsid w:val="005A7C12"/>
    <w:rsid w:val="005A7CFB"/>
    <w:rsid w:val="005B01B2"/>
    <w:rsid w:val="005B084C"/>
    <w:rsid w:val="005B0A2D"/>
    <w:rsid w:val="005B0AA0"/>
    <w:rsid w:val="005B0B38"/>
    <w:rsid w:val="005B102F"/>
    <w:rsid w:val="005B10B7"/>
    <w:rsid w:val="005B129C"/>
    <w:rsid w:val="005B1302"/>
    <w:rsid w:val="005B132F"/>
    <w:rsid w:val="005B1617"/>
    <w:rsid w:val="005B177A"/>
    <w:rsid w:val="005B1D85"/>
    <w:rsid w:val="005B1E7A"/>
    <w:rsid w:val="005B2073"/>
    <w:rsid w:val="005B21C6"/>
    <w:rsid w:val="005B2223"/>
    <w:rsid w:val="005B222C"/>
    <w:rsid w:val="005B287E"/>
    <w:rsid w:val="005B2939"/>
    <w:rsid w:val="005B2C71"/>
    <w:rsid w:val="005B2E7C"/>
    <w:rsid w:val="005B3055"/>
    <w:rsid w:val="005B31BA"/>
    <w:rsid w:val="005B36BD"/>
    <w:rsid w:val="005B3791"/>
    <w:rsid w:val="005B38B0"/>
    <w:rsid w:val="005B391F"/>
    <w:rsid w:val="005B45E4"/>
    <w:rsid w:val="005B5377"/>
    <w:rsid w:val="005B5696"/>
    <w:rsid w:val="005B59DA"/>
    <w:rsid w:val="005B5CE0"/>
    <w:rsid w:val="005B6264"/>
    <w:rsid w:val="005B63AC"/>
    <w:rsid w:val="005B67D0"/>
    <w:rsid w:val="005B6D63"/>
    <w:rsid w:val="005B6D99"/>
    <w:rsid w:val="005B6F76"/>
    <w:rsid w:val="005B6FD8"/>
    <w:rsid w:val="005B7245"/>
    <w:rsid w:val="005B7B20"/>
    <w:rsid w:val="005B7D2B"/>
    <w:rsid w:val="005C078E"/>
    <w:rsid w:val="005C0914"/>
    <w:rsid w:val="005C099C"/>
    <w:rsid w:val="005C118F"/>
    <w:rsid w:val="005C12BF"/>
    <w:rsid w:val="005C162D"/>
    <w:rsid w:val="005C1673"/>
    <w:rsid w:val="005C17A3"/>
    <w:rsid w:val="005C17AE"/>
    <w:rsid w:val="005C1866"/>
    <w:rsid w:val="005C1BF9"/>
    <w:rsid w:val="005C1CA4"/>
    <w:rsid w:val="005C1D1B"/>
    <w:rsid w:val="005C1D40"/>
    <w:rsid w:val="005C1D4B"/>
    <w:rsid w:val="005C2216"/>
    <w:rsid w:val="005C2453"/>
    <w:rsid w:val="005C26C4"/>
    <w:rsid w:val="005C2B54"/>
    <w:rsid w:val="005C2B61"/>
    <w:rsid w:val="005C2FF3"/>
    <w:rsid w:val="005C327B"/>
    <w:rsid w:val="005C342D"/>
    <w:rsid w:val="005C3AD2"/>
    <w:rsid w:val="005C3AEA"/>
    <w:rsid w:val="005C3AF6"/>
    <w:rsid w:val="005C3BB2"/>
    <w:rsid w:val="005C3CC3"/>
    <w:rsid w:val="005C44C9"/>
    <w:rsid w:val="005C487F"/>
    <w:rsid w:val="005C4CB5"/>
    <w:rsid w:val="005C4CD9"/>
    <w:rsid w:val="005C4CF8"/>
    <w:rsid w:val="005C503B"/>
    <w:rsid w:val="005C507A"/>
    <w:rsid w:val="005C5632"/>
    <w:rsid w:val="005C5703"/>
    <w:rsid w:val="005C5CDE"/>
    <w:rsid w:val="005C65ED"/>
    <w:rsid w:val="005C6704"/>
    <w:rsid w:val="005C690D"/>
    <w:rsid w:val="005C70E0"/>
    <w:rsid w:val="005C7676"/>
    <w:rsid w:val="005C769B"/>
    <w:rsid w:val="005C7716"/>
    <w:rsid w:val="005C7E06"/>
    <w:rsid w:val="005D0050"/>
    <w:rsid w:val="005D0883"/>
    <w:rsid w:val="005D0951"/>
    <w:rsid w:val="005D0E9E"/>
    <w:rsid w:val="005D103C"/>
    <w:rsid w:val="005D10BD"/>
    <w:rsid w:val="005D1134"/>
    <w:rsid w:val="005D128B"/>
    <w:rsid w:val="005D1312"/>
    <w:rsid w:val="005D1548"/>
    <w:rsid w:val="005D15C9"/>
    <w:rsid w:val="005D194B"/>
    <w:rsid w:val="005D1BD2"/>
    <w:rsid w:val="005D1C0E"/>
    <w:rsid w:val="005D2181"/>
    <w:rsid w:val="005D2DCF"/>
    <w:rsid w:val="005D3193"/>
    <w:rsid w:val="005D3687"/>
    <w:rsid w:val="005D38E3"/>
    <w:rsid w:val="005D3D4D"/>
    <w:rsid w:val="005D3D7A"/>
    <w:rsid w:val="005D40D0"/>
    <w:rsid w:val="005D4787"/>
    <w:rsid w:val="005D4D3D"/>
    <w:rsid w:val="005D500D"/>
    <w:rsid w:val="005D51B9"/>
    <w:rsid w:val="005D54E5"/>
    <w:rsid w:val="005D5796"/>
    <w:rsid w:val="005D597F"/>
    <w:rsid w:val="005D5C44"/>
    <w:rsid w:val="005D5D45"/>
    <w:rsid w:val="005D6034"/>
    <w:rsid w:val="005D62AD"/>
    <w:rsid w:val="005D636E"/>
    <w:rsid w:val="005D63BB"/>
    <w:rsid w:val="005D6487"/>
    <w:rsid w:val="005D6643"/>
    <w:rsid w:val="005D6993"/>
    <w:rsid w:val="005D6AD0"/>
    <w:rsid w:val="005D7117"/>
    <w:rsid w:val="005D7505"/>
    <w:rsid w:val="005D762C"/>
    <w:rsid w:val="005D7C28"/>
    <w:rsid w:val="005E02CB"/>
    <w:rsid w:val="005E04F7"/>
    <w:rsid w:val="005E0BE1"/>
    <w:rsid w:val="005E1174"/>
    <w:rsid w:val="005E11DE"/>
    <w:rsid w:val="005E1729"/>
    <w:rsid w:val="005E1770"/>
    <w:rsid w:val="005E1C18"/>
    <w:rsid w:val="005E260C"/>
    <w:rsid w:val="005E276A"/>
    <w:rsid w:val="005E2827"/>
    <w:rsid w:val="005E2E92"/>
    <w:rsid w:val="005E2F17"/>
    <w:rsid w:val="005E2FA1"/>
    <w:rsid w:val="005E30DE"/>
    <w:rsid w:val="005E31ED"/>
    <w:rsid w:val="005E33F3"/>
    <w:rsid w:val="005E3617"/>
    <w:rsid w:val="005E3A17"/>
    <w:rsid w:val="005E3A51"/>
    <w:rsid w:val="005E3DB1"/>
    <w:rsid w:val="005E3E6E"/>
    <w:rsid w:val="005E4188"/>
    <w:rsid w:val="005E4380"/>
    <w:rsid w:val="005E494D"/>
    <w:rsid w:val="005E4A6E"/>
    <w:rsid w:val="005E514E"/>
    <w:rsid w:val="005E55D1"/>
    <w:rsid w:val="005E56B5"/>
    <w:rsid w:val="005E6B7C"/>
    <w:rsid w:val="005E6C7C"/>
    <w:rsid w:val="005E6C8F"/>
    <w:rsid w:val="005E6CD7"/>
    <w:rsid w:val="005E7036"/>
    <w:rsid w:val="005E7A51"/>
    <w:rsid w:val="005E7AD1"/>
    <w:rsid w:val="005E7B21"/>
    <w:rsid w:val="005F0109"/>
    <w:rsid w:val="005F06FB"/>
    <w:rsid w:val="005F0B4F"/>
    <w:rsid w:val="005F0BE1"/>
    <w:rsid w:val="005F113E"/>
    <w:rsid w:val="005F1274"/>
    <w:rsid w:val="005F174C"/>
    <w:rsid w:val="005F1B75"/>
    <w:rsid w:val="005F215C"/>
    <w:rsid w:val="005F217A"/>
    <w:rsid w:val="005F24BD"/>
    <w:rsid w:val="005F2789"/>
    <w:rsid w:val="005F2AEE"/>
    <w:rsid w:val="005F2D15"/>
    <w:rsid w:val="005F30A8"/>
    <w:rsid w:val="005F3858"/>
    <w:rsid w:val="005F3DE9"/>
    <w:rsid w:val="005F409B"/>
    <w:rsid w:val="005F417D"/>
    <w:rsid w:val="005F42FE"/>
    <w:rsid w:val="005F4678"/>
    <w:rsid w:val="005F48B0"/>
    <w:rsid w:val="005F4A4A"/>
    <w:rsid w:val="005F4A99"/>
    <w:rsid w:val="005F50AE"/>
    <w:rsid w:val="005F54BC"/>
    <w:rsid w:val="005F5787"/>
    <w:rsid w:val="005F5C7C"/>
    <w:rsid w:val="005F5DDE"/>
    <w:rsid w:val="005F5FBA"/>
    <w:rsid w:val="005F6148"/>
    <w:rsid w:val="005F65F0"/>
    <w:rsid w:val="005F68BF"/>
    <w:rsid w:val="005F717B"/>
    <w:rsid w:val="005F720B"/>
    <w:rsid w:val="005F7642"/>
    <w:rsid w:val="005F7A1E"/>
    <w:rsid w:val="005F7D51"/>
    <w:rsid w:val="006004A8"/>
    <w:rsid w:val="006009D7"/>
    <w:rsid w:val="00600BB2"/>
    <w:rsid w:val="00600F2D"/>
    <w:rsid w:val="00601003"/>
    <w:rsid w:val="00601712"/>
    <w:rsid w:val="00601EBF"/>
    <w:rsid w:val="006020C2"/>
    <w:rsid w:val="00602200"/>
    <w:rsid w:val="00602372"/>
    <w:rsid w:val="006026BC"/>
    <w:rsid w:val="00602E94"/>
    <w:rsid w:val="006032A0"/>
    <w:rsid w:val="00603441"/>
    <w:rsid w:val="00603642"/>
    <w:rsid w:val="00603AC7"/>
    <w:rsid w:val="0060427B"/>
    <w:rsid w:val="006045E3"/>
    <w:rsid w:val="00604948"/>
    <w:rsid w:val="006049F9"/>
    <w:rsid w:val="006050B5"/>
    <w:rsid w:val="006050CE"/>
    <w:rsid w:val="0060544F"/>
    <w:rsid w:val="006054A8"/>
    <w:rsid w:val="006054D4"/>
    <w:rsid w:val="0060563F"/>
    <w:rsid w:val="00605B6E"/>
    <w:rsid w:val="00606085"/>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EC1"/>
    <w:rsid w:val="00611B15"/>
    <w:rsid w:val="00611DB6"/>
    <w:rsid w:val="00611E56"/>
    <w:rsid w:val="006125E5"/>
    <w:rsid w:val="006126E1"/>
    <w:rsid w:val="00612A6D"/>
    <w:rsid w:val="006132FF"/>
    <w:rsid w:val="006137C2"/>
    <w:rsid w:val="00613B68"/>
    <w:rsid w:val="006143D2"/>
    <w:rsid w:val="006144A5"/>
    <w:rsid w:val="00614D0C"/>
    <w:rsid w:val="00614E7D"/>
    <w:rsid w:val="00614EB6"/>
    <w:rsid w:val="00614F77"/>
    <w:rsid w:val="00615613"/>
    <w:rsid w:val="006158E6"/>
    <w:rsid w:val="00615903"/>
    <w:rsid w:val="00615EF4"/>
    <w:rsid w:val="00616195"/>
    <w:rsid w:val="00616474"/>
    <w:rsid w:val="0061647F"/>
    <w:rsid w:val="0061670C"/>
    <w:rsid w:val="00616804"/>
    <w:rsid w:val="00616A0F"/>
    <w:rsid w:val="00616D68"/>
    <w:rsid w:val="00617336"/>
    <w:rsid w:val="006174A5"/>
    <w:rsid w:val="00617666"/>
    <w:rsid w:val="00617DAF"/>
    <w:rsid w:val="00620C68"/>
    <w:rsid w:val="00620D77"/>
    <w:rsid w:val="00620DDB"/>
    <w:rsid w:val="00620F08"/>
    <w:rsid w:val="00621D96"/>
    <w:rsid w:val="00621E06"/>
    <w:rsid w:val="00622165"/>
    <w:rsid w:val="0062230D"/>
    <w:rsid w:val="00622469"/>
    <w:rsid w:val="00622511"/>
    <w:rsid w:val="00622607"/>
    <w:rsid w:val="006226A4"/>
    <w:rsid w:val="00622B50"/>
    <w:rsid w:val="00622E2D"/>
    <w:rsid w:val="00623023"/>
    <w:rsid w:val="0062310D"/>
    <w:rsid w:val="00623548"/>
    <w:rsid w:val="0062381F"/>
    <w:rsid w:val="00623930"/>
    <w:rsid w:val="00623939"/>
    <w:rsid w:val="00624111"/>
    <w:rsid w:val="006241F3"/>
    <w:rsid w:val="00624946"/>
    <w:rsid w:val="00624CCF"/>
    <w:rsid w:val="00624EBF"/>
    <w:rsid w:val="00624F86"/>
    <w:rsid w:val="00624FDC"/>
    <w:rsid w:val="00625937"/>
    <w:rsid w:val="00625E4E"/>
    <w:rsid w:val="006260EB"/>
    <w:rsid w:val="00626341"/>
    <w:rsid w:val="00626479"/>
    <w:rsid w:val="006269AF"/>
    <w:rsid w:val="00626CD1"/>
    <w:rsid w:val="00626D8D"/>
    <w:rsid w:val="00627632"/>
    <w:rsid w:val="00627A8A"/>
    <w:rsid w:val="00627D4C"/>
    <w:rsid w:val="00627E64"/>
    <w:rsid w:val="00627F1A"/>
    <w:rsid w:val="006301E6"/>
    <w:rsid w:val="0063056A"/>
    <w:rsid w:val="006308F8"/>
    <w:rsid w:val="00630CC9"/>
    <w:rsid w:val="00630EA7"/>
    <w:rsid w:val="00630F38"/>
    <w:rsid w:val="0063104B"/>
    <w:rsid w:val="0063161B"/>
    <w:rsid w:val="006316EE"/>
    <w:rsid w:val="006318CE"/>
    <w:rsid w:val="00631994"/>
    <w:rsid w:val="006321BD"/>
    <w:rsid w:val="00632E5F"/>
    <w:rsid w:val="00633109"/>
    <w:rsid w:val="0063310B"/>
    <w:rsid w:val="0063361E"/>
    <w:rsid w:val="0063378C"/>
    <w:rsid w:val="0063387D"/>
    <w:rsid w:val="006339FE"/>
    <w:rsid w:val="006340A1"/>
    <w:rsid w:val="006343F5"/>
    <w:rsid w:val="006344CE"/>
    <w:rsid w:val="006349E6"/>
    <w:rsid w:val="00634A25"/>
    <w:rsid w:val="00634A2C"/>
    <w:rsid w:val="00634A42"/>
    <w:rsid w:val="00634B58"/>
    <w:rsid w:val="00634E37"/>
    <w:rsid w:val="00634E60"/>
    <w:rsid w:val="00634FAC"/>
    <w:rsid w:val="00635090"/>
    <w:rsid w:val="00635829"/>
    <w:rsid w:val="006358D9"/>
    <w:rsid w:val="0063630E"/>
    <w:rsid w:val="00636707"/>
    <w:rsid w:val="00636751"/>
    <w:rsid w:val="00636B84"/>
    <w:rsid w:val="00636DFA"/>
    <w:rsid w:val="00637378"/>
    <w:rsid w:val="0063751E"/>
    <w:rsid w:val="00637BA6"/>
    <w:rsid w:val="00640369"/>
    <w:rsid w:val="006403C3"/>
    <w:rsid w:val="00640500"/>
    <w:rsid w:val="0064099C"/>
    <w:rsid w:val="00640E87"/>
    <w:rsid w:val="00640F24"/>
    <w:rsid w:val="006410EC"/>
    <w:rsid w:val="006412C3"/>
    <w:rsid w:val="00641ABF"/>
    <w:rsid w:val="00641ACD"/>
    <w:rsid w:val="00641B0F"/>
    <w:rsid w:val="00641E04"/>
    <w:rsid w:val="00642394"/>
    <w:rsid w:val="00643003"/>
    <w:rsid w:val="006431DC"/>
    <w:rsid w:val="00643B0A"/>
    <w:rsid w:val="00643B98"/>
    <w:rsid w:val="00643E58"/>
    <w:rsid w:val="00643F8C"/>
    <w:rsid w:val="006441D6"/>
    <w:rsid w:val="00644208"/>
    <w:rsid w:val="006442C4"/>
    <w:rsid w:val="00644683"/>
    <w:rsid w:val="0064481D"/>
    <w:rsid w:val="00644821"/>
    <w:rsid w:val="0064524F"/>
    <w:rsid w:val="0064557B"/>
    <w:rsid w:val="00645788"/>
    <w:rsid w:val="006458D3"/>
    <w:rsid w:val="00645906"/>
    <w:rsid w:val="00645CAD"/>
    <w:rsid w:val="00645CCB"/>
    <w:rsid w:val="00645D09"/>
    <w:rsid w:val="00645DA2"/>
    <w:rsid w:val="00645DBD"/>
    <w:rsid w:val="00645F51"/>
    <w:rsid w:val="00645FFD"/>
    <w:rsid w:val="00646183"/>
    <w:rsid w:val="006465BF"/>
    <w:rsid w:val="0064692C"/>
    <w:rsid w:val="00646C94"/>
    <w:rsid w:val="00647005"/>
    <w:rsid w:val="0064740E"/>
    <w:rsid w:val="00647C08"/>
    <w:rsid w:val="00647F8A"/>
    <w:rsid w:val="00650160"/>
    <w:rsid w:val="0065029C"/>
    <w:rsid w:val="00650506"/>
    <w:rsid w:val="00650569"/>
    <w:rsid w:val="00650CB3"/>
    <w:rsid w:val="0065110D"/>
    <w:rsid w:val="006511A3"/>
    <w:rsid w:val="00651744"/>
    <w:rsid w:val="0065189B"/>
    <w:rsid w:val="00651C9E"/>
    <w:rsid w:val="006520A9"/>
    <w:rsid w:val="00652147"/>
    <w:rsid w:val="0065338B"/>
    <w:rsid w:val="006535EF"/>
    <w:rsid w:val="0065360F"/>
    <w:rsid w:val="00653751"/>
    <w:rsid w:val="0065413C"/>
    <w:rsid w:val="006541F3"/>
    <w:rsid w:val="00654551"/>
    <w:rsid w:val="00654AF0"/>
    <w:rsid w:val="00654C78"/>
    <w:rsid w:val="00654D9C"/>
    <w:rsid w:val="00654EFC"/>
    <w:rsid w:val="00655379"/>
    <w:rsid w:val="00655C27"/>
    <w:rsid w:val="00655E08"/>
    <w:rsid w:val="00656463"/>
    <w:rsid w:val="00656468"/>
    <w:rsid w:val="00656577"/>
    <w:rsid w:val="00656A23"/>
    <w:rsid w:val="00656C3B"/>
    <w:rsid w:val="00656D7C"/>
    <w:rsid w:val="00656E5D"/>
    <w:rsid w:val="00657261"/>
    <w:rsid w:val="00660172"/>
    <w:rsid w:val="00660CA7"/>
    <w:rsid w:val="00661138"/>
    <w:rsid w:val="006612A8"/>
    <w:rsid w:val="006617EA"/>
    <w:rsid w:val="00661B90"/>
    <w:rsid w:val="00661C92"/>
    <w:rsid w:val="00661CD7"/>
    <w:rsid w:val="00661F60"/>
    <w:rsid w:val="00662B44"/>
    <w:rsid w:val="00662F63"/>
    <w:rsid w:val="00663489"/>
    <w:rsid w:val="00663499"/>
    <w:rsid w:val="00664062"/>
    <w:rsid w:val="006640BC"/>
    <w:rsid w:val="0066472E"/>
    <w:rsid w:val="006648C5"/>
    <w:rsid w:val="00664B69"/>
    <w:rsid w:val="00664CFF"/>
    <w:rsid w:val="00665085"/>
    <w:rsid w:val="006650A9"/>
    <w:rsid w:val="006657B6"/>
    <w:rsid w:val="00665C22"/>
    <w:rsid w:val="00665E97"/>
    <w:rsid w:val="00666728"/>
    <w:rsid w:val="00666770"/>
    <w:rsid w:val="006667AB"/>
    <w:rsid w:val="0066688B"/>
    <w:rsid w:val="00666A4D"/>
    <w:rsid w:val="00666BFD"/>
    <w:rsid w:val="00667048"/>
    <w:rsid w:val="006671C3"/>
    <w:rsid w:val="0066733D"/>
    <w:rsid w:val="006674A0"/>
    <w:rsid w:val="006678A6"/>
    <w:rsid w:val="00667965"/>
    <w:rsid w:val="006700A1"/>
    <w:rsid w:val="006700EB"/>
    <w:rsid w:val="0067016D"/>
    <w:rsid w:val="00670740"/>
    <w:rsid w:val="00670765"/>
    <w:rsid w:val="00670789"/>
    <w:rsid w:val="00670AD9"/>
    <w:rsid w:val="00670D75"/>
    <w:rsid w:val="006713E2"/>
    <w:rsid w:val="0067151D"/>
    <w:rsid w:val="006715CE"/>
    <w:rsid w:val="006715DA"/>
    <w:rsid w:val="0067166C"/>
    <w:rsid w:val="00671972"/>
    <w:rsid w:val="006719DF"/>
    <w:rsid w:val="00671FC0"/>
    <w:rsid w:val="00672017"/>
    <w:rsid w:val="00672144"/>
    <w:rsid w:val="0067235E"/>
    <w:rsid w:val="006723DA"/>
    <w:rsid w:val="00672B84"/>
    <w:rsid w:val="00672E5B"/>
    <w:rsid w:val="00672F2D"/>
    <w:rsid w:val="006735B5"/>
    <w:rsid w:val="006738BA"/>
    <w:rsid w:val="00673FBA"/>
    <w:rsid w:val="0067401C"/>
    <w:rsid w:val="00674064"/>
    <w:rsid w:val="00674244"/>
    <w:rsid w:val="006745B3"/>
    <w:rsid w:val="0067476B"/>
    <w:rsid w:val="00674820"/>
    <w:rsid w:val="00675071"/>
    <w:rsid w:val="006751CA"/>
    <w:rsid w:val="00675274"/>
    <w:rsid w:val="00675448"/>
    <w:rsid w:val="006757E9"/>
    <w:rsid w:val="00675BDA"/>
    <w:rsid w:val="00675E15"/>
    <w:rsid w:val="00675FE0"/>
    <w:rsid w:val="00676283"/>
    <w:rsid w:val="00676302"/>
    <w:rsid w:val="0067631B"/>
    <w:rsid w:val="00676345"/>
    <w:rsid w:val="0067638B"/>
    <w:rsid w:val="00676471"/>
    <w:rsid w:val="0067656A"/>
    <w:rsid w:val="006766D1"/>
    <w:rsid w:val="0067684E"/>
    <w:rsid w:val="0067688E"/>
    <w:rsid w:val="006772DD"/>
    <w:rsid w:val="00677540"/>
    <w:rsid w:val="00677928"/>
    <w:rsid w:val="006779F7"/>
    <w:rsid w:val="00677EB1"/>
    <w:rsid w:val="0068002F"/>
    <w:rsid w:val="0068079F"/>
    <w:rsid w:val="00680CC1"/>
    <w:rsid w:val="00680CFD"/>
    <w:rsid w:val="00680D1A"/>
    <w:rsid w:val="00681105"/>
    <w:rsid w:val="00681620"/>
    <w:rsid w:val="00681639"/>
    <w:rsid w:val="00681714"/>
    <w:rsid w:val="00681BF1"/>
    <w:rsid w:val="00681C35"/>
    <w:rsid w:val="00681EBF"/>
    <w:rsid w:val="00682886"/>
    <w:rsid w:val="00682B81"/>
    <w:rsid w:val="00682B89"/>
    <w:rsid w:val="00682C89"/>
    <w:rsid w:val="00682D28"/>
    <w:rsid w:val="00682DBC"/>
    <w:rsid w:val="006830FF"/>
    <w:rsid w:val="006832A5"/>
    <w:rsid w:val="00683CBF"/>
    <w:rsid w:val="00683D62"/>
    <w:rsid w:val="00683EC2"/>
    <w:rsid w:val="006841D2"/>
    <w:rsid w:val="00684410"/>
    <w:rsid w:val="00684789"/>
    <w:rsid w:val="006847BB"/>
    <w:rsid w:val="00684E94"/>
    <w:rsid w:val="00684FB7"/>
    <w:rsid w:val="0068503D"/>
    <w:rsid w:val="006855C7"/>
    <w:rsid w:val="00685600"/>
    <w:rsid w:val="00685AB9"/>
    <w:rsid w:val="0068637F"/>
    <w:rsid w:val="0068643A"/>
    <w:rsid w:val="006865A8"/>
    <w:rsid w:val="006867C5"/>
    <w:rsid w:val="0068689A"/>
    <w:rsid w:val="006872CF"/>
    <w:rsid w:val="00687419"/>
    <w:rsid w:val="006874AB"/>
    <w:rsid w:val="00687921"/>
    <w:rsid w:val="00687F75"/>
    <w:rsid w:val="00690198"/>
    <w:rsid w:val="006901B5"/>
    <w:rsid w:val="0069020F"/>
    <w:rsid w:val="0069033C"/>
    <w:rsid w:val="00690426"/>
    <w:rsid w:val="006904BF"/>
    <w:rsid w:val="00690DA0"/>
    <w:rsid w:val="00690FEE"/>
    <w:rsid w:val="00691529"/>
    <w:rsid w:val="0069154C"/>
    <w:rsid w:val="006916AE"/>
    <w:rsid w:val="0069184A"/>
    <w:rsid w:val="006918C6"/>
    <w:rsid w:val="00691C5D"/>
    <w:rsid w:val="006924EF"/>
    <w:rsid w:val="006927F1"/>
    <w:rsid w:val="00692925"/>
    <w:rsid w:val="00692AEE"/>
    <w:rsid w:val="0069316E"/>
    <w:rsid w:val="0069381D"/>
    <w:rsid w:val="00693A8F"/>
    <w:rsid w:val="00693F9D"/>
    <w:rsid w:val="00694218"/>
    <w:rsid w:val="00694551"/>
    <w:rsid w:val="006945D1"/>
    <w:rsid w:val="00694A36"/>
    <w:rsid w:val="00694CD4"/>
    <w:rsid w:val="00694CFA"/>
    <w:rsid w:val="00695E40"/>
    <w:rsid w:val="006961B8"/>
    <w:rsid w:val="00696382"/>
    <w:rsid w:val="00696775"/>
    <w:rsid w:val="00696A46"/>
    <w:rsid w:val="00696A58"/>
    <w:rsid w:val="00696BB4"/>
    <w:rsid w:val="00696CCF"/>
    <w:rsid w:val="00696D26"/>
    <w:rsid w:val="00696DBA"/>
    <w:rsid w:val="00696FE6"/>
    <w:rsid w:val="006971AB"/>
    <w:rsid w:val="006972C3"/>
    <w:rsid w:val="00697670"/>
    <w:rsid w:val="006976D2"/>
    <w:rsid w:val="006976F9"/>
    <w:rsid w:val="0069799B"/>
    <w:rsid w:val="006979A3"/>
    <w:rsid w:val="006A011E"/>
    <w:rsid w:val="006A04C8"/>
    <w:rsid w:val="006A06B0"/>
    <w:rsid w:val="006A0B47"/>
    <w:rsid w:val="006A142D"/>
    <w:rsid w:val="006A16C5"/>
    <w:rsid w:val="006A1867"/>
    <w:rsid w:val="006A243E"/>
    <w:rsid w:val="006A2535"/>
    <w:rsid w:val="006A28F8"/>
    <w:rsid w:val="006A307C"/>
    <w:rsid w:val="006A31D1"/>
    <w:rsid w:val="006A3201"/>
    <w:rsid w:val="006A39B7"/>
    <w:rsid w:val="006A3C19"/>
    <w:rsid w:val="006A3C50"/>
    <w:rsid w:val="006A3E9E"/>
    <w:rsid w:val="006A41D4"/>
    <w:rsid w:val="006A42D2"/>
    <w:rsid w:val="006A43F5"/>
    <w:rsid w:val="006A4757"/>
    <w:rsid w:val="006A4784"/>
    <w:rsid w:val="006A581E"/>
    <w:rsid w:val="006A5B01"/>
    <w:rsid w:val="006A5B6D"/>
    <w:rsid w:val="006A5F4E"/>
    <w:rsid w:val="006A6255"/>
    <w:rsid w:val="006A63CC"/>
    <w:rsid w:val="006A69B2"/>
    <w:rsid w:val="006A6AEB"/>
    <w:rsid w:val="006A75C2"/>
    <w:rsid w:val="006A7F7B"/>
    <w:rsid w:val="006A7F7F"/>
    <w:rsid w:val="006B0072"/>
    <w:rsid w:val="006B017F"/>
    <w:rsid w:val="006B094F"/>
    <w:rsid w:val="006B0D0C"/>
    <w:rsid w:val="006B0EF8"/>
    <w:rsid w:val="006B1060"/>
    <w:rsid w:val="006B1235"/>
    <w:rsid w:val="006B13FB"/>
    <w:rsid w:val="006B1A08"/>
    <w:rsid w:val="006B1D0C"/>
    <w:rsid w:val="006B1D93"/>
    <w:rsid w:val="006B221F"/>
    <w:rsid w:val="006B228D"/>
    <w:rsid w:val="006B23E4"/>
    <w:rsid w:val="006B264D"/>
    <w:rsid w:val="006B284F"/>
    <w:rsid w:val="006B28B4"/>
    <w:rsid w:val="006B2993"/>
    <w:rsid w:val="006B2B96"/>
    <w:rsid w:val="006B2C3B"/>
    <w:rsid w:val="006B32E3"/>
    <w:rsid w:val="006B3547"/>
    <w:rsid w:val="006B4072"/>
    <w:rsid w:val="006B46AE"/>
    <w:rsid w:val="006B46F5"/>
    <w:rsid w:val="006B4E61"/>
    <w:rsid w:val="006B4E87"/>
    <w:rsid w:val="006B5172"/>
    <w:rsid w:val="006B5373"/>
    <w:rsid w:val="006B57AD"/>
    <w:rsid w:val="006B5CFC"/>
    <w:rsid w:val="006B5F0B"/>
    <w:rsid w:val="006B6202"/>
    <w:rsid w:val="006B621B"/>
    <w:rsid w:val="006B645A"/>
    <w:rsid w:val="006B669B"/>
    <w:rsid w:val="006B6704"/>
    <w:rsid w:val="006B68A0"/>
    <w:rsid w:val="006B699D"/>
    <w:rsid w:val="006B6BDB"/>
    <w:rsid w:val="006B6D76"/>
    <w:rsid w:val="006B6EFC"/>
    <w:rsid w:val="006B7076"/>
    <w:rsid w:val="006B7409"/>
    <w:rsid w:val="006B7551"/>
    <w:rsid w:val="006B7664"/>
    <w:rsid w:val="006B7BB4"/>
    <w:rsid w:val="006B7BB5"/>
    <w:rsid w:val="006B7C3F"/>
    <w:rsid w:val="006C0232"/>
    <w:rsid w:val="006C026F"/>
    <w:rsid w:val="006C0500"/>
    <w:rsid w:val="006C080D"/>
    <w:rsid w:val="006C0DBC"/>
    <w:rsid w:val="006C0F61"/>
    <w:rsid w:val="006C1065"/>
    <w:rsid w:val="006C1461"/>
    <w:rsid w:val="006C1787"/>
    <w:rsid w:val="006C19DE"/>
    <w:rsid w:val="006C1BF1"/>
    <w:rsid w:val="006C1C08"/>
    <w:rsid w:val="006C2066"/>
    <w:rsid w:val="006C2530"/>
    <w:rsid w:val="006C2B82"/>
    <w:rsid w:val="006C2BAB"/>
    <w:rsid w:val="006C2CB3"/>
    <w:rsid w:val="006C31BC"/>
    <w:rsid w:val="006C37CA"/>
    <w:rsid w:val="006C3BD7"/>
    <w:rsid w:val="006C3CDA"/>
    <w:rsid w:val="006C3CED"/>
    <w:rsid w:val="006C3E9E"/>
    <w:rsid w:val="006C3ED0"/>
    <w:rsid w:val="006C4B9A"/>
    <w:rsid w:val="006C5142"/>
    <w:rsid w:val="006C51E7"/>
    <w:rsid w:val="006C52BE"/>
    <w:rsid w:val="006C54B1"/>
    <w:rsid w:val="006C5582"/>
    <w:rsid w:val="006C5753"/>
    <w:rsid w:val="006C5B8E"/>
    <w:rsid w:val="006C5B96"/>
    <w:rsid w:val="006C61CE"/>
    <w:rsid w:val="006C67E7"/>
    <w:rsid w:val="006C6C79"/>
    <w:rsid w:val="006C6F00"/>
    <w:rsid w:val="006C70D9"/>
    <w:rsid w:val="006C7AFD"/>
    <w:rsid w:val="006C7B64"/>
    <w:rsid w:val="006C7B90"/>
    <w:rsid w:val="006D0006"/>
    <w:rsid w:val="006D00A1"/>
    <w:rsid w:val="006D0164"/>
    <w:rsid w:val="006D068A"/>
    <w:rsid w:val="006D0A96"/>
    <w:rsid w:val="006D0A9D"/>
    <w:rsid w:val="006D0B79"/>
    <w:rsid w:val="006D101A"/>
    <w:rsid w:val="006D1303"/>
    <w:rsid w:val="006D1371"/>
    <w:rsid w:val="006D1571"/>
    <w:rsid w:val="006D1718"/>
    <w:rsid w:val="006D1B84"/>
    <w:rsid w:val="006D1FCC"/>
    <w:rsid w:val="006D2187"/>
    <w:rsid w:val="006D23DF"/>
    <w:rsid w:val="006D290B"/>
    <w:rsid w:val="006D2ABA"/>
    <w:rsid w:val="006D2F1A"/>
    <w:rsid w:val="006D2F2F"/>
    <w:rsid w:val="006D2FCA"/>
    <w:rsid w:val="006D30C1"/>
    <w:rsid w:val="006D382C"/>
    <w:rsid w:val="006D3B8F"/>
    <w:rsid w:val="006D3F61"/>
    <w:rsid w:val="006D3F7D"/>
    <w:rsid w:val="006D3FED"/>
    <w:rsid w:val="006D41DD"/>
    <w:rsid w:val="006D4536"/>
    <w:rsid w:val="006D46C4"/>
    <w:rsid w:val="006D4908"/>
    <w:rsid w:val="006D4916"/>
    <w:rsid w:val="006D4D88"/>
    <w:rsid w:val="006D5188"/>
    <w:rsid w:val="006D5591"/>
    <w:rsid w:val="006D57CE"/>
    <w:rsid w:val="006D57F3"/>
    <w:rsid w:val="006D5CBC"/>
    <w:rsid w:val="006D5F68"/>
    <w:rsid w:val="006D6276"/>
    <w:rsid w:val="006D6599"/>
    <w:rsid w:val="006D66BF"/>
    <w:rsid w:val="006D7299"/>
    <w:rsid w:val="006D73DA"/>
    <w:rsid w:val="006D73DC"/>
    <w:rsid w:val="006D74D0"/>
    <w:rsid w:val="006D75D2"/>
    <w:rsid w:val="006D7945"/>
    <w:rsid w:val="006E028C"/>
    <w:rsid w:val="006E04BC"/>
    <w:rsid w:val="006E0AA6"/>
    <w:rsid w:val="006E0C96"/>
    <w:rsid w:val="006E0E94"/>
    <w:rsid w:val="006E1C7F"/>
    <w:rsid w:val="006E1E58"/>
    <w:rsid w:val="006E201B"/>
    <w:rsid w:val="006E22B0"/>
    <w:rsid w:val="006E23E8"/>
    <w:rsid w:val="006E24F4"/>
    <w:rsid w:val="006E2559"/>
    <w:rsid w:val="006E2922"/>
    <w:rsid w:val="006E2DCE"/>
    <w:rsid w:val="006E2EC2"/>
    <w:rsid w:val="006E3141"/>
    <w:rsid w:val="006E31BC"/>
    <w:rsid w:val="006E32E7"/>
    <w:rsid w:val="006E3BF5"/>
    <w:rsid w:val="006E4045"/>
    <w:rsid w:val="006E4479"/>
    <w:rsid w:val="006E464E"/>
    <w:rsid w:val="006E48D5"/>
    <w:rsid w:val="006E495D"/>
    <w:rsid w:val="006E4C56"/>
    <w:rsid w:val="006E4C81"/>
    <w:rsid w:val="006E4D05"/>
    <w:rsid w:val="006E4D28"/>
    <w:rsid w:val="006E4E11"/>
    <w:rsid w:val="006E4E75"/>
    <w:rsid w:val="006E4EA6"/>
    <w:rsid w:val="006E4F56"/>
    <w:rsid w:val="006E4F85"/>
    <w:rsid w:val="006E537C"/>
    <w:rsid w:val="006E5A0B"/>
    <w:rsid w:val="006E5CD2"/>
    <w:rsid w:val="006E5F14"/>
    <w:rsid w:val="006E5FA4"/>
    <w:rsid w:val="006E6060"/>
    <w:rsid w:val="006E618A"/>
    <w:rsid w:val="006E6904"/>
    <w:rsid w:val="006E6A64"/>
    <w:rsid w:val="006E6A6A"/>
    <w:rsid w:val="006E70E3"/>
    <w:rsid w:val="006E732F"/>
    <w:rsid w:val="006E7418"/>
    <w:rsid w:val="006E744A"/>
    <w:rsid w:val="006E7875"/>
    <w:rsid w:val="006E7950"/>
    <w:rsid w:val="006E7A11"/>
    <w:rsid w:val="006E7EDB"/>
    <w:rsid w:val="006F00F7"/>
    <w:rsid w:val="006F01A3"/>
    <w:rsid w:val="006F080C"/>
    <w:rsid w:val="006F0B61"/>
    <w:rsid w:val="006F0CC9"/>
    <w:rsid w:val="006F0E6D"/>
    <w:rsid w:val="006F1559"/>
    <w:rsid w:val="006F166C"/>
    <w:rsid w:val="006F1DCA"/>
    <w:rsid w:val="006F20D0"/>
    <w:rsid w:val="006F2149"/>
    <w:rsid w:val="006F23DB"/>
    <w:rsid w:val="006F247F"/>
    <w:rsid w:val="006F26B9"/>
    <w:rsid w:val="006F295A"/>
    <w:rsid w:val="006F2B54"/>
    <w:rsid w:val="006F2B84"/>
    <w:rsid w:val="006F3252"/>
    <w:rsid w:val="006F3308"/>
    <w:rsid w:val="006F380D"/>
    <w:rsid w:val="006F38B3"/>
    <w:rsid w:val="006F3B06"/>
    <w:rsid w:val="006F3EC5"/>
    <w:rsid w:val="006F3EFF"/>
    <w:rsid w:val="006F48AD"/>
    <w:rsid w:val="006F49D0"/>
    <w:rsid w:val="006F4B5D"/>
    <w:rsid w:val="006F4DFF"/>
    <w:rsid w:val="006F50FB"/>
    <w:rsid w:val="006F5119"/>
    <w:rsid w:val="006F531F"/>
    <w:rsid w:val="006F53C1"/>
    <w:rsid w:val="006F5434"/>
    <w:rsid w:val="006F6225"/>
    <w:rsid w:val="006F630B"/>
    <w:rsid w:val="006F63C4"/>
    <w:rsid w:val="006F63E2"/>
    <w:rsid w:val="006F65A0"/>
    <w:rsid w:val="006F65F1"/>
    <w:rsid w:val="006F6615"/>
    <w:rsid w:val="006F6AD0"/>
    <w:rsid w:val="006F7B59"/>
    <w:rsid w:val="006F7B7E"/>
    <w:rsid w:val="00700045"/>
    <w:rsid w:val="00700274"/>
    <w:rsid w:val="00700449"/>
    <w:rsid w:val="0070071C"/>
    <w:rsid w:val="00700F9E"/>
    <w:rsid w:val="00700FD1"/>
    <w:rsid w:val="00701705"/>
    <w:rsid w:val="00701D85"/>
    <w:rsid w:val="00701E48"/>
    <w:rsid w:val="00701FD4"/>
    <w:rsid w:val="00702047"/>
    <w:rsid w:val="007021F4"/>
    <w:rsid w:val="00702248"/>
    <w:rsid w:val="00702872"/>
    <w:rsid w:val="007028A5"/>
    <w:rsid w:val="00702C48"/>
    <w:rsid w:val="00702C49"/>
    <w:rsid w:val="00702EBC"/>
    <w:rsid w:val="00702FA5"/>
    <w:rsid w:val="007032C0"/>
    <w:rsid w:val="007034C9"/>
    <w:rsid w:val="007036F9"/>
    <w:rsid w:val="00703891"/>
    <w:rsid w:val="007039B1"/>
    <w:rsid w:val="007042BD"/>
    <w:rsid w:val="0070443F"/>
    <w:rsid w:val="007045CD"/>
    <w:rsid w:val="00704938"/>
    <w:rsid w:val="00704A3D"/>
    <w:rsid w:val="00704AD6"/>
    <w:rsid w:val="007054B1"/>
    <w:rsid w:val="00705576"/>
    <w:rsid w:val="00705676"/>
    <w:rsid w:val="007058B7"/>
    <w:rsid w:val="00705AF8"/>
    <w:rsid w:val="00705ED7"/>
    <w:rsid w:val="007060E4"/>
    <w:rsid w:val="00706159"/>
    <w:rsid w:val="00706977"/>
    <w:rsid w:val="00706984"/>
    <w:rsid w:val="00706B9F"/>
    <w:rsid w:val="00706BA4"/>
    <w:rsid w:val="00706DC6"/>
    <w:rsid w:val="00707171"/>
    <w:rsid w:val="0070733C"/>
    <w:rsid w:val="007073FC"/>
    <w:rsid w:val="007076E9"/>
    <w:rsid w:val="0070779B"/>
    <w:rsid w:val="00707826"/>
    <w:rsid w:val="007079F4"/>
    <w:rsid w:val="0071001A"/>
    <w:rsid w:val="0071026F"/>
    <w:rsid w:val="007102F9"/>
    <w:rsid w:val="0071031C"/>
    <w:rsid w:val="007106E3"/>
    <w:rsid w:val="00710BBE"/>
    <w:rsid w:val="00710E7F"/>
    <w:rsid w:val="007113D2"/>
    <w:rsid w:val="007114E5"/>
    <w:rsid w:val="00711873"/>
    <w:rsid w:val="00711C3A"/>
    <w:rsid w:val="00711DBE"/>
    <w:rsid w:val="007120E0"/>
    <w:rsid w:val="00712477"/>
    <w:rsid w:val="007129BF"/>
    <w:rsid w:val="00712C17"/>
    <w:rsid w:val="0071304C"/>
    <w:rsid w:val="007132AA"/>
    <w:rsid w:val="007135DF"/>
    <w:rsid w:val="007138FB"/>
    <w:rsid w:val="00713E02"/>
    <w:rsid w:val="007141D1"/>
    <w:rsid w:val="00714406"/>
    <w:rsid w:val="0071505E"/>
    <w:rsid w:val="00715363"/>
    <w:rsid w:val="00715507"/>
    <w:rsid w:val="007159BC"/>
    <w:rsid w:val="00715A0F"/>
    <w:rsid w:val="00715B02"/>
    <w:rsid w:val="00715C89"/>
    <w:rsid w:val="00717406"/>
    <w:rsid w:val="0071764A"/>
    <w:rsid w:val="00717660"/>
    <w:rsid w:val="007176C8"/>
    <w:rsid w:val="00717B48"/>
    <w:rsid w:val="00717ECA"/>
    <w:rsid w:val="00717F19"/>
    <w:rsid w:val="00720D0C"/>
    <w:rsid w:val="00720D3A"/>
    <w:rsid w:val="00721188"/>
    <w:rsid w:val="0072147F"/>
    <w:rsid w:val="00721502"/>
    <w:rsid w:val="00721852"/>
    <w:rsid w:val="00721907"/>
    <w:rsid w:val="007221E3"/>
    <w:rsid w:val="00722280"/>
    <w:rsid w:val="007223A2"/>
    <w:rsid w:val="0072250E"/>
    <w:rsid w:val="007225B3"/>
    <w:rsid w:val="007228EB"/>
    <w:rsid w:val="00722A71"/>
    <w:rsid w:val="007231E2"/>
    <w:rsid w:val="00723495"/>
    <w:rsid w:val="007237C4"/>
    <w:rsid w:val="007238EE"/>
    <w:rsid w:val="00723D24"/>
    <w:rsid w:val="00723EB0"/>
    <w:rsid w:val="007258EC"/>
    <w:rsid w:val="007259FF"/>
    <w:rsid w:val="00725AC8"/>
    <w:rsid w:val="00726172"/>
    <w:rsid w:val="007263AC"/>
    <w:rsid w:val="00726457"/>
    <w:rsid w:val="0072660A"/>
    <w:rsid w:val="0072669E"/>
    <w:rsid w:val="007266EA"/>
    <w:rsid w:val="00726CED"/>
    <w:rsid w:val="007271BE"/>
    <w:rsid w:val="00727294"/>
    <w:rsid w:val="00727313"/>
    <w:rsid w:val="007273B6"/>
    <w:rsid w:val="00727466"/>
    <w:rsid w:val="007275CD"/>
    <w:rsid w:val="00727664"/>
    <w:rsid w:val="00727A6E"/>
    <w:rsid w:val="00727A80"/>
    <w:rsid w:val="00730182"/>
    <w:rsid w:val="007301A8"/>
    <w:rsid w:val="007303E5"/>
    <w:rsid w:val="0073053C"/>
    <w:rsid w:val="00730878"/>
    <w:rsid w:val="00730977"/>
    <w:rsid w:val="00730C5C"/>
    <w:rsid w:val="0073255D"/>
    <w:rsid w:val="007329E8"/>
    <w:rsid w:val="00732E94"/>
    <w:rsid w:val="00733668"/>
    <w:rsid w:val="00733F1C"/>
    <w:rsid w:val="00734380"/>
    <w:rsid w:val="00734635"/>
    <w:rsid w:val="00734872"/>
    <w:rsid w:val="00734AFF"/>
    <w:rsid w:val="00734D5F"/>
    <w:rsid w:val="00734DEE"/>
    <w:rsid w:val="00734E57"/>
    <w:rsid w:val="0073547E"/>
    <w:rsid w:val="007357D7"/>
    <w:rsid w:val="00736135"/>
    <w:rsid w:val="00736694"/>
    <w:rsid w:val="00736758"/>
    <w:rsid w:val="0073679A"/>
    <w:rsid w:val="00736D90"/>
    <w:rsid w:val="00737020"/>
    <w:rsid w:val="007375AF"/>
    <w:rsid w:val="0073774D"/>
    <w:rsid w:val="0073779A"/>
    <w:rsid w:val="007378C7"/>
    <w:rsid w:val="00737A62"/>
    <w:rsid w:val="00740461"/>
    <w:rsid w:val="00740B03"/>
    <w:rsid w:val="00740C77"/>
    <w:rsid w:val="00740FA4"/>
    <w:rsid w:val="0074130F"/>
    <w:rsid w:val="0074145B"/>
    <w:rsid w:val="007417C7"/>
    <w:rsid w:val="00741960"/>
    <w:rsid w:val="00741CBD"/>
    <w:rsid w:val="00741F9A"/>
    <w:rsid w:val="00742555"/>
    <w:rsid w:val="00742558"/>
    <w:rsid w:val="00742BDB"/>
    <w:rsid w:val="00742BE1"/>
    <w:rsid w:val="00742F08"/>
    <w:rsid w:val="00742F32"/>
    <w:rsid w:val="00743473"/>
    <w:rsid w:val="007435CB"/>
    <w:rsid w:val="007437BC"/>
    <w:rsid w:val="007438FC"/>
    <w:rsid w:val="00743C2E"/>
    <w:rsid w:val="00743F4E"/>
    <w:rsid w:val="007441B6"/>
    <w:rsid w:val="007445E8"/>
    <w:rsid w:val="00744C0F"/>
    <w:rsid w:val="00744CEE"/>
    <w:rsid w:val="00744EAF"/>
    <w:rsid w:val="00744FD3"/>
    <w:rsid w:val="0074500A"/>
    <w:rsid w:val="007451E4"/>
    <w:rsid w:val="00745279"/>
    <w:rsid w:val="0074534C"/>
    <w:rsid w:val="00745475"/>
    <w:rsid w:val="007457ED"/>
    <w:rsid w:val="00745BD5"/>
    <w:rsid w:val="00746331"/>
    <w:rsid w:val="007463DB"/>
    <w:rsid w:val="007468BD"/>
    <w:rsid w:val="0074708F"/>
    <w:rsid w:val="00747298"/>
    <w:rsid w:val="007475A4"/>
    <w:rsid w:val="007476B3"/>
    <w:rsid w:val="00747B11"/>
    <w:rsid w:val="00747F2E"/>
    <w:rsid w:val="007507A8"/>
    <w:rsid w:val="00750C40"/>
    <w:rsid w:val="0075113B"/>
    <w:rsid w:val="00751792"/>
    <w:rsid w:val="007519A8"/>
    <w:rsid w:val="00751B4D"/>
    <w:rsid w:val="00751FD7"/>
    <w:rsid w:val="00752335"/>
    <w:rsid w:val="0075254B"/>
    <w:rsid w:val="00752844"/>
    <w:rsid w:val="00752AF3"/>
    <w:rsid w:val="00752BC5"/>
    <w:rsid w:val="00752F9E"/>
    <w:rsid w:val="00752FA6"/>
    <w:rsid w:val="00753060"/>
    <w:rsid w:val="00753242"/>
    <w:rsid w:val="00753720"/>
    <w:rsid w:val="00753747"/>
    <w:rsid w:val="007538FE"/>
    <w:rsid w:val="00753BA0"/>
    <w:rsid w:val="00753EBA"/>
    <w:rsid w:val="00754221"/>
    <w:rsid w:val="00754892"/>
    <w:rsid w:val="00754AAB"/>
    <w:rsid w:val="00754D2C"/>
    <w:rsid w:val="00754F0F"/>
    <w:rsid w:val="00755609"/>
    <w:rsid w:val="00755898"/>
    <w:rsid w:val="00755D77"/>
    <w:rsid w:val="0075622C"/>
    <w:rsid w:val="00756622"/>
    <w:rsid w:val="007578FA"/>
    <w:rsid w:val="00757A0E"/>
    <w:rsid w:val="00757B5A"/>
    <w:rsid w:val="00757DC8"/>
    <w:rsid w:val="00757E07"/>
    <w:rsid w:val="0076022D"/>
    <w:rsid w:val="0076028F"/>
    <w:rsid w:val="00760C05"/>
    <w:rsid w:val="00760E58"/>
    <w:rsid w:val="00760ED2"/>
    <w:rsid w:val="007613A3"/>
    <w:rsid w:val="007618A4"/>
    <w:rsid w:val="00761A37"/>
    <w:rsid w:val="00761B6A"/>
    <w:rsid w:val="00761CFB"/>
    <w:rsid w:val="0076207A"/>
    <w:rsid w:val="00762236"/>
    <w:rsid w:val="00762541"/>
    <w:rsid w:val="00762755"/>
    <w:rsid w:val="00762821"/>
    <w:rsid w:val="00764013"/>
    <w:rsid w:val="00764684"/>
    <w:rsid w:val="007646FA"/>
    <w:rsid w:val="00764911"/>
    <w:rsid w:val="00764BAB"/>
    <w:rsid w:val="00764C40"/>
    <w:rsid w:val="00764CE0"/>
    <w:rsid w:val="0076527E"/>
    <w:rsid w:val="007652C7"/>
    <w:rsid w:val="00765FF8"/>
    <w:rsid w:val="00766040"/>
    <w:rsid w:val="00766DAC"/>
    <w:rsid w:val="00766FE6"/>
    <w:rsid w:val="00767282"/>
    <w:rsid w:val="007674AE"/>
    <w:rsid w:val="00767A2A"/>
    <w:rsid w:val="00767DDB"/>
    <w:rsid w:val="00770106"/>
    <w:rsid w:val="00770178"/>
    <w:rsid w:val="0077045B"/>
    <w:rsid w:val="00770669"/>
    <w:rsid w:val="00770AAC"/>
    <w:rsid w:val="00770CE1"/>
    <w:rsid w:val="00770DA8"/>
    <w:rsid w:val="00770EB0"/>
    <w:rsid w:val="00771455"/>
    <w:rsid w:val="00771792"/>
    <w:rsid w:val="00772070"/>
    <w:rsid w:val="0077289D"/>
    <w:rsid w:val="00772A80"/>
    <w:rsid w:val="00772C33"/>
    <w:rsid w:val="00772E28"/>
    <w:rsid w:val="00773122"/>
    <w:rsid w:val="007732F2"/>
    <w:rsid w:val="007733C7"/>
    <w:rsid w:val="0077347B"/>
    <w:rsid w:val="00773769"/>
    <w:rsid w:val="00773794"/>
    <w:rsid w:val="007737DA"/>
    <w:rsid w:val="0077399E"/>
    <w:rsid w:val="00774033"/>
    <w:rsid w:val="007740BE"/>
    <w:rsid w:val="007741B7"/>
    <w:rsid w:val="00774427"/>
    <w:rsid w:val="0077442A"/>
    <w:rsid w:val="0077449D"/>
    <w:rsid w:val="00774688"/>
    <w:rsid w:val="00774A00"/>
    <w:rsid w:val="007755B1"/>
    <w:rsid w:val="0077591C"/>
    <w:rsid w:val="00775B36"/>
    <w:rsid w:val="00775CC6"/>
    <w:rsid w:val="00775E3A"/>
    <w:rsid w:val="00775F10"/>
    <w:rsid w:val="00775F7F"/>
    <w:rsid w:val="00775FE2"/>
    <w:rsid w:val="007765E0"/>
    <w:rsid w:val="00776678"/>
    <w:rsid w:val="00776BC3"/>
    <w:rsid w:val="00776BF4"/>
    <w:rsid w:val="00776EA5"/>
    <w:rsid w:val="00777019"/>
    <w:rsid w:val="007774D1"/>
    <w:rsid w:val="007777C8"/>
    <w:rsid w:val="00777A7D"/>
    <w:rsid w:val="00777D65"/>
    <w:rsid w:val="00777EF5"/>
    <w:rsid w:val="0078000D"/>
    <w:rsid w:val="0078005C"/>
    <w:rsid w:val="007801B2"/>
    <w:rsid w:val="0078048B"/>
    <w:rsid w:val="007805AE"/>
    <w:rsid w:val="00780DDB"/>
    <w:rsid w:val="00780EE0"/>
    <w:rsid w:val="00780F67"/>
    <w:rsid w:val="00781788"/>
    <w:rsid w:val="00781801"/>
    <w:rsid w:val="00781A00"/>
    <w:rsid w:val="00781D79"/>
    <w:rsid w:val="00782111"/>
    <w:rsid w:val="00782429"/>
    <w:rsid w:val="007829E9"/>
    <w:rsid w:val="00782BB3"/>
    <w:rsid w:val="00783195"/>
    <w:rsid w:val="0078350B"/>
    <w:rsid w:val="007835F9"/>
    <w:rsid w:val="007836D9"/>
    <w:rsid w:val="00783769"/>
    <w:rsid w:val="00783FAE"/>
    <w:rsid w:val="007840B5"/>
    <w:rsid w:val="007847EE"/>
    <w:rsid w:val="00784868"/>
    <w:rsid w:val="00784944"/>
    <w:rsid w:val="00784B4D"/>
    <w:rsid w:val="00784C96"/>
    <w:rsid w:val="00785147"/>
    <w:rsid w:val="007851FB"/>
    <w:rsid w:val="007852D2"/>
    <w:rsid w:val="007855C8"/>
    <w:rsid w:val="00785C74"/>
    <w:rsid w:val="00785E5C"/>
    <w:rsid w:val="00786526"/>
    <w:rsid w:val="00786E54"/>
    <w:rsid w:val="00786EA4"/>
    <w:rsid w:val="00786EEA"/>
    <w:rsid w:val="00787295"/>
    <w:rsid w:val="007877C8"/>
    <w:rsid w:val="0078788D"/>
    <w:rsid w:val="00787AB3"/>
    <w:rsid w:val="007900FF"/>
    <w:rsid w:val="007907AC"/>
    <w:rsid w:val="00790C97"/>
    <w:rsid w:val="00790F91"/>
    <w:rsid w:val="00791417"/>
    <w:rsid w:val="00791B6E"/>
    <w:rsid w:val="0079268D"/>
    <w:rsid w:val="0079279E"/>
    <w:rsid w:val="007927BE"/>
    <w:rsid w:val="0079293D"/>
    <w:rsid w:val="00792A8D"/>
    <w:rsid w:val="00792B9B"/>
    <w:rsid w:val="00792EA4"/>
    <w:rsid w:val="00793341"/>
    <w:rsid w:val="00793A05"/>
    <w:rsid w:val="00793A98"/>
    <w:rsid w:val="0079404D"/>
    <w:rsid w:val="00794084"/>
    <w:rsid w:val="007940DE"/>
    <w:rsid w:val="007946A5"/>
    <w:rsid w:val="00794E2C"/>
    <w:rsid w:val="007957EC"/>
    <w:rsid w:val="007958ED"/>
    <w:rsid w:val="00795925"/>
    <w:rsid w:val="00795DDF"/>
    <w:rsid w:val="00795E32"/>
    <w:rsid w:val="00795F02"/>
    <w:rsid w:val="00795F3D"/>
    <w:rsid w:val="0079693D"/>
    <w:rsid w:val="00797354"/>
    <w:rsid w:val="00797728"/>
    <w:rsid w:val="00797C0E"/>
    <w:rsid w:val="007A0192"/>
    <w:rsid w:val="007A0425"/>
    <w:rsid w:val="007A0A56"/>
    <w:rsid w:val="007A0A5D"/>
    <w:rsid w:val="007A0A81"/>
    <w:rsid w:val="007A0B21"/>
    <w:rsid w:val="007A0CBD"/>
    <w:rsid w:val="007A0FDA"/>
    <w:rsid w:val="007A11E7"/>
    <w:rsid w:val="007A16E7"/>
    <w:rsid w:val="007A185D"/>
    <w:rsid w:val="007A1B8E"/>
    <w:rsid w:val="007A1BBD"/>
    <w:rsid w:val="007A23C1"/>
    <w:rsid w:val="007A31E1"/>
    <w:rsid w:val="007A361E"/>
    <w:rsid w:val="007A3B40"/>
    <w:rsid w:val="007A3D64"/>
    <w:rsid w:val="007A3E54"/>
    <w:rsid w:val="007A3F8C"/>
    <w:rsid w:val="007A400B"/>
    <w:rsid w:val="007A4092"/>
    <w:rsid w:val="007A4A6A"/>
    <w:rsid w:val="007A4B55"/>
    <w:rsid w:val="007A4D4B"/>
    <w:rsid w:val="007A4D5F"/>
    <w:rsid w:val="007A5252"/>
    <w:rsid w:val="007A57C6"/>
    <w:rsid w:val="007A6439"/>
    <w:rsid w:val="007A649C"/>
    <w:rsid w:val="007A68A1"/>
    <w:rsid w:val="007A69D9"/>
    <w:rsid w:val="007A6B62"/>
    <w:rsid w:val="007A6DEB"/>
    <w:rsid w:val="007A70A9"/>
    <w:rsid w:val="007A71BB"/>
    <w:rsid w:val="007A751F"/>
    <w:rsid w:val="007A7885"/>
    <w:rsid w:val="007A7FCE"/>
    <w:rsid w:val="007B0225"/>
    <w:rsid w:val="007B039C"/>
    <w:rsid w:val="007B04E6"/>
    <w:rsid w:val="007B0AA9"/>
    <w:rsid w:val="007B0CA2"/>
    <w:rsid w:val="007B0E38"/>
    <w:rsid w:val="007B0E42"/>
    <w:rsid w:val="007B13EB"/>
    <w:rsid w:val="007B173A"/>
    <w:rsid w:val="007B1A15"/>
    <w:rsid w:val="007B20FA"/>
    <w:rsid w:val="007B21D7"/>
    <w:rsid w:val="007B23AB"/>
    <w:rsid w:val="007B23BF"/>
    <w:rsid w:val="007B2405"/>
    <w:rsid w:val="007B25F8"/>
    <w:rsid w:val="007B26C7"/>
    <w:rsid w:val="007B26EF"/>
    <w:rsid w:val="007B270E"/>
    <w:rsid w:val="007B272A"/>
    <w:rsid w:val="007B2A20"/>
    <w:rsid w:val="007B2C39"/>
    <w:rsid w:val="007B2F7E"/>
    <w:rsid w:val="007B30B3"/>
    <w:rsid w:val="007B3304"/>
    <w:rsid w:val="007B3A32"/>
    <w:rsid w:val="007B3CD9"/>
    <w:rsid w:val="007B424B"/>
    <w:rsid w:val="007B46B8"/>
    <w:rsid w:val="007B48B3"/>
    <w:rsid w:val="007B4F9A"/>
    <w:rsid w:val="007B5283"/>
    <w:rsid w:val="007B573B"/>
    <w:rsid w:val="007B5812"/>
    <w:rsid w:val="007B5F0F"/>
    <w:rsid w:val="007B5FCF"/>
    <w:rsid w:val="007B6173"/>
    <w:rsid w:val="007B6405"/>
    <w:rsid w:val="007B6409"/>
    <w:rsid w:val="007B6524"/>
    <w:rsid w:val="007B65DB"/>
    <w:rsid w:val="007B695D"/>
    <w:rsid w:val="007B6FAE"/>
    <w:rsid w:val="007B72D7"/>
    <w:rsid w:val="007B737E"/>
    <w:rsid w:val="007B78C7"/>
    <w:rsid w:val="007C00D2"/>
    <w:rsid w:val="007C035D"/>
    <w:rsid w:val="007C05FD"/>
    <w:rsid w:val="007C06A4"/>
    <w:rsid w:val="007C09DF"/>
    <w:rsid w:val="007C0CBE"/>
    <w:rsid w:val="007C0F39"/>
    <w:rsid w:val="007C1A47"/>
    <w:rsid w:val="007C1B18"/>
    <w:rsid w:val="007C25F1"/>
    <w:rsid w:val="007C2639"/>
    <w:rsid w:val="007C2A38"/>
    <w:rsid w:val="007C2D67"/>
    <w:rsid w:val="007C3198"/>
    <w:rsid w:val="007C3328"/>
    <w:rsid w:val="007C3377"/>
    <w:rsid w:val="007C3653"/>
    <w:rsid w:val="007C372B"/>
    <w:rsid w:val="007C3772"/>
    <w:rsid w:val="007C38FF"/>
    <w:rsid w:val="007C3C93"/>
    <w:rsid w:val="007C3E38"/>
    <w:rsid w:val="007C42CA"/>
    <w:rsid w:val="007C4774"/>
    <w:rsid w:val="007C49D9"/>
    <w:rsid w:val="007C51B2"/>
    <w:rsid w:val="007C54E3"/>
    <w:rsid w:val="007C577B"/>
    <w:rsid w:val="007C5A18"/>
    <w:rsid w:val="007C5A4C"/>
    <w:rsid w:val="007C6439"/>
    <w:rsid w:val="007C6DE6"/>
    <w:rsid w:val="007C6F03"/>
    <w:rsid w:val="007C74A7"/>
    <w:rsid w:val="007C7968"/>
    <w:rsid w:val="007C79CC"/>
    <w:rsid w:val="007C7CA4"/>
    <w:rsid w:val="007C7F43"/>
    <w:rsid w:val="007D069C"/>
    <w:rsid w:val="007D08E6"/>
    <w:rsid w:val="007D14CC"/>
    <w:rsid w:val="007D1522"/>
    <w:rsid w:val="007D1D81"/>
    <w:rsid w:val="007D1E4E"/>
    <w:rsid w:val="007D21CB"/>
    <w:rsid w:val="007D22B5"/>
    <w:rsid w:val="007D2344"/>
    <w:rsid w:val="007D2B41"/>
    <w:rsid w:val="007D2EE4"/>
    <w:rsid w:val="007D31CC"/>
    <w:rsid w:val="007D3584"/>
    <w:rsid w:val="007D3B88"/>
    <w:rsid w:val="007D3D56"/>
    <w:rsid w:val="007D3EB6"/>
    <w:rsid w:val="007D415F"/>
    <w:rsid w:val="007D49FF"/>
    <w:rsid w:val="007D4B41"/>
    <w:rsid w:val="007D4FD6"/>
    <w:rsid w:val="007D634B"/>
    <w:rsid w:val="007D636D"/>
    <w:rsid w:val="007D660E"/>
    <w:rsid w:val="007D6AEE"/>
    <w:rsid w:val="007D6AF4"/>
    <w:rsid w:val="007D6CDB"/>
    <w:rsid w:val="007D71D0"/>
    <w:rsid w:val="007D739E"/>
    <w:rsid w:val="007D74B8"/>
    <w:rsid w:val="007D75AE"/>
    <w:rsid w:val="007E07A3"/>
    <w:rsid w:val="007E0B72"/>
    <w:rsid w:val="007E0B78"/>
    <w:rsid w:val="007E0CAA"/>
    <w:rsid w:val="007E1558"/>
    <w:rsid w:val="007E155D"/>
    <w:rsid w:val="007E1820"/>
    <w:rsid w:val="007E1850"/>
    <w:rsid w:val="007E186E"/>
    <w:rsid w:val="007E18D5"/>
    <w:rsid w:val="007E1DFA"/>
    <w:rsid w:val="007E201D"/>
    <w:rsid w:val="007E237A"/>
    <w:rsid w:val="007E25F5"/>
    <w:rsid w:val="007E2B18"/>
    <w:rsid w:val="007E2C48"/>
    <w:rsid w:val="007E315A"/>
    <w:rsid w:val="007E36C3"/>
    <w:rsid w:val="007E37F7"/>
    <w:rsid w:val="007E39BF"/>
    <w:rsid w:val="007E3D29"/>
    <w:rsid w:val="007E3DC3"/>
    <w:rsid w:val="007E4053"/>
    <w:rsid w:val="007E46BC"/>
    <w:rsid w:val="007E4836"/>
    <w:rsid w:val="007E51CE"/>
    <w:rsid w:val="007E52BB"/>
    <w:rsid w:val="007E52BE"/>
    <w:rsid w:val="007E534F"/>
    <w:rsid w:val="007E5510"/>
    <w:rsid w:val="007E5844"/>
    <w:rsid w:val="007E5D22"/>
    <w:rsid w:val="007E5DC4"/>
    <w:rsid w:val="007E6078"/>
    <w:rsid w:val="007E6094"/>
    <w:rsid w:val="007E64AA"/>
    <w:rsid w:val="007E66D5"/>
    <w:rsid w:val="007E67B3"/>
    <w:rsid w:val="007E67F9"/>
    <w:rsid w:val="007E68C7"/>
    <w:rsid w:val="007E6A66"/>
    <w:rsid w:val="007E6C0C"/>
    <w:rsid w:val="007E6F67"/>
    <w:rsid w:val="007E6FCF"/>
    <w:rsid w:val="007E6FDA"/>
    <w:rsid w:val="007E7105"/>
    <w:rsid w:val="007E7551"/>
    <w:rsid w:val="007E7786"/>
    <w:rsid w:val="007E78B3"/>
    <w:rsid w:val="007E7EEB"/>
    <w:rsid w:val="007F08FB"/>
    <w:rsid w:val="007F0E78"/>
    <w:rsid w:val="007F1301"/>
    <w:rsid w:val="007F140D"/>
    <w:rsid w:val="007F1587"/>
    <w:rsid w:val="007F1699"/>
    <w:rsid w:val="007F20B5"/>
    <w:rsid w:val="007F22ED"/>
    <w:rsid w:val="007F26AF"/>
    <w:rsid w:val="007F2C63"/>
    <w:rsid w:val="007F2C69"/>
    <w:rsid w:val="007F2CE1"/>
    <w:rsid w:val="007F3177"/>
    <w:rsid w:val="007F335C"/>
    <w:rsid w:val="007F3960"/>
    <w:rsid w:val="007F39FA"/>
    <w:rsid w:val="007F3B11"/>
    <w:rsid w:val="007F44DA"/>
    <w:rsid w:val="007F4C92"/>
    <w:rsid w:val="007F5001"/>
    <w:rsid w:val="007F5102"/>
    <w:rsid w:val="007F51D5"/>
    <w:rsid w:val="007F5825"/>
    <w:rsid w:val="007F5AD5"/>
    <w:rsid w:val="007F5F9B"/>
    <w:rsid w:val="007F6071"/>
    <w:rsid w:val="007F662D"/>
    <w:rsid w:val="007F72A3"/>
    <w:rsid w:val="007F74C7"/>
    <w:rsid w:val="007F7504"/>
    <w:rsid w:val="007F7760"/>
    <w:rsid w:val="007F787C"/>
    <w:rsid w:val="007F79EF"/>
    <w:rsid w:val="007F7E8B"/>
    <w:rsid w:val="00800079"/>
    <w:rsid w:val="00800759"/>
    <w:rsid w:val="008007DC"/>
    <w:rsid w:val="008009E5"/>
    <w:rsid w:val="00800A6E"/>
    <w:rsid w:val="00800BD6"/>
    <w:rsid w:val="00800C45"/>
    <w:rsid w:val="00800C70"/>
    <w:rsid w:val="00800E2A"/>
    <w:rsid w:val="00800FFC"/>
    <w:rsid w:val="00801129"/>
    <w:rsid w:val="0080122B"/>
    <w:rsid w:val="0080134B"/>
    <w:rsid w:val="0080142D"/>
    <w:rsid w:val="00801E71"/>
    <w:rsid w:val="00802191"/>
    <w:rsid w:val="008024AE"/>
    <w:rsid w:val="008025CB"/>
    <w:rsid w:val="00802E8A"/>
    <w:rsid w:val="00803660"/>
    <w:rsid w:val="008037F0"/>
    <w:rsid w:val="00803AEA"/>
    <w:rsid w:val="00803B1A"/>
    <w:rsid w:val="00803B5B"/>
    <w:rsid w:val="00803FED"/>
    <w:rsid w:val="0080467C"/>
    <w:rsid w:val="008048D3"/>
    <w:rsid w:val="00804963"/>
    <w:rsid w:val="00804C9C"/>
    <w:rsid w:val="00804D36"/>
    <w:rsid w:val="008057B9"/>
    <w:rsid w:val="00805954"/>
    <w:rsid w:val="00805BF8"/>
    <w:rsid w:val="00805F1E"/>
    <w:rsid w:val="0080625A"/>
    <w:rsid w:val="0080646A"/>
    <w:rsid w:val="00806800"/>
    <w:rsid w:val="0080719D"/>
    <w:rsid w:val="00807434"/>
    <w:rsid w:val="00807960"/>
    <w:rsid w:val="00807A2A"/>
    <w:rsid w:val="00807D95"/>
    <w:rsid w:val="00807E35"/>
    <w:rsid w:val="0081021E"/>
    <w:rsid w:val="00810449"/>
    <w:rsid w:val="00810544"/>
    <w:rsid w:val="008112C4"/>
    <w:rsid w:val="00811596"/>
    <w:rsid w:val="00811873"/>
    <w:rsid w:val="00811922"/>
    <w:rsid w:val="00811D28"/>
    <w:rsid w:val="0081216A"/>
    <w:rsid w:val="008122CF"/>
    <w:rsid w:val="00812874"/>
    <w:rsid w:val="00812A39"/>
    <w:rsid w:val="00812F11"/>
    <w:rsid w:val="0081391B"/>
    <w:rsid w:val="00813DAC"/>
    <w:rsid w:val="00813E14"/>
    <w:rsid w:val="00814293"/>
    <w:rsid w:val="00814E78"/>
    <w:rsid w:val="0081515E"/>
    <w:rsid w:val="0081536C"/>
    <w:rsid w:val="008158B1"/>
    <w:rsid w:val="00815B46"/>
    <w:rsid w:val="00815D2F"/>
    <w:rsid w:val="00815F2D"/>
    <w:rsid w:val="00816259"/>
    <w:rsid w:val="00816749"/>
    <w:rsid w:val="00816809"/>
    <w:rsid w:val="00816F76"/>
    <w:rsid w:val="008170C7"/>
    <w:rsid w:val="0081716D"/>
    <w:rsid w:val="00817D8A"/>
    <w:rsid w:val="008207E1"/>
    <w:rsid w:val="008211C2"/>
    <w:rsid w:val="0082130D"/>
    <w:rsid w:val="008214B5"/>
    <w:rsid w:val="00821591"/>
    <w:rsid w:val="008215E3"/>
    <w:rsid w:val="00821732"/>
    <w:rsid w:val="008221A0"/>
    <w:rsid w:val="008229DA"/>
    <w:rsid w:val="0082301B"/>
    <w:rsid w:val="008232AF"/>
    <w:rsid w:val="00823406"/>
    <w:rsid w:val="008238BB"/>
    <w:rsid w:val="00823BF2"/>
    <w:rsid w:val="00824E11"/>
    <w:rsid w:val="00824E3E"/>
    <w:rsid w:val="008254F6"/>
    <w:rsid w:val="008255E5"/>
    <w:rsid w:val="0082587A"/>
    <w:rsid w:val="008260B5"/>
    <w:rsid w:val="008266A4"/>
    <w:rsid w:val="00826D6B"/>
    <w:rsid w:val="008272A6"/>
    <w:rsid w:val="008272B8"/>
    <w:rsid w:val="008272CA"/>
    <w:rsid w:val="00827363"/>
    <w:rsid w:val="008300A1"/>
    <w:rsid w:val="0083010D"/>
    <w:rsid w:val="00830555"/>
    <w:rsid w:val="00830573"/>
    <w:rsid w:val="0083067D"/>
    <w:rsid w:val="00830AA1"/>
    <w:rsid w:val="00830F8A"/>
    <w:rsid w:val="00831163"/>
    <w:rsid w:val="008312CB"/>
    <w:rsid w:val="00831316"/>
    <w:rsid w:val="00831449"/>
    <w:rsid w:val="008315C3"/>
    <w:rsid w:val="00831E01"/>
    <w:rsid w:val="0083278E"/>
    <w:rsid w:val="008327CF"/>
    <w:rsid w:val="0083307F"/>
    <w:rsid w:val="008331BB"/>
    <w:rsid w:val="008331CD"/>
    <w:rsid w:val="00833467"/>
    <w:rsid w:val="00833C3B"/>
    <w:rsid w:val="0083405D"/>
    <w:rsid w:val="008343BF"/>
    <w:rsid w:val="00834438"/>
    <w:rsid w:val="00834693"/>
    <w:rsid w:val="008347EC"/>
    <w:rsid w:val="008348A2"/>
    <w:rsid w:val="0083506C"/>
    <w:rsid w:val="008358D3"/>
    <w:rsid w:val="008359F0"/>
    <w:rsid w:val="00835B12"/>
    <w:rsid w:val="00836515"/>
    <w:rsid w:val="008401B0"/>
    <w:rsid w:val="00840601"/>
    <w:rsid w:val="00840972"/>
    <w:rsid w:val="00840B93"/>
    <w:rsid w:val="00840C40"/>
    <w:rsid w:val="00840C8D"/>
    <w:rsid w:val="00840F18"/>
    <w:rsid w:val="008414BD"/>
    <w:rsid w:val="00841735"/>
    <w:rsid w:val="008418FE"/>
    <w:rsid w:val="00841B89"/>
    <w:rsid w:val="00841C32"/>
    <w:rsid w:val="00842042"/>
    <w:rsid w:val="0084237E"/>
    <w:rsid w:val="00842A33"/>
    <w:rsid w:val="00842D8C"/>
    <w:rsid w:val="0084337E"/>
    <w:rsid w:val="0084366A"/>
    <w:rsid w:val="00843670"/>
    <w:rsid w:val="0084399B"/>
    <w:rsid w:val="00843AAF"/>
    <w:rsid w:val="00843C36"/>
    <w:rsid w:val="00843F02"/>
    <w:rsid w:val="00844498"/>
    <w:rsid w:val="0084466C"/>
    <w:rsid w:val="00844D42"/>
    <w:rsid w:val="00844DD8"/>
    <w:rsid w:val="0084541D"/>
    <w:rsid w:val="00845540"/>
    <w:rsid w:val="00845995"/>
    <w:rsid w:val="00845999"/>
    <w:rsid w:val="00846414"/>
    <w:rsid w:val="00846697"/>
    <w:rsid w:val="008467B2"/>
    <w:rsid w:val="0084689B"/>
    <w:rsid w:val="00846D80"/>
    <w:rsid w:val="00846E28"/>
    <w:rsid w:val="00846EBB"/>
    <w:rsid w:val="008472DB"/>
    <w:rsid w:val="008476A0"/>
    <w:rsid w:val="008476B3"/>
    <w:rsid w:val="00847B9A"/>
    <w:rsid w:val="00847C7E"/>
    <w:rsid w:val="008500A3"/>
    <w:rsid w:val="008501AC"/>
    <w:rsid w:val="008507C9"/>
    <w:rsid w:val="008518D8"/>
    <w:rsid w:val="0085190D"/>
    <w:rsid w:val="00851952"/>
    <w:rsid w:val="00852288"/>
    <w:rsid w:val="008523CC"/>
    <w:rsid w:val="0085291F"/>
    <w:rsid w:val="00852FF8"/>
    <w:rsid w:val="008532E4"/>
    <w:rsid w:val="00853B52"/>
    <w:rsid w:val="00853CD3"/>
    <w:rsid w:val="00853D8D"/>
    <w:rsid w:val="00853DEA"/>
    <w:rsid w:val="00853E16"/>
    <w:rsid w:val="00854453"/>
    <w:rsid w:val="008544CC"/>
    <w:rsid w:val="008544CE"/>
    <w:rsid w:val="008546C3"/>
    <w:rsid w:val="00854E28"/>
    <w:rsid w:val="0085554F"/>
    <w:rsid w:val="00855571"/>
    <w:rsid w:val="00855611"/>
    <w:rsid w:val="00855632"/>
    <w:rsid w:val="008558E4"/>
    <w:rsid w:val="00855A02"/>
    <w:rsid w:val="00855C05"/>
    <w:rsid w:val="00855F5C"/>
    <w:rsid w:val="00855FF9"/>
    <w:rsid w:val="0085603D"/>
    <w:rsid w:val="0085634A"/>
    <w:rsid w:val="00856517"/>
    <w:rsid w:val="00856948"/>
    <w:rsid w:val="00856C52"/>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D54"/>
    <w:rsid w:val="00863F91"/>
    <w:rsid w:val="008647BA"/>
    <w:rsid w:val="008647FB"/>
    <w:rsid w:val="00865153"/>
    <w:rsid w:val="00865197"/>
    <w:rsid w:val="00865A11"/>
    <w:rsid w:val="00865A42"/>
    <w:rsid w:val="00865E95"/>
    <w:rsid w:val="008666A1"/>
    <w:rsid w:val="00866F3E"/>
    <w:rsid w:val="00867262"/>
    <w:rsid w:val="0086739B"/>
    <w:rsid w:val="00867500"/>
    <w:rsid w:val="00867674"/>
    <w:rsid w:val="00867FAA"/>
    <w:rsid w:val="008702FF"/>
    <w:rsid w:val="008709A1"/>
    <w:rsid w:val="00870CEC"/>
    <w:rsid w:val="00870E5E"/>
    <w:rsid w:val="00870E6D"/>
    <w:rsid w:val="00870FB7"/>
    <w:rsid w:val="0087231D"/>
    <w:rsid w:val="008728BD"/>
    <w:rsid w:val="008729B9"/>
    <w:rsid w:val="008729F3"/>
    <w:rsid w:val="00872B2C"/>
    <w:rsid w:val="00872B32"/>
    <w:rsid w:val="00872B64"/>
    <w:rsid w:val="00872C06"/>
    <w:rsid w:val="00872D89"/>
    <w:rsid w:val="00873522"/>
    <w:rsid w:val="0087378E"/>
    <w:rsid w:val="0087385E"/>
    <w:rsid w:val="00873C58"/>
    <w:rsid w:val="008742DB"/>
    <w:rsid w:val="0087432F"/>
    <w:rsid w:val="0087446A"/>
    <w:rsid w:val="00874645"/>
    <w:rsid w:val="00874731"/>
    <w:rsid w:val="00874A58"/>
    <w:rsid w:val="00874E23"/>
    <w:rsid w:val="00874E41"/>
    <w:rsid w:val="00874E63"/>
    <w:rsid w:val="0087500A"/>
    <w:rsid w:val="00875348"/>
    <w:rsid w:val="008758A4"/>
    <w:rsid w:val="008759BD"/>
    <w:rsid w:val="0087607F"/>
    <w:rsid w:val="00876479"/>
    <w:rsid w:val="00876530"/>
    <w:rsid w:val="0087680A"/>
    <w:rsid w:val="008769BA"/>
    <w:rsid w:val="008770B0"/>
    <w:rsid w:val="00877368"/>
    <w:rsid w:val="008775B0"/>
    <w:rsid w:val="00877611"/>
    <w:rsid w:val="0087777E"/>
    <w:rsid w:val="0087785C"/>
    <w:rsid w:val="00877EE1"/>
    <w:rsid w:val="0088022D"/>
    <w:rsid w:val="00880357"/>
    <w:rsid w:val="0088051B"/>
    <w:rsid w:val="00880623"/>
    <w:rsid w:val="0088069B"/>
    <w:rsid w:val="008806A6"/>
    <w:rsid w:val="0088090A"/>
    <w:rsid w:val="00880AD8"/>
    <w:rsid w:val="00881044"/>
    <w:rsid w:val="008812B8"/>
    <w:rsid w:val="0088142D"/>
    <w:rsid w:val="00881435"/>
    <w:rsid w:val="00881440"/>
    <w:rsid w:val="00881B73"/>
    <w:rsid w:val="00881CD4"/>
    <w:rsid w:val="00883307"/>
    <w:rsid w:val="008834A1"/>
    <w:rsid w:val="0088381A"/>
    <w:rsid w:val="0088388C"/>
    <w:rsid w:val="008839D4"/>
    <w:rsid w:val="00883DB1"/>
    <w:rsid w:val="008841E6"/>
    <w:rsid w:val="00884497"/>
    <w:rsid w:val="00884662"/>
    <w:rsid w:val="008848C5"/>
    <w:rsid w:val="00884B1B"/>
    <w:rsid w:val="008850BB"/>
    <w:rsid w:val="0088543F"/>
    <w:rsid w:val="00885EF2"/>
    <w:rsid w:val="008860AD"/>
    <w:rsid w:val="008863A5"/>
    <w:rsid w:val="00886A9A"/>
    <w:rsid w:val="00886B5A"/>
    <w:rsid w:val="00886FFD"/>
    <w:rsid w:val="008871EA"/>
    <w:rsid w:val="008876FA"/>
    <w:rsid w:val="00887707"/>
    <w:rsid w:val="00887779"/>
    <w:rsid w:val="00887985"/>
    <w:rsid w:val="00887C57"/>
    <w:rsid w:val="00887D5B"/>
    <w:rsid w:val="00887DA8"/>
    <w:rsid w:val="0089024F"/>
    <w:rsid w:val="0089034B"/>
    <w:rsid w:val="00890637"/>
    <w:rsid w:val="008909B0"/>
    <w:rsid w:val="00890A25"/>
    <w:rsid w:val="00890D5C"/>
    <w:rsid w:val="0089107E"/>
    <w:rsid w:val="00891B42"/>
    <w:rsid w:val="00891E89"/>
    <w:rsid w:val="008920C4"/>
    <w:rsid w:val="008923AF"/>
    <w:rsid w:val="008924EC"/>
    <w:rsid w:val="0089262D"/>
    <w:rsid w:val="00892EA8"/>
    <w:rsid w:val="008933A8"/>
    <w:rsid w:val="0089390A"/>
    <w:rsid w:val="00893974"/>
    <w:rsid w:val="008939B3"/>
    <w:rsid w:val="00893CF8"/>
    <w:rsid w:val="00893E5B"/>
    <w:rsid w:val="00893E9C"/>
    <w:rsid w:val="00893EA0"/>
    <w:rsid w:val="00894720"/>
    <w:rsid w:val="00894764"/>
    <w:rsid w:val="00894882"/>
    <w:rsid w:val="00894B4C"/>
    <w:rsid w:val="00894C7B"/>
    <w:rsid w:val="00894E29"/>
    <w:rsid w:val="008953C1"/>
    <w:rsid w:val="0089663F"/>
    <w:rsid w:val="00896767"/>
    <w:rsid w:val="00896D82"/>
    <w:rsid w:val="00896DDB"/>
    <w:rsid w:val="00896FA0"/>
    <w:rsid w:val="0089715C"/>
    <w:rsid w:val="008974C9"/>
    <w:rsid w:val="00897521"/>
    <w:rsid w:val="0089783C"/>
    <w:rsid w:val="00897905"/>
    <w:rsid w:val="00897A08"/>
    <w:rsid w:val="00897B95"/>
    <w:rsid w:val="00897E10"/>
    <w:rsid w:val="008A007E"/>
    <w:rsid w:val="008A1747"/>
    <w:rsid w:val="008A1B72"/>
    <w:rsid w:val="008A1E79"/>
    <w:rsid w:val="008A28C9"/>
    <w:rsid w:val="008A2B98"/>
    <w:rsid w:val="008A2C0D"/>
    <w:rsid w:val="008A2E55"/>
    <w:rsid w:val="008A2F63"/>
    <w:rsid w:val="008A35EE"/>
    <w:rsid w:val="008A39BF"/>
    <w:rsid w:val="008A3A29"/>
    <w:rsid w:val="008A3DD2"/>
    <w:rsid w:val="008A3F93"/>
    <w:rsid w:val="008A40AC"/>
    <w:rsid w:val="008A50EF"/>
    <w:rsid w:val="008A547C"/>
    <w:rsid w:val="008A5716"/>
    <w:rsid w:val="008A57E4"/>
    <w:rsid w:val="008A67CE"/>
    <w:rsid w:val="008A6C09"/>
    <w:rsid w:val="008A6FC6"/>
    <w:rsid w:val="008A7054"/>
    <w:rsid w:val="008A72DB"/>
    <w:rsid w:val="008A73DC"/>
    <w:rsid w:val="008A779F"/>
    <w:rsid w:val="008A798B"/>
    <w:rsid w:val="008A7A1A"/>
    <w:rsid w:val="008B0203"/>
    <w:rsid w:val="008B0AE6"/>
    <w:rsid w:val="008B172C"/>
    <w:rsid w:val="008B1950"/>
    <w:rsid w:val="008B19BC"/>
    <w:rsid w:val="008B1B1B"/>
    <w:rsid w:val="008B1C9E"/>
    <w:rsid w:val="008B1E03"/>
    <w:rsid w:val="008B1F9A"/>
    <w:rsid w:val="008B2408"/>
    <w:rsid w:val="008B28F0"/>
    <w:rsid w:val="008B2BD2"/>
    <w:rsid w:val="008B2E76"/>
    <w:rsid w:val="008B3042"/>
    <w:rsid w:val="008B3179"/>
    <w:rsid w:val="008B345F"/>
    <w:rsid w:val="008B3516"/>
    <w:rsid w:val="008B353D"/>
    <w:rsid w:val="008B356E"/>
    <w:rsid w:val="008B3789"/>
    <w:rsid w:val="008B39D8"/>
    <w:rsid w:val="008B3BAE"/>
    <w:rsid w:val="008B3D1D"/>
    <w:rsid w:val="008B3DC2"/>
    <w:rsid w:val="008B4272"/>
    <w:rsid w:val="008B4301"/>
    <w:rsid w:val="008B43B5"/>
    <w:rsid w:val="008B455F"/>
    <w:rsid w:val="008B49D2"/>
    <w:rsid w:val="008B49D5"/>
    <w:rsid w:val="008B4B1D"/>
    <w:rsid w:val="008B4B21"/>
    <w:rsid w:val="008B4C4A"/>
    <w:rsid w:val="008B50C9"/>
    <w:rsid w:val="008B5365"/>
    <w:rsid w:val="008B5927"/>
    <w:rsid w:val="008B59C0"/>
    <w:rsid w:val="008B5B91"/>
    <w:rsid w:val="008B5F21"/>
    <w:rsid w:val="008B62F7"/>
    <w:rsid w:val="008B65FB"/>
    <w:rsid w:val="008B685A"/>
    <w:rsid w:val="008B69C0"/>
    <w:rsid w:val="008B6A60"/>
    <w:rsid w:val="008B6BDB"/>
    <w:rsid w:val="008B6EC4"/>
    <w:rsid w:val="008B700B"/>
    <w:rsid w:val="008B7347"/>
    <w:rsid w:val="008B7418"/>
    <w:rsid w:val="008B777A"/>
    <w:rsid w:val="008B79B9"/>
    <w:rsid w:val="008B7E47"/>
    <w:rsid w:val="008B7FBC"/>
    <w:rsid w:val="008C0563"/>
    <w:rsid w:val="008C0665"/>
    <w:rsid w:val="008C0ABE"/>
    <w:rsid w:val="008C1365"/>
    <w:rsid w:val="008C140F"/>
    <w:rsid w:val="008C1420"/>
    <w:rsid w:val="008C1670"/>
    <w:rsid w:val="008C1696"/>
    <w:rsid w:val="008C18F1"/>
    <w:rsid w:val="008C28C4"/>
    <w:rsid w:val="008C29CB"/>
    <w:rsid w:val="008C31E5"/>
    <w:rsid w:val="008C3383"/>
    <w:rsid w:val="008C360C"/>
    <w:rsid w:val="008C39D9"/>
    <w:rsid w:val="008C3A14"/>
    <w:rsid w:val="008C3FC8"/>
    <w:rsid w:val="008C4724"/>
    <w:rsid w:val="008C4C9A"/>
    <w:rsid w:val="008C4CA5"/>
    <w:rsid w:val="008C4F08"/>
    <w:rsid w:val="008C53F1"/>
    <w:rsid w:val="008C59C9"/>
    <w:rsid w:val="008C5A33"/>
    <w:rsid w:val="008C5C82"/>
    <w:rsid w:val="008C640D"/>
    <w:rsid w:val="008C6691"/>
    <w:rsid w:val="008C6782"/>
    <w:rsid w:val="008C68D5"/>
    <w:rsid w:val="008C6C72"/>
    <w:rsid w:val="008C6C8D"/>
    <w:rsid w:val="008C7392"/>
    <w:rsid w:val="008C7524"/>
    <w:rsid w:val="008C77E1"/>
    <w:rsid w:val="008C7C6B"/>
    <w:rsid w:val="008D0076"/>
    <w:rsid w:val="008D0627"/>
    <w:rsid w:val="008D06E1"/>
    <w:rsid w:val="008D0763"/>
    <w:rsid w:val="008D0B87"/>
    <w:rsid w:val="008D0D9B"/>
    <w:rsid w:val="008D12FB"/>
    <w:rsid w:val="008D1366"/>
    <w:rsid w:val="008D15D1"/>
    <w:rsid w:val="008D1701"/>
    <w:rsid w:val="008D175E"/>
    <w:rsid w:val="008D1B66"/>
    <w:rsid w:val="008D1D17"/>
    <w:rsid w:val="008D201C"/>
    <w:rsid w:val="008D2EEB"/>
    <w:rsid w:val="008D2F28"/>
    <w:rsid w:val="008D313C"/>
    <w:rsid w:val="008D3506"/>
    <w:rsid w:val="008D35C7"/>
    <w:rsid w:val="008D3978"/>
    <w:rsid w:val="008D397F"/>
    <w:rsid w:val="008D407C"/>
    <w:rsid w:val="008D430E"/>
    <w:rsid w:val="008D50B5"/>
    <w:rsid w:val="008D51A8"/>
    <w:rsid w:val="008D534A"/>
    <w:rsid w:val="008D5375"/>
    <w:rsid w:val="008D5B54"/>
    <w:rsid w:val="008D61A3"/>
    <w:rsid w:val="008D635F"/>
    <w:rsid w:val="008D63AE"/>
    <w:rsid w:val="008D6754"/>
    <w:rsid w:val="008D692A"/>
    <w:rsid w:val="008D6952"/>
    <w:rsid w:val="008D6AEE"/>
    <w:rsid w:val="008D6D01"/>
    <w:rsid w:val="008D6E88"/>
    <w:rsid w:val="008D7788"/>
    <w:rsid w:val="008E0147"/>
    <w:rsid w:val="008E03ED"/>
    <w:rsid w:val="008E057F"/>
    <w:rsid w:val="008E0B76"/>
    <w:rsid w:val="008E0E3E"/>
    <w:rsid w:val="008E12E2"/>
    <w:rsid w:val="008E14C8"/>
    <w:rsid w:val="008E1733"/>
    <w:rsid w:val="008E17AB"/>
    <w:rsid w:val="008E1A47"/>
    <w:rsid w:val="008E1FB2"/>
    <w:rsid w:val="008E20C2"/>
    <w:rsid w:val="008E2454"/>
    <w:rsid w:val="008E26EB"/>
    <w:rsid w:val="008E2A39"/>
    <w:rsid w:val="008E2C87"/>
    <w:rsid w:val="008E2DE5"/>
    <w:rsid w:val="008E2F2A"/>
    <w:rsid w:val="008E3080"/>
    <w:rsid w:val="008E3098"/>
    <w:rsid w:val="008E3AC1"/>
    <w:rsid w:val="008E3FB6"/>
    <w:rsid w:val="008E4082"/>
    <w:rsid w:val="008E426A"/>
    <w:rsid w:val="008E427C"/>
    <w:rsid w:val="008E4622"/>
    <w:rsid w:val="008E463A"/>
    <w:rsid w:val="008E4728"/>
    <w:rsid w:val="008E4AA1"/>
    <w:rsid w:val="008E4FDA"/>
    <w:rsid w:val="008E4FE6"/>
    <w:rsid w:val="008E5007"/>
    <w:rsid w:val="008E56C1"/>
    <w:rsid w:val="008E5843"/>
    <w:rsid w:val="008E585F"/>
    <w:rsid w:val="008E58BF"/>
    <w:rsid w:val="008E60D0"/>
    <w:rsid w:val="008E6442"/>
    <w:rsid w:val="008E650F"/>
    <w:rsid w:val="008E66BE"/>
    <w:rsid w:val="008E6A44"/>
    <w:rsid w:val="008E6B7F"/>
    <w:rsid w:val="008E6FBC"/>
    <w:rsid w:val="008E7510"/>
    <w:rsid w:val="008E75D1"/>
    <w:rsid w:val="008E7651"/>
    <w:rsid w:val="008E7708"/>
    <w:rsid w:val="008E7889"/>
    <w:rsid w:val="008E7B8B"/>
    <w:rsid w:val="008E7E5C"/>
    <w:rsid w:val="008F0134"/>
    <w:rsid w:val="008F04D6"/>
    <w:rsid w:val="008F0B83"/>
    <w:rsid w:val="008F0E18"/>
    <w:rsid w:val="008F0E30"/>
    <w:rsid w:val="008F10BC"/>
    <w:rsid w:val="008F1261"/>
    <w:rsid w:val="008F174F"/>
    <w:rsid w:val="008F1769"/>
    <w:rsid w:val="008F19E8"/>
    <w:rsid w:val="008F1AA7"/>
    <w:rsid w:val="008F1BC3"/>
    <w:rsid w:val="008F1DFC"/>
    <w:rsid w:val="008F1E54"/>
    <w:rsid w:val="008F1FBC"/>
    <w:rsid w:val="008F24E1"/>
    <w:rsid w:val="008F2520"/>
    <w:rsid w:val="008F2E5B"/>
    <w:rsid w:val="008F3435"/>
    <w:rsid w:val="008F36F4"/>
    <w:rsid w:val="008F3B84"/>
    <w:rsid w:val="008F3F09"/>
    <w:rsid w:val="008F4259"/>
    <w:rsid w:val="008F477E"/>
    <w:rsid w:val="008F4B1F"/>
    <w:rsid w:val="008F5E47"/>
    <w:rsid w:val="008F61D3"/>
    <w:rsid w:val="008F65C2"/>
    <w:rsid w:val="008F6C2E"/>
    <w:rsid w:val="008F730C"/>
    <w:rsid w:val="008F75EF"/>
    <w:rsid w:val="008F76C0"/>
    <w:rsid w:val="008F76CD"/>
    <w:rsid w:val="008F7713"/>
    <w:rsid w:val="008F77F2"/>
    <w:rsid w:val="0090122F"/>
    <w:rsid w:val="0090126B"/>
    <w:rsid w:val="00901333"/>
    <w:rsid w:val="00901960"/>
    <w:rsid w:val="00901BDA"/>
    <w:rsid w:val="00901DD2"/>
    <w:rsid w:val="00901E2E"/>
    <w:rsid w:val="00902031"/>
    <w:rsid w:val="0090211A"/>
    <w:rsid w:val="00902135"/>
    <w:rsid w:val="0090234B"/>
    <w:rsid w:val="0090239A"/>
    <w:rsid w:val="00902572"/>
    <w:rsid w:val="00902607"/>
    <w:rsid w:val="0090269E"/>
    <w:rsid w:val="009027CD"/>
    <w:rsid w:val="00902DF2"/>
    <w:rsid w:val="009030C1"/>
    <w:rsid w:val="00903C83"/>
    <w:rsid w:val="00904075"/>
    <w:rsid w:val="0090418E"/>
    <w:rsid w:val="00904191"/>
    <w:rsid w:val="00904503"/>
    <w:rsid w:val="0090457F"/>
    <w:rsid w:val="0090471A"/>
    <w:rsid w:val="009047A4"/>
    <w:rsid w:val="00905878"/>
    <w:rsid w:val="00905ACF"/>
    <w:rsid w:val="00905F11"/>
    <w:rsid w:val="0090618E"/>
    <w:rsid w:val="00906733"/>
    <w:rsid w:val="00906D3C"/>
    <w:rsid w:val="00907615"/>
    <w:rsid w:val="00910689"/>
    <w:rsid w:val="0091093B"/>
    <w:rsid w:val="009109DB"/>
    <w:rsid w:val="00910B0D"/>
    <w:rsid w:val="00910F28"/>
    <w:rsid w:val="0091112D"/>
    <w:rsid w:val="0091139D"/>
    <w:rsid w:val="0091173C"/>
    <w:rsid w:val="00911CFE"/>
    <w:rsid w:val="00911DA3"/>
    <w:rsid w:val="00911E41"/>
    <w:rsid w:val="00912188"/>
    <w:rsid w:val="00912332"/>
    <w:rsid w:val="00912537"/>
    <w:rsid w:val="00912548"/>
    <w:rsid w:val="00912677"/>
    <w:rsid w:val="0091298B"/>
    <w:rsid w:val="00912BC1"/>
    <w:rsid w:val="00912DB4"/>
    <w:rsid w:val="009133DA"/>
    <w:rsid w:val="009134D9"/>
    <w:rsid w:val="009135BB"/>
    <w:rsid w:val="00913F41"/>
    <w:rsid w:val="0091402E"/>
    <w:rsid w:val="0091410A"/>
    <w:rsid w:val="0091425A"/>
    <w:rsid w:val="009142A7"/>
    <w:rsid w:val="009144A7"/>
    <w:rsid w:val="00914674"/>
    <w:rsid w:val="0091485A"/>
    <w:rsid w:val="0091495F"/>
    <w:rsid w:val="00914CD7"/>
    <w:rsid w:val="009152EC"/>
    <w:rsid w:val="009153D4"/>
    <w:rsid w:val="0091559A"/>
    <w:rsid w:val="0091567E"/>
    <w:rsid w:val="00915699"/>
    <w:rsid w:val="00915C7E"/>
    <w:rsid w:val="009163B1"/>
    <w:rsid w:val="009166EB"/>
    <w:rsid w:val="009168BB"/>
    <w:rsid w:val="00916DD4"/>
    <w:rsid w:val="00916FE6"/>
    <w:rsid w:val="00917812"/>
    <w:rsid w:val="009178EA"/>
    <w:rsid w:val="00917DA1"/>
    <w:rsid w:val="00920420"/>
    <w:rsid w:val="00920732"/>
    <w:rsid w:val="00920934"/>
    <w:rsid w:val="0092093A"/>
    <w:rsid w:val="0092099B"/>
    <w:rsid w:val="00920A99"/>
    <w:rsid w:val="00920DAF"/>
    <w:rsid w:val="00921066"/>
    <w:rsid w:val="009210F8"/>
    <w:rsid w:val="009214C9"/>
    <w:rsid w:val="009215D1"/>
    <w:rsid w:val="00921663"/>
    <w:rsid w:val="009219A9"/>
    <w:rsid w:val="00921DF6"/>
    <w:rsid w:val="0092243F"/>
    <w:rsid w:val="00922665"/>
    <w:rsid w:val="00922784"/>
    <w:rsid w:val="00922AB2"/>
    <w:rsid w:val="0092313A"/>
    <w:rsid w:val="00923146"/>
    <w:rsid w:val="0092344C"/>
    <w:rsid w:val="0092370C"/>
    <w:rsid w:val="00923808"/>
    <w:rsid w:val="009238B9"/>
    <w:rsid w:val="009238D2"/>
    <w:rsid w:val="0092393B"/>
    <w:rsid w:val="00923A56"/>
    <w:rsid w:val="00923C74"/>
    <w:rsid w:val="00923DEB"/>
    <w:rsid w:val="00923E96"/>
    <w:rsid w:val="0092419B"/>
    <w:rsid w:val="0092449D"/>
    <w:rsid w:val="00924BEF"/>
    <w:rsid w:val="00924D41"/>
    <w:rsid w:val="00924D7C"/>
    <w:rsid w:val="00924F63"/>
    <w:rsid w:val="00925467"/>
    <w:rsid w:val="00925699"/>
    <w:rsid w:val="00925960"/>
    <w:rsid w:val="009259E4"/>
    <w:rsid w:val="00925C76"/>
    <w:rsid w:val="00925D41"/>
    <w:rsid w:val="00925D80"/>
    <w:rsid w:val="00926618"/>
    <w:rsid w:val="00926624"/>
    <w:rsid w:val="00926E84"/>
    <w:rsid w:val="00926E96"/>
    <w:rsid w:val="00926EDF"/>
    <w:rsid w:val="00926F3C"/>
    <w:rsid w:val="009271B4"/>
    <w:rsid w:val="00927958"/>
    <w:rsid w:val="009279BD"/>
    <w:rsid w:val="00930223"/>
    <w:rsid w:val="00930271"/>
    <w:rsid w:val="00930C25"/>
    <w:rsid w:val="00930EFF"/>
    <w:rsid w:val="00930FF7"/>
    <w:rsid w:val="00931067"/>
    <w:rsid w:val="009311B4"/>
    <w:rsid w:val="0093149E"/>
    <w:rsid w:val="009316C3"/>
    <w:rsid w:val="00931A93"/>
    <w:rsid w:val="00931CF9"/>
    <w:rsid w:val="009321D5"/>
    <w:rsid w:val="00932781"/>
    <w:rsid w:val="0093289D"/>
    <w:rsid w:val="0093308A"/>
    <w:rsid w:val="0093308B"/>
    <w:rsid w:val="009333F3"/>
    <w:rsid w:val="00933577"/>
    <w:rsid w:val="00933921"/>
    <w:rsid w:val="00933BE3"/>
    <w:rsid w:val="00933C9F"/>
    <w:rsid w:val="00933EF9"/>
    <w:rsid w:val="00934933"/>
    <w:rsid w:val="00934BA5"/>
    <w:rsid w:val="009351AC"/>
    <w:rsid w:val="009356B8"/>
    <w:rsid w:val="00935B8D"/>
    <w:rsid w:val="0093611C"/>
    <w:rsid w:val="009361A8"/>
    <w:rsid w:val="009363D0"/>
    <w:rsid w:val="00936925"/>
    <w:rsid w:val="009371BD"/>
    <w:rsid w:val="009372D4"/>
    <w:rsid w:val="00937352"/>
    <w:rsid w:val="009376CF"/>
    <w:rsid w:val="00937711"/>
    <w:rsid w:val="009379A4"/>
    <w:rsid w:val="00937D56"/>
    <w:rsid w:val="00937E18"/>
    <w:rsid w:val="00937E2E"/>
    <w:rsid w:val="00937F93"/>
    <w:rsid w:val="00940619"/>
    <w:rsid w:val="00940749"/>
    <w:rsid w:val="00940E51"/>
    <w:rsid w:val="00940E83"/>
    <w:rsid w:val="00940EB2"/>
    <w:rsid w:val="00940FDA"/>
    <w:rsid w:val="00941099"/>
    <w:rsid w:val="00941214"/>
    <w:rsid w:val="009413FB"/>
    <w:rsid w:val="00941408"/>
    <w:rsid w:val="00941D1B"/>
    <w:rsid w:val="009420CD"/>
    <w:rsid w:val="00942270"/>
    <w:rsid w:val="009422D0"/>
    <w:rsid w:val="009427A2"/>
    <w:rsid w:val="00942B2A"/>
    <w:rsid w:val="00943153"/>
    <w:rsid w:val="009431F5"/>
    <w:rsid w:val="009431FF"/>
    <w:rsid w:val="0094321D"/>
    <w:rsid w:val="00943416"/>
    <w:rsid w:val="00943483"/>
    <w:rsid w:val="009438A5"/>
    <w:rsid w:val="00943943"/>
    <w:rsid w:val="00943CEE"/>
    <w:rsid w:val="00943D3D"/>
    <w:rsid w:val="00943D6E"/>
    <w:rsid w:val="00943EBE"/>
    <w:rsid w:val="009442B0"/>
    <w:rsid w:val="009446AA"/>
    <w:rsid w:val="00945076"/>
    <w:rsid w:val="00945169"/>
    <w:rsid w:val="00945436"/>
    <w:rsid w:val="0094557E"/>
    <w:rsid w:val="00945658"/>
    <w:rsid w:val="00945A89"/>
    <w:rsid w:val="00945BF7"/>
    <w:rsid w:val="00946063"/>
    <w:rsid w:val="009462F0"/>
    <w:rsid w:val="00946607"/>
    <w:rsid w:val="00946E6A"/>
    <w:rsid w:val="0094753F"/>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9D3"/>
    <w:rsid w:val="00951A51"/>
    <w:rsid w:val="009522D3"/>
    <w:rsid w:val="00952609"/>
    <w:rsid w:val="00952AAE"/>
    <w:rsid w:val="00952AB6"/>
    <w:rsid w:val="00952FAC"/>
    <w:rsid w:val="00953258"/>
    <w:rsid w:val="009535A9"/>
    <w:rsid w:val="00953DCD"/>
    <w:rsid w:val="009543B8"/>
    <w:rsid w:val="00954776"/>
    <w:rsid w:val="00954E78"/>
    <w:rsid w:val="00954FE0"/>
    <w:rsid w:val="0095514F"/>
    <w:rsid w:val="0095530E"/>
    <w:rsid w:val="00955C52"/>
    <w:rsid w:val="00955C6A"/>
    <w:rsid w:val="00956323"/>
    <w:rsid w:val="00956AC7"/>
    <w:rsid w:val="00956D22"/>
    <w:rsid w:val="00956E01"/>
    <w:rsid w:val="009570EE"/>
    <w:rsid w:val="0095744A"/>
    <w:rsid w:val="00957497"/>
    <w:rsid w:val="009574E9"/>
    <w:rsid w:val="00957631"/>
    <w:rsid w:val="0095765A"/>
    <w:rsid w:val="00957722"/>
    <w:rsid w:val="009577C5"/>
    <w:rsid w:val="0095783C"/>
    <w:rsid w:val="00957EAC"/>
    <w:rsid w:val="009600A3"/>
    <w:rsid w:val="0096027B"/>
    <w:rsid w:val="00960413"/>
    <w:rsid w:val="00960886"/>
    <w:rsid w:val="00960CDC"/>
    <w:rsid w:val="00960E7F"/>
    <w:rsid w:val="00960EF3"/>
    <w:rsid w:val="00960F26"/>
    <w:rsid w:val="00961175"/>
    <w:rsid w:val="009613A9"/>
    <w:rsid w:val="0096151B"/>
    <w:rsid w:val="009617AF"/>
    <w:rsid w:val="009617EE"/>
    <w:rsid w:val="0096190F"/>
    <w:rsid w:val="00961A8F"/>
    <w:rsid w:val="00961D70"/>
    <w:rsid w:val="00961E6C"/>
    <w:rsid w:val="00961F0A"/>
    <w:rsid w:val="0096204C"/>
    <w:rsid w:val="00962095"/>
    <w:rsid w:val="00962134"/>
    <w:rsid w:val="009626E7"/>
    <w:rsid w:val="00962FA1"/>
    <w:rsid w:val="00963102"/>
    <w:rsid w:val="00963851"/>
    <w:rsid w:val="009639F7"/>
    <w:rsid w:val="00963D59"/>
    <w:rsid w:val="00963D76"/>
    <w:rsid w:val="00964008"/>
    <w:rsid w:val="009645D0"/>
    <w:rsid w:val="00964B4D"/>
    <w:rsid w:val="009651E6"/>
    <w:rsid w:val="009654E3"/>
    <w:rsid w:val="009656ED"/>
    <w:rsid w:val="00965A2B"/>
    <w:rsid w:val="00965B04"/>
    <w:rsid w:val="00965BAB"/>
    <w:rsid w:val="00965D6E"/>
    <w:rsid w:val="00965DE9"/>
    <w:rsid w:val="00965ECA"/>
    <w:rsid w:val="0096626E"/>
    <w:rsid w:val="00966389"/>
    <w:rsid w:val="0096645D"/>
    <w:rsid w:val="0096680A"/>
    <w:rsid w:val="009668A0"/>
    <w:rsid w:val="00966A6E"/>
    <w:rsid w:val="009674B7"/>
    <w:rsid w:val="00967AFA"/>
    <w:rsid w:val="00967E5E"/>
    <w:rsid w:val="00967F42"/>
    <w:rsid w:val="00970257"/>
    <w:rsid w:val="009702C1"/>
    <w:rsid w:val="009702F3"/>
    <w:rsid w:val="009703E3"/>
    <w:rsid w:val="00970C7F"/>
    <w:rsid w:val="00970F7D"/>
    <w:rsid w:val="00971C14"/>
    <w:rsid w:val="00971CD8"/>
    <w:rsid w:val="0097203C"/>
    <w:rsid w:val="009725F4"/>
    <w:rsid w:val="009726E1"/>
    <w:rsid w:val="00973848"/>
    <w:rsid w:val="00973CCE"/>
    <w:rsid w:val="00973F13"/>
    <w:rsid w:val="0097434D"/>
    <w:rsid w:val="00974527"/>
    <w:rsid w:val="00974605"/>
    <w:rsid w:val="0097475E"/>
    <w:rsid w:val="0097480B"/>
    <w:rsid w:val="00974866"/>
    <w:rsid w:val="00975166"/>
    <w:rsid w:val="00975345"/>
    <w:rsid w:val="00975E60"/>
    <w:rsid w:val="009773BE"/>
    <w:rsid w:val="009774DE"/>
    <w:rsid w:val="009775AA"/>
    <w:rsid w:val="009776F3"/>
    <w:rsid w:val="009777AB"/>
    <w:rsid w:val="009777F6"/>
    <w:rsid w:val="00977952"/>
    <w:rsid w:val="00977FFA"/>
    <w:rsid w:val="009806EA"/>
    <w:rsid w:val="0098086C"/>
    <w:rsid w:val="00980AAA"/>
    <w:rsid w:val="00980BB5"/>
    <w:rsid w:val="00980FC9"/>
    <w:rsid w:val="00981232"/>
    <w:rsid w:val="00981A04"/>
    <w:rsid w:val="00981DA4"/>
    <w:rsid w:val="009826D9"/>
    <w:rsid w:val="00983DFC"/>
    <w:rsid w:val="00983E2A"/>
    <w:rsid w:val="00983F09"/>
    <w:rsid w:val="009841E5"/>
    <w:rsid w:val="009842DD"/>
    <w:rsid w:val="0098464F"/>
    <w:rsid w:val="00984A78"/>
    <w:rsid w:val="00984AA3"/>
    <w:rsid w:val="00984D7A"/>
    <w:rsid w:val="009851FD"/>
    <w:rsid w:val="00985325"/>
    <w:rsid w:val="00985368"/>
    <w:rsid w:val="00985380"/>
    <w:rsid w:val="0098575F"/>
    <w:rsid w:val="00985A55"/>
    <w:rsid w:val="009861C3"/>
    <w:rsid w:val="009867C9"/>
    <w:rsid w:val="00986A77"/>
    <w:rsid w:val="00986AAA"/>
    <w:rsid w:val="00986DD9"/>
    <w:rsid w:val="009872C4"/>
    <w:rsid w:val="00987EB1"/>
    <w:rsid w:val="009905F1"/>
    <w:rsid w:val="0099078F"/>
    <w:rsid w:val="00990C49"/>
    <w:rsid w:val="00991EE3"/>
    <w:rsid w:val="00992442"/>
    <w:rsid w:val="00992B2B"/>
    <w:rsid w:val="00992E8C"/>
    <w:rsid w:val="00993041"/>
    <w:rsid w:val="00993463"/>
    <w:rsid w:val="009935FA"/>
    <w:rsid w:val="0099365E"/>
    <w:rsid w:val="0099379A"/>
    <w:rsid w:val="00993B02"/>
    <w:rsid w:val="00993F4B"/>
    <w:rsid w:val="0099412F"/>
    <w:rsid w:val="00994294"/>
    <w:rsid w:val="00994649"/>
    <w:rsid w:val="00994A5F"/>
    <w:rsid w:val="00994D41"/>
    <w:rsid w:val="00994F74"/>
    <w:rsid w:val="009950AD"/>
    <w:rsid w:val="0099510E"/>
    <w:rsid w:val="00995497"/>
    <w:rsid w:val="0099556C"/>
    <w:rsid w:val="00995A6B"/>
    <w:rsid w:val="00996324"/>
    <w:rsid w:val="0099668E"/>
    <w:rsid w:val="00996BED"/>
    <w:rsid w:val="00997188"/>
    <w:rsid w:val="009973A4"/>
    <w:rsid w:val="0099766E"/>
    <w:rsid w:val="0099775B"/>
    <w:rsid w:val="00997C26"/>
    <w:rsid w:val="00997D1B"/>
    <w:rsid w:val="00997D78"/>
    <w:rsid w:val="00997F9F"/>
    <w:rsid w:val="009A0106"/>
    <w:rsid w:val="009A05E4"/>
    <w:rsid w:val="009A0624"/>
    <w:rsid w:val="009A073A"/>
    <w:rsid w:val="009A0AB1"/>
    <w:rsid w:val="009A0CAE"/>
    <w:rsid w:val="009A0DB9"/>
    <w:rsid w:val="009A0E67"/>
    <w:rsid w:val="009A104C"/>
    <w:rsid w:val="009A185B"/>
    <w:rsid w:val="009A1C58"/>
    <w:rsid w:val="009A2096"/>
    <w:rsid w:val="009A23B6"/>
    <w:rsid w:val="009A23E6"/>
    <w:rsid w:val="009A2841"/>
    <w:rsid w:val="009A2858"/>
    <w:rsid w:val="009A31FD"/>
    <w:rsid w:val="009A37A6"/>
    <w:rsid w:val="009A3AE4"/>
    <w:rsid w:val="009A3D37"/>
    <w:rsid w:val="009A3FB2"/>
    <w:rsid w:val="009A40C5"/>
    <w:rsid w:val="009A425D"/>
    <w:rsid w:val="009A4D82"/>
    <w:rsid w:val="009A4EEF"/>
    <w:rsid w:val="009A5038"/>
    <w:rsid w:val="009A56B9"/>
    <w:rsid w:val="009A5BE5"/>
    <w:rsid w:val="009A5F66"/>
    <w:rsid w:val="009A636B"/>
    <w:rsid w:val="009A6A50"/>
    <w:rsid w:val="009A6BCF"/>
    <w:rsid w:val="009A6DD4"/>
    <w:rsid w:val="009A6F7F"/>
    <w:rsid w:val="009A6FD5"/>
    <w:rsid w:val="009A77B9"/>
    <w:rsid w:val="009B035A"/>
    <w:rsid w:val="009B0810"/>
    <w:rsid w:val="009B0B47"/>
    <w:rsid w:val="009B1289"/>
    <w:rsid w:val="009B12EC"/>
    <w:rsid w:val="009B1391"/>
    <w:rsid w:val="009B169A"/>
    <w:rsid w:val="009B17DE"/>
    <w:rsid w:val="009B2BD7"/>
    <w:rsid w:val="009B347C"/>
    <w:rsid w:val="009B360B"/>
    <w:rsid w:val="009B3DF8"/>
    <w:rsid w:val="009B451E"/>
    <w:rsid w:val="009B4B94"/>
    <w:rsid w:val="009B4D31"/>
    <w:rsid w:val="009B4F15"/>
    <w:rsid w:val="009B5788"/>
    <w:rsid w:val="009B5794"/>
    <w:rsid w:val="009B5CDC"/>
    <w:rsid w:val="009B5EE2"/>
    <w:rsid w:val="009B6579"/>
    <w:rsid w:val="009B6E36"/>
    <w:rsid w:val="009B704F"/>
    <w:rsid w:val="009B7349"/>
    <w:rsid w:val="009B7372"/>
    <w:rsid w:val="009B73D0"/>
    <w:rsid w:val="009B7B23"/>
    <w:rsid w:val="009B7B6F"/>
    <w:rsid w:val="009B7D4E"/>
    <w:rsid w:val="009C012F"/>
    <w:rsid w:val="009C018A"/>
    <w:rsid w:val="009C0F29"/>
    <w:rsid w:val="009C16A2"/>
    <w:rsid w:val="009C197B"/>
    <w:rsid w:val="009C1B03"/>
    <w:rsid w:val="009C1EC3"/>
    <w:rsid w:val="009C1FEF"/>
    <w:rsid w:val="009C20AF"/>
    <w:rsid w:val="009C210E"/>
    <w:rsid w:val="009C2189"/>
    <w:rsid w:val="009C21FE"/>
    <w:rsid w:val="009C23A5"/>
    <w:rsid w:val="009C289E"/>
    <w:rsid w:val="009C2A26"/>
    <w:rsid w:val="009C2E69"/>
    <w:rsid w:val="009C2E74"/>
    <w:rsid w:val="009C368B"/>
    <w:rsid w:val="009C3B8B"/>
    <w:rsid w:val="009C40E9"/>
    <w:rsid w:val="009C411E"/>
    <w:rsid w:val="009C4257"/>
    <w:rsid w:val="009C45B6"/>
    <w:rsid w:val="009C48FB"/>
    <w:rsid w:val="009C4B57"/>
    <w:rsid w:val="009C4EDF"/>
    <w:rsid w:val="009C4F59"/>
    <w:rsid w:val="009C5081"/>
    <w:rsid w:val="009C536E"/>
    <w:rsid w:val="009C54EB"/>
    <w:rsid w:val="009C55DC"/>
    <w:rsid w:val="009C5859"/>
    <w:rsid w:val="009C5B42"/>
    <w:rsid w:val="009C5E07"/>
    <w:rsid w:val="009C5E74"/>
    <w:rsid w:val="009C5EC5"/>
    <w:rsid w:val="009C6C5C"/>
    <w:rsid w:val="009C6F3C"/>
    <w:rsid w:val="009C6FBE"/>
    <w:rsid w:val="009C70BB"/>
    <w:rsid w:val="009C723C"/>
    <w:rsid w:val="009C77C1"/>
    <w:rsid w:val="009C7990"/>
    <w:rsid w:val="009D01F6"/>
    <w:rsid w:val="009D06DC"/>
    <w:rsid w:val="009D073C"/>
    <w:rsid w:val="009D0885"/>
    <w:rsid w:val="009D0B41"/>
    <w:rsid w:val="009D0EAE"/>
    <w:rsid w:val="009D0F5C"/>
    <w:rsid w:val="009D0F75"/>
    <w:rsid w:val="009D198E"/>
    <w:rsid w:val="009D1AEA"/>
    <w:rsid w:val="009D1EE1"/>
    <w:rsid w:val="009D1FB6"/>
    <w:rsid w:val="009D229C"/>
    <w:rsid w:val="009D2641"/>
    <w:rsid w:val="009D28C6"/>
    <w:rsid w:val="009D2D97"/>
    <w:rsid w:val="009D2F80"/>
    <w:rsid w:val="009D3833"/>
    <w:rsid w:val="009D3CEC"/>
    <w:rsid w:val="009D3FE3"/>
    <w:rsid w:val="009D4414"/>
    <w:rsid w:val="009D4811"/>
    <w:rsid w:val="009D4930"/>
    <w:rsid w:val="009D49AC"/>
    <w:rsid w:val="009D4A5A"/>
    <w:rsid w:val="009D4FD7"/>
    <w:rsid w:val="009D50AA"/>
    <w:rsid w:val="009D50F0"/>
    <w:rsid w:val="009D5100"/>
    <w:rsid w:val="009D51C8"/>
    <w:rsid w:val="009D5952"/>
    <w:rsid w:val="009D5B41"/>
    <w:rsid w:val="009D5B61"/>
    <w:rsid w:val="009D621D"/>
    <w:rsid w:val="009D66DB"/>
    <w:rsid w:val="009D69F2"/>
    <w:rsid w:val="009D6DD7"/>
    <w:rsid w:val="009D6E08"/>
    <w:rsid w:val="009D6E46"/>
    <w:rsid w:val="009D77BD"/>
    <w:rsid w:val="009D782E"/>
    <w:rsid w:val="009D7986"/>
    <w:rsid w:val="009D7AF0"/>
    <w:rsid w:val="009E0740"/>
    <w:rsid w:val="009E078B"/>
    <w:rsid w:val="009E0923"/>
    <w:rsid w:val="009E0947"/>
    <w:rsid w:val="009E0C26"/>
    <w:rsid w:val="009E124A"/>
    <w:rsid w:val="009E1A18"/>
    <w:rsid w:val="009E1A7A"/>
    <w:rsid w:val="009E21C0"/>
    <w:rsid w:val="009E238F"/>
    <w:rsid w:val="009E28FC"/>
    <w:rsid w:val="009E300D"/>
    <w:rsid w:val="009E33C4"/>
    <w:rsid w:val="009E37A6"/>
    <w:rsid w:val="009E4DD9"/>
    <w:rsid w:val="009E51CE"/>
    <w:rsid w:val="009E524E"/>
    <w:rsid w:val="009E53E6"/>
    <w:rsid w:val="009E56F8"/>
    <w:rsid w:val="009E5DCB"/>
    <w:rsid w:val="009E5E3D"/>
    <w:rsid w:val="009E64A0"/>
    <w:rsid w:val="009E671B"/>
    <w:rsid w:val="009E6737"/>
    <w:rsid w:val="009E67F4"/>
    <w:rsid w:val="009E6A6E"/>
    <w:rsid w:val="009E6F0D"/>
    <w:rsid w:val="009E6F2B"/>
    <w:rsid w:val="009E702D"/>
    <w:rsid w:val="009E71D2"/>
    <w:rsid w:val="009E7454"/>
    <w:rsid w:val="009E7E25"/>
    <w:rsid w:val="009F0060"/>
    <w:rsid w:val="009F02F2"/>
    <w:rsid w:val="009F042B"/>
    <w:rsid w:val="009F0651"/>
    <w:rsid w:val="009F0C4E"/>
    <w:rsid w:val="009F0FA9"/>
    <w:rsid w:val="009F1035"/>
    <w:rsid w:val="009F104F"/>
    <w:rsid w:val="009F1328"/>
    <w:rsid w:val="009F13DB"/>
    <w:rsid w:val="009F1899"/>
    <w:rsid w:val="009F1F3D"/>
    <w:rsid w:val="009F2381"/>
    <w:rsid w:val="009F254E"/>
    <w:rsid w:val="009F26C1"/>
    <w:rsid w:val="009F271B"/>
    <w:rsid w:val="009F278A"/>
    <w:rsid w:val="009F2BED"/>
    <w:rsid w:val="009F2FB9"/>
    <w:rsid w:val="009F3211"/>
    <w:rsid w:val="009F37C3"/>
    <w:rsid w:val="009F3A6B"/>
    <w:rsid w:val="009F3BA9"/>
    <w:rsid w:val="009F3DF9"/>
    <w:rsid w:val="009F3E2D"/>
    <w:rsid w:val="009F4223"/>
    <w:rsid w:val="009F431F"/>
    <w:rsid w:val="009F4409"/>
    <w:rsid w:val="009F4804"/>
    <w:rsid w:val="009F490C"/>
    <w:rsid w:val="009F4D2F"/>
    <w:rsid w:val="009F4DAC"/>
    <w:rsid w:val="009F4DFF"/>
    <w:rsid w:val="009F4F74"/>
    <w:rsid w:val="009F589C"/>
    <w:rsid w:val="009F59DE"/>
    <w:rsid w:val="009F5B0F"/>
    <w:rsid w:val="009F5DEB"/>
    <w:rsid w:val="009F5E37"/>
    <w:rsid w:val="009F65F8"/>
    <w:rsid w:val="009F6EFB"/>
    <w:rsid w:val="009F7037"/>
    <w:rsid w:val="009F7412"/>
    <w:rsid w:val="009F77B9"/>
    <w:rsid w:val="009F77CF"/>
    <w:rsid w:val="009F7881"/>
    <w:rsid w:val="009F7B62"/>
    <w:rsid w:val="00A00CC0"/>
    <w:rsid w:val="00A00F74"/>
    <w:rsid w:val="00A0143D"/>
    <w:rsid w:val="00A01B1A"/>
    <w:rsid w:val="00A01CDB"/>
    <w:rsid w:val="00A020E6"/>
    <w:rsid w:val="00A025E1"/>
    <w:rsid w:val="00A02986"/>
    <w:rsid w:val="00A02D80"/>
    <w:rsid w:val="00A02F6E"/>
    <w:rsid w:val="00A031CC"/>
    <w:rsid w:val="00A0326B"/>
    <w:rsid w:val="00A0335C"/>
    <w:rsid w:val="00A036BD"/>
    <w:rsid w:val="00A03ADE"/>
    <w:rsid w:val="00A0426B"/>
    <w:rsid w:val="00A04C53"/>
    <w:rsid w:val="00A04D84"/>
    <w:rsid w:val="00A0519E"/>
    <w:rsid w:val="00A051B7"/>
    <w:rsid w:val="00A051FD"/>
    <w:rsid w:val="00A05286"/>
    <w:rsid w:val="00A0545B"/>
    <w:rsid w:val="00A0563B"/>
    <w:rsid w:val="00A05857"/>
    <w:rsid w:val="00A05913"/>
    <w:rsid w:val="00A05979"/>
    <w:rsid w:val="00A05A2F"/>
    <w:rsid w:val="00A05A85"/>
    <w:rsid w:val="00A05C52"/>
    <w:rsid w:val="00A05F6F"/>
    <w:rsid w:val="00A0683D"/>
    <w:rsid w:val="00A06A12"/>
    <w:rsid w:val="00A075CF"/>
    <w:rsid w:val="00A07730"/>
    <w:rsid w:val="00A1007A"/>
    <w:rsid w:val="00A10260"/>
    <w:rsid w:val="00A10278"/>
    <w:rsid w:val="00A10349"/>
    <w:rsid w:val="00A10404"/>
    <w:rsid w:val="00A10B95"/>
    <w:rsid w:val="00A10DA0"/>
    <w:rsid w:val="00A1107F"/>
    <w:rsid w:val="00A114EC"/>
    <w:rsid w:val="00A115CB"/>
    <w:rsid w:val="00A116D8"/>
    <w:rsid w:val="00A117FC"/>
    <w:rsid w:val="00A117FD"/>
    <w:rsid w:val="00A11C68"/>
    <w:rsid w:val="00A12746"/>
    <w:rsid w:val="00A12893"/>
    <w:rsid w:val="00A12B7F"/>
    <w:rsid w:val="00A13758"/>
    <w:rsid w:val="00A13A4E"/>
    <w:rsid w:val="00A13C06"/>
    <w:rsid w:val="00A13C3B"/>
    <w:rsid w:val="00A13DB7"/>
    <w:rsid w:val="00A13EA4"/>
    <w:rsid w:val="00A13F16"/>
    <w:rsid w:val="00A1420E"/>
    <w:rsid w:val="00A146C3"/>
    <w:rsid w:val="00A14714"/>
    <w:rsid w:val="00A1478F"/>
    <w:rsid w:val="00A14B4B"/>
    <w:rsid w:val="00A14EAE"/>
    <w:rsid w:val="00A153CE"/>
    <w:rsid w:val="00A15CBE"/>
    <w:rsid w:val="00A15F88"/>
    <w:rsid w:val="00A16022"/>
    <w:rsid w:val="00A16446"/>
    <w:rsid w:val="00A1687D"/>
    <w:rsid w:val="00A16AEE"/>
    <w:rsid w:val="00A16B15"/>
    <w:rsid w:val="00A16C1E"/>
    <w:rsid w:val="00A16DD8"/>
    <w:rsid w:val="00A16EE0"/>
    <w:rsid w:val="00A16F53"/>
    <w:rsid w:val="00A170DC"/>
    <w:rsid w:val="00A17364"/>
    <w:rsid w:val="00A177FD"/>
    <w:rsid w:val="00A17830"/>
    <w:rsid w:val="00A17A0B"/>
    <w:rsid w:val="00A17E97"/>
    <w:rsid w:val="00A17F09"/>
    <w:rsid w:val="00A2037C"/>
    <w:rsid w:val="00A20C06"/>
    <w:rsid w:val="00A21D1D"/>
    <w:rsid w:val="00A21DE6"/>
    <w:rsid w:val="00A224B4"/>
    <w:rsid w:val="00A2250A"/>
    <w:rsid w:val="00A227DA"/>
    <w:rsid w:val="00A22902"/>
    <w:rsid w:val="00A2306E"/>
    <w:rsid w:val="00A236E2"/>
    <w:rsid w:val="00A23727"/>
    <w:rsid w:val="00A23CCA"/>
    <w:rsid w:val="00A23E9D"/>
    <w:rsid w:val="00A24BD0"/>
    <w:rsid w:val="00A24D21"/>
    <w:rsid w:val="00A254F7"/>
    <w:rsid w:val="00A25BA0"/>
    <w:rsid w:val="00A25EAE"/>
    <w:rsid w:val="00A25F3A"/>
    <w:rsid w:val="00A26175"/>
    <w:rsid w:val="00A2638C"/>
    <w:rsid w:val="00A2673C"/>
    <w:rsid w:val="00A26B9C"/>
    <w:rsid w:val="00A27117"/>
    <w:rsid w:val="00A27320"/>
    <w:rsid w:val="00A277B5"/>
    <w:rsid w:val="00A2795C"/>
    <w:rsid w:val="00A27A75"/>
    <w:rsid w:val="00A27BD4"/>
    <w:rsid w:val="00A27DF5"/>
    <w:rsid w:val="00A301FA"/>
    <w:rsid w:val="00A303DD"/>
    <w:rsid w:val="00A30F0E"/>
    <w:rsid w:val="00A31026"/>
    <w:rsid w:val="00A311AE"/>
    <w:rsid w:val="00A31598"/>
    <w:rsid w:val="00A3162B"/>
    <w:rsid w:val="00A316E3"/>
    <w:rsid w:val="00A31EE2"/>
    <w:rsid w:val="00A321F4"/>
    <w:rsid w:val="00A32300"/>
    <w:rsid w:val="00A323C3"/>
    <w:rsid w:val="00A32B9B"/>
    <w:rsid w:val="00A32CBD"/>
    <w:rsid w:val="00A32E56"/>
    <w:rsid w:val="00A33173"/>
    <w:rsid w:val="00A3339D"/>
    <w:rsid w:val="00A33576"/>
    <w:rsid w:val="00A341E0"/>
    <w:rsid w:val="00A343AD"/>
    <w:rsid w:val="00A343D6"/>
    <w:rsid w:val="00A3441D"/>
    <w:rsid w:val="00A34441"/>
    <w:rsid w:val="00A34851"/>
    <w:rsid w:val="00A3486F"/>
    <w:rsid w:val="00A348AF"/>
    <w:rsid w:val="00A3495C"/>
    <w:rsid w:val="00A34D78"/>
    <w:rsid w:val="00A34F49"/>
    <w:rsid w:val="00A351B9"/>
    <w:rsid w:val="00A351F4"/>
    <w:rsid w:val="00A353DC"/>
    <w:rsid w:val="00A355DD"/>
    <w:rsid w:val="00A35656"/>
    <w:rsid w:val="00A35CAF"/>
    <w:rsid w:val="00A35F8F"/>
    <w:rsid w:val="00A36129"/>
    <w:rsid w:val="00A362BD"/>
    <w:rsid w:val="00A363E6"/>
    <w:rsid w:val="00A36484"/>
    <w:rsid w:val="00A36518"/>
    <w:rsid w:val="00A365DB"/>
    <w:rsid w:val="00A3689D"/>
    <w:rsid w:val="00A36FEC"/>
    <w:rsid w:val="00A37230"/>
    <w:rsid w:val="00A372BC"/>
    <w:rsid w:val="00A373CF"/>
    <w:rsid w:val="00A374A4"/>
    <w:rsid w:val="00A376DF"/>
    <w:rsid w:val="00A3777B"/>
    <w:rsid w:val="00A37862"/>
    <w:rsid w:val="00A37C97"/>
    <w:rsid w:val="00A401A0"/>
    <w:rsid w:val="00A40496"/>
    <w:rsid w:val="00A40701"/>
    <w:rsid w:val="00A4092A"/>
    <w:rsid w:val="00A41137"/>
    <w:rsid w:val="00A41438"/>
    <w:rsid w:val="00A415D7"/>
    <w:rsid w:val="00A4162E"/>
    <w:rsid w:val="00A416AF"/>
    <w:rsid w:val="00A41C54"/>
    <w:rsid w:val="00A41E73"/>
    <w:rsid w:val="00A4218A"/>
    <w:rsid w:val="00A42308"/>
    <w:rsid w:val="00A43176"/>
    <w:rsid w:val="00A434D5"/>
    <w:rsid w:val="00A43516"/>
    <w:rsid w:val="00A43869"/>
    <w:rsid w:val="00A43F67"/>
    <w:rsid w:val="00A44495"/>
    <w:rsid w:val="00A445B2"/>
    <w:rsid w:val="00A44BEC"/>
    <w:rsid w:val="00A44F62"/>
    <w:rsid w:val="00A45370"/>
    <w:rsid w:val="00A453C1"/>
    <w:rsid w:val="00A45696"/>
    <w:rsid w:val="00A45D2D"/>
    <w:rsid w:val="00A45E1E"/>
    <w:rsid w:val="00A46023"/>
    <w:rsid w:val="00A460EC"/>
    <w:rsid w:val="00A462A2"/>
    <w:rsid w:val="00A46405"/>
    <w:rsid w:val="00A4648D"/>
    <w:rsid w:val="00A46499"/>
    <w:rsid w:val="00A46550"/>
    <w:rsid w:val="00A465AD"/>
    <w:rsid w:val="00A46826"/>
    <w:rsid w:val="00A46D20"/>
    <w:rsid w:val="00A471B3"/>
    <w:rsid w:val="00A4782C"/>
    <w:rsid w:val="00A47EFC"/>
    <w:rsid w:val="00A50075"/>
    <w:rsid w:val="00A50541"/>
    <w:rsid w:val="00A50B15"/>
    <w:rsid w:val="00A50D04"/>
    <w:rsid w:val="00A50E6F"/>
    <w:rsid w:val="00A50ECC"/>
    <w:rsid w:val="00A50FB2"/>
    <w:rsid w:val="00A5123C"/>
    <w:rsid w:val="00A51502"/>
    <w:rsid w:val="00A51C78"/>
    <w:rsid w:val="00A51D47"/>
    <w:rsid w:val="00A5210F"/>
    <w:rsid w:val="00A523DE"/>
    <w:rsid w:val="00A52C1B"/>
    <w:rsid w:val="00A52CD8"/>
    <w:rsid w:val="00A52D40"/>
    <w:rsid w:val="00A532A7"/>
    <w:rsid w:val="00A532D3"/>
    <w:rsid w:val="00A53BD7"/>
    <w:rsid w:val="00A53D95"/>
    <w:rsid w:val="00A53E93"/>
    <w:rsid w:val="00A53F46"/>
    <w:rsid w:val="00A54366"/>
    <w:rsid w:val="00A544DA"/>
    <w:rsid w:val="00A54667"/>
    <w:rsid w:val="00A546E0"/>
    <w:rsid w:val="00A54872"/>
    <w:rsid w:val="00A5492E"/>
    <w:rsid w:val="00A54BBA"/>
    <w:rsid w:val="00A5509B"/>
    <w:rsid w:val="00A55348"/>
    <w:rsid w:val="00A55B83"/>
    <w:rsid w:val="00A55DE5"/>
    <w:rsid w:val="00A55EA2"/>
    <w:rsid w:val="00A55F73"/>
    <w:rsid w:val="00A565EC"/>
    <w:rsid w:val="00A567A5"/>
    <w:rsid w:val="00A56A44"/>
    <w:rsid w:val="00A56F53"/>
    <w:rsid w:val="00A575E1"/>
    <w:rsid w:val="00A5771E"/>
    <w:rsid w:val="00A57735"/>
    <w:rsid w:val="00A57AA7"/>
    <w:rsid w:val="00A57DF2"/>
    <w:rsid w:val="00A6013F"/>
    <w:rsid w:val="00A604E1"/>
    <w:rsid w:val="00A604E7"/>
    <w:rsid w:val="00A60776"/>
    <w:rsid w:val="00A607A0"/>
    <w:rsid w:val="00A609B2"/>
    <w:rsid w:val="00A609F0"/>
    <w:rsid w:val="00A60BE8"/>
    <w:rsid w:val="00A60E10"/>
    <w:rsid w:val="00A610FE"/>
    <w:rsid w:val="00A61493"/>
    <w:rsid w:val="00A61583"/>
    <w:rsid w:val="00A617C4"/>
    <w:rsid w:val="00A61BD5"/>
    <w:rsid w:val="00A61DF7"/>
    <w:rsid w:val="00A61EAD"/>
    <w:rsid w:val="00A61FDD"/>
    <w:rsid w:val="00A622F9"/>
    <w:rsid w:val="00A624E9"/>
    <w:rsid w:val="00A624EB"/>
    <w:rsid w:val="00A626C9"/>
    <w:rsid w:val="00A62A6A"/>
    <w:rsid w:val="00A62F7C"/>
    <w:rsid w:val="00A63207"/>
    <w:rsid w:val="00A63742"/>
    <w:rsid w:val="00A6391B"/>
    <w:rsid w:val="00A63BFA"/>
    <w:rsid w:val="00A63D60"/>
    <w:rsid w:val="00A64365"/>
    <w:rsid w:val="00A645FA"/>
    <w:rsid w:val="00A6470D"/>
    <w:rsid w:val="00A64731"/>
    <w:rsid w:val="00A647C4"/>
    <w:rsid w:val="00A659F7"/>
    <w:rsid w:val="00A65AEE"/>
    <w:rsid w:val="00A662A5"/>
    <w:rsid w:val="00A663AA"/>
    <w:rsid w:val="00A66610"/>
    <w:rsid w:val="00A66780"/>
    <w:rsid w:val="00A6697A"/>
    <w:rsid w:val="00A66A37"/>
    <w:rsid w:val="00A66D08"/>
    <w:rsid w:val="00A67036"/>
    <w:rsid w:val="00A6767A"/>
    <w:rsid w:val="00A67C37"/>
    <w:rsid w:val="00A67DD6"/>
    <w:rsid w:val="00A7014A"/>
    <w:rsid w:val="00A7038B"/>
    <w:rsid w:val="00A709E4"/>
    <w:rsid w:val="00A70B53"/>
    <w:rsid w:val="00A70D64"/>
    <w:rsid w:val="00A71090"/>
    <w:rsid w:val="00A711EC"/>
    <w:rsid w:val="00A712C6"/>
    <w:rsid w:val="00A713F2"/>
    <w:rsid w:val="00A7152C"/>
    <w:rsid w:val="00A7182B"/>
    <w:rsid w:val="00A71D8A"/>
    <w:rsid w:val="00A71FEC"/>
    <w:rsid w:val="00A722CE"/>
    <w:rsid w:val="00A723F4"/>
    <w:rsid w:val="00A724E5"/>
    <w:rsid w:val="00A728C8"/>
    <w:rsid w:val="00A729A7"/>
    <w:rsid w:val="00A72AF1"/>
    <w:rsid w:val="00A72C75"/>
    <w:rsid w:val="00A72D78"/>
    <w:rsid w:val="00A72DBF"/>
    <w:rsid w:val="00A7306F"/>
    <w:rsid w:val="00A735F1"/>
    <w:rsid w:val="00A7367E"/>
    <w:rsid w:val="00A73708"/>
    <w:rsid w:val="00A73D58"/>
    <w:rsid w:val="00A73E1A"/>
    <w:rsid w:val="00A741D0"/>
    <w:rsid w:val="00A747AC"/>
    <w:rsid w:val="00A747C9"/>
    <w:rsid w:val="00A74AA6"/>
    <w:rsid w:val="00A74C68"/>
    <w:rsid w:val="00A74CF2"/>
    <w:rsid w:val="00A74D21"/>
    <w:rsid w:val="00A74E2B"/>
    <w:rsid w:val="00A74E99"/>
    <w:rsid w:val="00A74F9B"/>
    <w:rsid w:val="00A7577D"/>
    <w:rsid w:val="00A75BBE"/>
    <w:rsid w:val="00A75CF7"/>
    <w:rsid w:val="00A75F19"/>
    <w:rsid w:val="00A76072"/>
    <w:rsid w:val="00A76379"/>
    <w:rsid w:val="00A763C1"/>
    <w:rsid w:val="00A76547"/>
    <w:rsid w:val="00A76DFF"/>
    <w:rsid w:val="00A76E44"/>
    <w:rsid w:val="00A7732F"/>
    <w:rsid w:val="00A774C1"/>
    <w:rsid w:val="00A77563"/>
    <w:rsid w:val="00A779F3"/>
    <w:rsid w:val="00A77DF3"/>
    <w:rsid w:val="00A8005B"/>
    <w:rsid w:val="00A80569"/>
    <w:rsid w:val="00A80A18"/>
    <w:rsid w:val="00A80ABD"/>
    <w:rsid w:val="00A80B23"/>
    <w:rsid w:val="00A814E8"/>
    <w:rsid w:val="00A81710"/>
    <w:rsid w:val="00A81A35"/>
    <w:rsid w:val="00A81BEA"/>
    <w:rsid w:val="00A81C9E"/>
    <w:rsid w:val="00A81F39"/>
    <w:rsid w:val="00A82342"/>
    <w:rsid w:val="00A82668"/>
    <w:rsid w:val="00A8271D"/>
    <w:rsid w:val="00A82B73"/>
    <w:rsid w:val="00A82DB1"/>
    <w:rsid w:val="00A82DC9"/>
    <w:rsid w:val="00A82DD3"/>
    <w:rsid w:val="00A82FB3"/>
    <w:rsid w:val="00A83A7D"/>
    <w:rsid w:val="00A84014"/>
    <w:rsid w:val="00A847DB"/>
    <w:rsid w:val="00A84A32"/>
    <w:rsid w:val="00A85C14"/>
    <w:rsid w:val="00A85E90"/>
    <w:rsid w:val="00A860B5"/>
    <w:rsid w:val="00A86D14"/>
    <w:rsid w:val="00A86D86"/>
    <w:rsid w:val="00A871A3"/>
    <w:rsid w:val="00A87A44"/>
    <w:rsid w:val="00A900B3"/>
    <w:rsid w:val="00A9010F"/>
    <w:rsid w:val="00A9031A"/>
    <w:rsid w:val="00A906BF"/>
    <w:rsid w:val="00A90A9A"/>
    <w:rsid w:val="00A910AA"/>
    <w:rsid w:val="00A910E3"/>
    <w:rsid w:val="00A911F0"/>
    <w:rsid w:val="00A9136B"/>
    <w:rsid w:val="00A914BC"/>
    <w:rsid w:val="00A917BF"/>
    <w:rsid w:val="00A91D35"/>
    <w:rsid w:val="00A91E72"/>
    <w:rsid w:val="00A92361"/>
    <w:rsid w:val="00A92539"/>
    <w:rsid w:val="00A92682"/>
    <w:rsid w:val="00A92AC7"/>
    <w:rsid w:val="00A92B93"/>
    <w:rsid w:val="00A92F1C"/>
    <w:rsid w:val="00A9319A"/>
    <w:rsid w:val="00A936D9"/>
    <w:rsid w:val="00A93786"/>
    <w:rsid w:val="00A937B1"/>
    <w:rsid w:val="00A938E3"/>
    <w:rsid w:val="00A9407C"/>
    <w:rsid w:val="00A941B5"/>
    <w:rsid w:val="00A947E5"/>
    <w:rsid w:val="00A94821"/>
    <w:rsid w:val="00A94A9B"/>
    <w:rsid w:val="00A94AEB"/>
    <w:rsid w:val="00A9504A"/>
    <w:rsid w:val="00A952E3"/>
    <w:rsid w:val="00A954B7"/>
    <w:rsid w:val="00A956E0"/>
    <w:rsid w:val="00A95D11"/>
    <w:rsid w:val="00A95FD7"/>
    <w:rsid w:val="00A966A6"/>
    <w:rsid w:val="00A96804"/>
    <w:rsid w:val="00A96A63"/>
    <w:rsid w:val="00A96C04"/>
    <w:rsid w:val="00A96C8E"/>
    <w:rsid w:val="00A97216"/>
    <w:rsid w:val="00A9739B"/>
    <w:rsid w:val="00A976CA"/>
    <w:rsid w:val="00A977A4"/>
    <w:rsid w:val="00A979E4"/>
    <w:rsid w:val="00A97CE8"/>
    <w:rsid w:val="00A97D45"/>
    <w:rsid w:val="00AA0509"/>
    <w:rsid w:val="00AA0665"/>
    <w:rsid w:val="00AA10EF"/>
    <w:rsid w:val="00AA1215"/>
    <w:rsid w:val="00AA1412"/>
    <w:rsid w:val="00AA1866"/>
    <w:rsid w:val="00AA192E"/>
    <w:rsid w:val="00AA1D75"/>
    <w:rsid w:val="00AA211E"/>
    <w:rsid w:val="00AA2ECC"/>
    <w:rsid w:val="00AA3869"/>
    <w:rsid w:val="00AA38AC"/>
    <w:rsid w:val="00AA3AC3"/>
    <w:rsid w:val="00AA3B84"/>
    <w:rsid w:val="00AA3EFD"/>
    <w:rsid w:val="00AA4621"/>
    <w:rsid w:val="00AA4680"/>
    <w:rsid w:val="00AA50CA"/>
    <w:rsid w:val="00AA538D"/>
    <w:rsid w:val="00AA56BD"/>
    <w:rsid w:val="00AA59F0"/>
    <w:rsid w:val="00AA5C69"/>
    <w:rsid w:val="00AA63C4"/>
    <w:rsid w:val="00AA6757"/>
    <w:rsid w:val="00AA6B1D"/>
    <w:rsid w:val="00AA76E0"/>
    <w:rsid w:val="00AA787E"/>
    <w:rsid w:val="00AB00E5"/>
    <w:rsid w:val="00AB0155"/>
    <w:rsid w:val="00AB0394"/>
    <w:rsid w:val="00AB06BD"/>
    <w:rsid w:val="00AB06D9"/>
    <w:rsid w:val="00AB0921"/>
    <w:rsid w:val="00AB0AFA"/>
    <w:rsid w:val="00AB0B96"/>
    <w:rsid w:val="00AB0C23"/>
    <w:rsid w:val="00AB0D99"/>
    <w:rsid w:val="00AB0E78"/>
    <w:rsid w:val="00AB1127"/>
    <w:rsid w:val="00AB12AF"/>
    <w:rsid w:val="00AB12D8"/>
    <w:rsid w:val="00AB1633"/>
    <w:rsid w:val="00AB1B2E"/>
    <w:rsid w:val="00AB1B9A"/>
    <w:rsid w:val="00AB1BEB"/>
    <w:rsid w:val="00AB1D9E"/>
    <w:rsid w:val="00AB1DF7"/>
    <w:rsid w:val="00AB2081"/>
    <w:rsid w:val="00AB20A8"/>
    <w:rsid w:val="00AB2217"/>
    <w:rsid w:val="00AB23D3"/>
    <w:rsid w:val="00AB25A4"/>
    <w:rsid w:val="00AB2986"/>
    <w:rsid w:val="00AB2C61"/>
    <w:rsid w:val="00AB2C66"/>
    <w:rsid w:val="00AB2DF0"/>
    <w:rsid w:val="00AB37A9"/>
    <w:rsid w:val="00AB3B71"/>
    <w:rsid w:val="00AB3CE3"/>
    <w:rsid w:val="00AB42BE"/>
    <w:rsid w:val="00AB43CD"/>
    <w:rsid w:val="00AB45F1"/>
    <w:rsid w:val="00AB4B71"/>
    <w:rsid w:val="00AB4BFC"/>
    <w:rsid w:val="00AB4E1F"/>
    <w:rsid w:val="00AB4E3B"/>
    <w:rsid w:val="00AB4E4E"/>
    <w:rsid w:val="00AB4F85"/>
    <w:rsid w:val="00AB5581"/>
    <w:rsid w:val="00AB55D3"/>
    <w:rsid w:val="00AB57E7"/>
    <w:rsid w:val="00AB5852"/>
    <w:rsid w:val="00AB586E"/>
    <w:rsid w:val="00AB5B3A"/>
    <w:rsid w:val="00AB5C1D"/>
    <w:rsid w:val="00AB5E8A"/>
    <w:rsid w:val="00AB5FA6"/>
    <w:rsid w:val="00AB60D6"/>
    <w:rsid w:val="00AB65BD"/>
    <w:rsid w:val="00AB6733"/>
    <w:rsid w:val="00AB67D5"/>
    <w:rsid w:val="00AB699D"/>
    <w:rsid w:val="00AB6CB9"/>
    <w:rsid w:val="00AB6F6D"/>
    <w:rsid w:val="00AB7033"/>
    <w:rsid w:val="00AB798D"/>
    <w:rsid w:val="00AB7CD0"/>
    <w:rsid w:val="00AB7FCB"/>
    <w:rsid w:val="00AC063E"/>
    <w:rsid w:val="00AC09DF"/>
    <w:rsid w:val="00AC0EC0"/>
    <w:rsid w:val="00AC10C4"/>
    <w:rsid w:val="00AC1208"/>
    <w:rsid w:val="00AC172C"/>
    <w:rsid w:val="00AC17DD"/>
    <w:rsid w:val="00AC182D"/>
    <w:rsid w:val="00AC1A40"/>
    <w:rsid w:val="00AC290B"/>
    <w:rsid w:val="00AC2A13"/>
    <w:rsid w:val="00AC2AFE"/>
    <w:rsid w:val="00AC39E3"/>
    <w:rsid w:val="00AC3B30"/>
    <w:rsid w:val="00AC4508"/>
    <w:rsid w:val="00AC4595"/>
    <w:rsid w:val="00AC47B0"/>
    <w:rsid w:val="00AC47D6"/>
    <w:rsid w:val="00AC4E34"/>
    <w:rsid w:val="00AC4F8C"/>
    <w:rsid w:val="00AC50DB"/>
    <w:rsid w:val="00AC5267"/>
    <w:rsid w:val="00AC61C4"/>
    <w:rsid w:val="00AC73AD"/>
    <w:rsid w:val="00AC73C6"/>
    <w:rsid w:val="00AC7A03"/>
    <w:rsid w:val="00AC7AD5"/>
    <w:rsid w:val="00AC7B9E"/>
    <w:rsid w:val="00AC7CCF"/>
    <w:rsid w:val="00AD02A5"/>
    <w:rsid w:val="00AD053C"/>
    <w:rsid w:val="00AD05CE"/>
    <w:rsid w:val="00AD068A"/>
    <w:rsid w:val="00AD0925"/>
    <w:rsid w:val="00AD0D6C"/>
    <w:rsid w:val="00AD0E4C"/>
    <w:rsid w:val="00AD0FB5"/>
    <w:rsid w:val="00AD115E"/>
    <w:rsid w:val="00AD1285"/>
    <w:rsid w:val="00AD1308"/>
    <w:rsid w:val="00AD15AC"/>
    <w:rsid w:val="00AD185B"/>
    <w:rsid w:val="00AD185F"/>
    <w:rsid w:val="00AD18DA"/>
    <w:rsid w:val="00AD1A10"/>
    <w:rsid w:val="00AD21B7"/>
    <w:rsid w:val="00AD21D0"/>
    <w:rsid w:val="00AD2CB2"/>
    <w:rsid w:val="00AD2F8E"/>
    <w:rsid w:val="00AD3226"/>
    <w:rsid w:val="00AD3228"/>
    <w:rsid w:val="00AD322B"/>
    <w:rsid w:val="00AD32D2"/>
    <w:rsid w:val="00AD3AC0"/>
    <w:rsid w:val="00AD4124"/>
    <w:rsid w:val="00AD412C"/>
    <w:rsid w:val="00AD4215"/>
    <w:rsid w:val="00AD4824"/>
    <w:rsid w:val="00AD4FC1"/>
    <w:rsid w:val="00AD5BED"/>
    <w:rsid w:val="00AD5F57"/>
    <w:rsid w:val="00AD6676"/>
    <w:rsid w:val="00AD6698"/>
    <w:rsid w:val="00AD682D"/>
    <w:rsid w:val="00AD6ED8"/>
    <w:rsid w:val="00AD708D"/>
    <w:rsid w:val="00AD7378"/>
    <w:rsid w:val="00AD7914"/>
    <w:rsid w:val="00AD7967"/>
    <w:rsid w:val="00AD79DA"/>
    <w:rsid w:val="00AD7CEE"/>
    <w:rsid w:val="00AE023E"/>
    <w:rsid w:val="00AE024D"/>
    <w:rsid w:val="00AE029A"/>
    <w:rsid w:val="00AE0368"/>
    <w:rsid w:val="00AE053F"/>
    <w:rsid w:val="00AE07E3"/>
    <w:rsid w:val="00AE084C"/>
    <w:rsid w:val="00AE08EA"/>
    <w:rsid w:val="00AE0B79"/>
    <w:rsid w:val="00AE0BDB"/>
    <w:rsid w:val="00AE0F81"/>
    <w:rsid w:val="00AE14D4"/>
    <w:rsid w:val="00AE2164"/>
    <w:rsid w:val="00AE231F"/>
    <w:rsid w:val="00AE2AA5"/>
    <w:rsid w:val="00AE2DCE"/>
    <w:rsid w:val="00AE2EA6"/>
    <w:rsid w:val="00AE35E5"/>
    <w:rsid w:val="00AE3E9C"/>
    <w:rsid w:val="00AE3FBA"/>
    <w:rsid w:val="00AE4054"/>
    <w:rsid w:val="00AE4117"/>
    <w:rsid w:val="00AE4326"/>
    <w:rsid w:val="00AE435C"/>
    <w:rsid w:val="00AE4CC4"/>
    <w:rsid w:val="00AE5BD4"/>
    <w:rsid w:val="00AE65D3"/>
    <w:rsid w:val="00AE6702"/>
    <w:rsid w:val="00AE6764"/>
    <w:rsid w:val="00AE6D02"/>
    <w:rsid w:val="00AE6F2F"/>
    <w:rsid w:val="00AE6F8F"/>
    <w:rsid w:val="00AE7408"/>
    <w:rsid w:val="00AE7733"/>
    <w:rsid w:val="00AE77DC"/>
    <w:rsid w:val="00AE79E4"/>
    <w:rsid w:val="00AE7F13"/>
    <w:rsid w:val="00AF01C1"/>
    <w:rsid w:val="00AF046F"/>
    <w:rsid w:val="00AF0720"/>
    <w:rsid w:val="00AF075F"/>
    <w:rsid w:val="00AF0AB0"/>
    <w:rsid w:val="00AF0DAE"/>
    <w:rsid w:val="00AF0E02"/>
    <w:rsid w:val="00AF0EE7"/>
    <w:rsid w:val="00AF1363"/>
    <w:rsid w:val="00AF14B9"/>
    <w:rsid w:val="00AF14E4"/>
    <w:rsid w:val="00AF1925"/>
    <w:rsid w:val="00AF196D"/>
    <w:rsid w:val="00AF19F2"/>
    <w:rsid w:val="00AF19F4"/>
    <w:rsid w:val="00AF1BFF"/>
    <w:rsid w:val="00AF1D9D"/>
    <w:rsid w:val="00AF2902"/>
    <w:rsid w:val="00AF2AA8"/>
    <w:rsid w:val="00AF2D5B"/>
    <w:rsid w:val="00AF2E79"/>
    <w:rsid w:val="00AF2E91"/>
    <w:rsid w:val="00AF2FDD"/>
    <w:rsid w:val="00AF349A"/>
    <w:rsid w:val="00AF3507"/>
    <w:rsid w:val="00AF3C7E"/>
    <w:rsid w:val="00AF48F1"/>
    <w:rsid w:val="00AF49DB"/>
    <w:rsid w:val="00AF4D01"/>
    <w:rsid w:val="00AF4E73"/>
    <w:rsid w:val="00AF5367"/>
    <w:rsid w:val="00AF552F"/>
    <w:rsid w:val="00AF555E"/>
    <w:rsid w:val="00AF5843"/>
    <w:rsid w:val="00AF5A0E"/>
    <w:rsid w:val="00AF5AE8"/>
    <w:rsid w:val="00AF5B29"/>
    <w:rsid w:val="00AF5B3B"/>
    <w:rsid w:val="00AF5CA3"/>
    <w:rsid w:val="00AF5CFF"/>
    <w:rsid w:val="00AF60B7"/>
    <w:rsid w:val="00AF60BF"/>
    <w:rsid w:val="00AF63A1"/>
    <w:rsid w:val="00AF65A2"/>
    <w:rsid w:val="00AF6AC8"/>
    <w:rsid w:val="00AF6B6D"/>
    <w:rsid w:val="00AF6CB0"/>
    <w:rsid w:val="00AF7771"/>
    <w:rsid w:val="00AF78D2"/>
    <w:rsid w:val="00AF7EE6"/>
    <w:rsid w:val="00B002A1"/>
    <w:rsid w:val="00B00543"/>
    <w:rsid w:val="00B00659"/>
    <w:rsid w:val="00B00B26"/>
    <w:rsid w:val="00B00C43"/>
    <w:rsid w:val="00B010C2"/>
    <w:rsid w:val="00B01756"/>
    <w:rsid w:val="00B01765"/>
    <w:rsid w:val="00B017FA"/>
    <w:rsid w:val="00B0191A"/>
    <w:rsid w:val="00B019FC"/>
    <w:rsid w:val="00B01C02"/>
    <w:rsid w:val="00B01CC8"/>
    <w:rsid w:val="00B03206"/>
    <w:rsid w:val="00B03313"/>
    <w:rsid w:val="00B03471"/>
    <w:rsid w:val="00B03B03"/>
    <w:rsid w:val="00B0405E"/>
    <w:rsid w:val="00B04339"/>
    <w:rsid w:val="00B04364"/>
    <w:rsid w:val="00B044B6"/>
    <w:rsid w:val="00B047C7"/>
    <w:rsid w:val="00B049C5"/>
    <w:rsid w:val="00B0501E"/>
    <w:rsid w:val="00B05096"/>
    <w:rsid w:val="00B050FB"/>
    <w:rsid w:val="00B051EF"/>
    <w:rsid w:val="00B05A14"/>
    <w:rsid w:val="00B06189"/>
    <w:rsid w:val="00B0624D"/>
    <w:rsid w:val="00B06403"/>
    <w:rsid w:val="00B06430"/>
    <w:rsid w:val="00B066A7"/>
    <w:rsid w:val="00B06C6C"/>
    <w:rsid w:val="00B06D90"/>
    <w:rsid w:val="00B06E0F"/>
    <w:rsid w:val="00B06FB3"/>
    <w:rsid w:val="00B0709E"/>
    <w:rsid w:val="00B07211"/>
    <w:rsid w:val="00B07283"/>
    <w:rsid w:val="00B07900"/>
    <w:rsid w:val="00B07941"/>
    <w:rsid w:val="00B1023C"/>
    <w:rsid w:val="00B10440"/>
    <w:rsid w:val="00B1066E"/>
    <w:rsid w:val="00B10826"/>
    <w:rsid w:val="00B11025"/>
    <w:rsid w:val="00B1186F"/>
    <w:rsid w:val="00B11BC5"/>
    <w:rsid w:val="00B1202A"/>
    <w:rsid w:val="00B1253E"/>
    <w:rsid w:val="00B12591"/>
    <w:rsid w:val="00B12AD9"/>
    <w:rsid w:val="00B12F45"/>
    <w:rsid w:val="00B13937"/>
    <w:rsid w:val="00B13BCD"/>
    <w:rsid w:val="00B13BF9"/>
    <w:rsid w:val="00B13E8F"/>
    <w:rsid w:val="00B14500"/>
    <w:rsid w:val="00B145C0"/>
    <w:rsid w:val="00B146F7"/>
    <w:rsid w:val="00B1482E"/>
    <w:rsid w:val="00B1499E"/>
    <w:rsid w:val="00B14A15"/>
    <w:rsid w:val="00B15117"/>
    <w:rsid w:val="00B1549D"/>
    <w:rsid w:val="00B15725"/>
    <w:rsid w:val="00B15B35"/>
    <w:rsid w:val="00B16142"/>
    <w:rsid w:val="00B168F7"/>
    <w:rsid w:val="00B16B32"/>
    <w:rsid w:val="00B16DB1"/>
    <w:rsid w:val="00B16F17"/>
    <w:rsid w:val="00B1732C"/>
    <w:rsid w:val="00B17A0A"/>
    <w:rsid w:val="00B17B45"/>
    <w:rsid w:val="00B17BD1"/>
    <w:rsid w:val="00B17BF1"/>
    <w:rsid w:val="00B17FA1"/>
    <w:rsid w:val="00B202D3"/>
    <w:rsid w:val="00B202EE"/>
    <w:rsid w:val="00B2054B"/>
    <w:rsid w:val="00B2058E"/>
    <w:rsid w:val="00B207F5"/>
    <w:rsid w:val="00B209DB"/>
    <w:rsid w:val="00B20C3A"/>
    <w:rsid w:val="00B2156D"/>
    <w:rsid w:val="00B21685"/>
    <w:rsid w:val="00B21B13"/>
    <w:rsid w:val="00B21B29"/>
    <w:rsid w:val="00B21DF8"/>
    <w:rsid w:val="00B21E66"/>
    <w:rsid w:val="00B21F2B"/>
    <w:rsid w:val="00B21FE2"/>
    <w:rsid w:val="00B22383"/>
    <w:rsid w:val="00B22A13"/>
    <w:rsid w:val="00B22A27"/>
    <w:rsid w:val="00B22AAD"/>
    <w:rsid w:val="00B2310B"/>
    <w:rsid w:val="00B23488"/>
    <w:rsid w:val="00B23644"/>
    <w:rsid w:val="00B236A7"/>
    <w:rsid w:val="00B23816"/>
    <w:rsid w:val="00B2390D"/>
    <w:rsid w:val="00B23BF9"/>
    <w:rsid w:val="00B24013"/>
    <w:rsid w:val="00B24207"/>
    <w:rsid w:val="00B24482"/>
    <w:rsid w:val="00B24817"/>
    <w:rsid w:val="00B2484D"/>
    <w:rsid w:val="00B24949"/>
    <w:rsid w:val="00B24A2A"/>
    <w:rsid w:val="00B24C5A"/>
    <w:rsid w:val="00B24DD7"/>
    <w:rsid w:val="00B25286"/>
    <w:rsid w:val="00B252FE"/>
    <w:rsid w:val="00B254FB"/>
    <w:rsid w:val="00B25816"/>
    <w:rsid w:val="00B25B82"/>
    <w:rsid w:val="00B26079"/>
    <w:rsid w:val="00B263BC"/>
    <w:rsid w:val="00B2667B"/>
    <w:rsid w:val="00B272B1"/>
    <w:rsid w:val="00B274D5"/>
    <w:rsid w:val="00B2754D"/>
    <w:rsid w:val="00B27A9A"/>
    <w:rsid w:val="00B30364"/>
    <w:rsid w:val="00B30606"/>
    <w:rsid w:val="00B309EC"/>
    <w:rsid w:val="00B30C8A"/>
    <w:rsid w:val="00B30C97"/>
    <w:rsid w:val="00B30D26"/>
    <w:rsid w:val="00B30D46"/>
    <w:rsid w:val="00B30DB6"/>
    <w:rsid w:val="00B30ED8"/>
    <w:rsid w:val="00B314CD"/>
    <w:rsid w:val="00B319DB"/>
    <w:rsid w:val="00B31A3B"/>
    <w:rsid w:val="00B31C8B"/>
    <w:rsid w:val="00B32198"/>
    <w:rsid w:val="00B32282"/>
    <w:rsid w:val="00B323E3"/>
    <w:rsid w:val="00B32534"/>
    <w:rsid w:val="00B328F5"/>
    <w:rsid w:val="00B32BC2"/>
    <w:rsid w:val="00B32DC4"/>
    <w:rsid w:val="00B32DC8"/>
    <w:rsid w:val="00B32EB7"/>
    <w:rsid w:val="00B33801"/>
    <w:rsid w:val="00B33F48"/>
    <w:rsid w:val="00B34385"/>
    <w:rsid w:val="00B3439B"/>
    <w:rsid w:val="00B345DD"/>
    <w:rsid w:val="00B34E7D"/>
    <w:rsid w:val="00B34FD3"/>
    <w:rsid w:val="00B3505D"/>
    <w:rsid w:val="00B359F4"/>
    <w:rsid w:val="00B35A38"/>
    <w:rsid w:val="00B36277"/>
    <w:rsid w:val="00B3700E"/>
    <w:rsid w:val="00B37073"/>
    <w:rsid w:val="00B37448"/>
    <w:rsid w:val="00B3769D"/>
    <w:rsid w:val="00B37E37"/>
    <w:rsid w:val="00B401D7"/>
    <w:rsid w:val="00B4029F"/>
    <w:rsid w:val="00B40BCB"/>
    <w:rsid w:val="00B40DDC"/>
    <w:rsid w:val="00B40DEE"/>
    <w:rsid w:val="00B40E85"/>
    <w:rsid w:val="00B416E8"/>
    <w:rsid w:val="00B41726"/>
    <w:rsid w:val="00B418DA"/>
    <w:rsid w:val="00B41C99"/>
    <w:rsid w:val="00B41EAE"/>
    <w:rsid w:val="00B41F5E"/>
    <w:rsid w:val="00B41F89"/>
    <w:rsid w:val="00B41FAF"/>
    <w:rsid w:val="00B41FF4"/>
    <w:rsid w:val="00B42C20"/>
    <w:rsid w:val="00B438FC"/>
    <w:rsid w:val="00B43B4B"/>
    <w:rsid w:val="00B44380"/>
    <w:rsid w:val="00B4447F"/>
    <w:rsid w:val="00B445DD"/>
    <w:rsid w:val="00B447C9"/>
    <w:rsid w:val="00B453DA"/>
    <w:rsid w:val="00B454EE"/>
    <w:rsid w:val="00B4580C"/>
    <w:rsid w:val="00B45C69"/>
    <w:rsid w:val="00B4613F"/>
    <w:rsid w:val="00B46750"/>
    <w:rsid w:val="00B4685B"/>
    <w:rsid w:val="00B46A92"/>
    <w:rsid w:val="00B46AB3"/>
    <w:rsid w:val="00B477FA"/>
    <w:rsid w:val="00B47A33"/>
    <w:rsid w:val="00B47BB3"/>
    <w:rsid w:val="00B47E89"/>
    <w:rsid w:val="00B47FEF"/>
    <w:rsid w:val="00B50299"/>
    <w:rsid w:val="00B50597"/>
    <w:rsid w:val="00B50D35"/>
    <w:rsid w:val="00B50E4F"/>
    <w:rsid w:val="00B50F99"/>
    <w:rsid w:val="00B511C9"/>
    <w:rsid w:val="00B51201"/>
    <w:rsid w:val="00B51511"/>
    <w:rsid w:val="00B516B9"/>
    <w:rsid w:val="00B517E2"/>
    <w:rsid w:val="00B51C26"/>
    <w:rsid w:val="00B51FD1"/>
    <w:rsid w:val="00B5236A"/>
    <w:rsid w:val="00B52519"/>
    <w:rsid w:val="00B52533"/>
    <w:rsid w:val="00B525CD"/>
    <w:rsid w:val="00B528E5"/>
    <w:rsid w:val="00B528F0"/>
    <w:rsid w:val="00B52C36"/>
    <w:rsid w:val="00B52FC5"/>
    <w:rsid w:val="00B53176"/>
    <w:rsid w:val="00B5326B"/>
    <w:rsid w:val="00B533AF"/>
    <w:rsid w:val="00B53660"/>
    <w:rsid w:val="00B53CCB"/>
    <w:rsid w:val="00B54204"/>
    <w:rsid w:val="00B543D9"/>
    <w:rsid w:val="00B546B2"/>
    <w:rsid w:val="00B54996"/>
    <w:rsid w:val="00B54A5A"/>
    <w:rsid w:val="00B54F98"/>
    <w:rsid w:val="00B55233"/>
    <w:rsid w:val="00B55410"/>
    <w:rsid w:val="00B55B11"/>
    <w:rsid w:val="00B55C0E"/>
    <w:rsid w:val="00B55D8E"/>
    <w:rsid w:val="00B5640F"/>
    <w:rsid w:val="00B5647E"/>
    <w:rsid w:val="00B56764"/>
    <w:rsid w:val="00B56C05"/>
    <w:rsid w:val="00B56EE5"/>
    <w:rsid w:val="00B572F4"/>
    <w:rsid w:val="00B57934"/>
    <w:rsid w:val="00B57CBB"/>
    <w:rsid w:val="00B57ECE"/>
    <w:rsid w:val="00B60005"/>
    <w:rsid w:val="00B6001B"/>
    <w:rsid w:val="00B600E5"/>
    <w:rsid w:val="00B60217"/>
    <w:rsid w:val="00B6037A"/>
    <w:rsid w:val="00B606F5"/>
    <w:rsid w:val="00B60A20"/>
    <w:rsid w:val="00B60A5C"/>
    <w:rsid w:val="00B60C82"/>
    <w:rsid w:val="00B60C9A"/>
    <w:rsid w:val="00B60DD3"/>
    <w:rsid w:val="00B60F79"/>
    <w:rsid w:val="00B61BF1"/>
    <w:rsid w:val="00B61C86"/>
    <w:rsid w:val="00B61EAC"/>
    <w:rsid w:val="00B62246"/>
    <w:rsid w:val="00B624E8"/>
    <w:rsid w:val="00B62837"/>
    <w:rsid w:val="00B62E37"/>
    <w:rsid w:val="00B63042"/>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C7"/>
    <w:rsid w:val="00B6623D"/>
    <w:rsid w:val="00B66318"/>
    <w:rsid w:val="00B663AA"/>
    <w:rsid w:val="00B66645"/>
    <w:rsid w:val="00B66665"/>
    <w:rsid w:val="00B66847"/>
    <w:rsid w:val="00B66A62"/>
    <w:rsid w:val="00B66B7C"/>
    <w:rsid w:val="00B66DEA"/>
    <w:rsid w:val="00B66E32"/>
    <w:rsid w:val="00B66F6A"/>
    <w:rsid w:val="00B66FB9"/>
    <w:rsid w:val="00B67183"/>
    <w:rsid w:val="00B6719E"/>
    <w:rsid w:val="00B6731B"/>
    <w:rsid w:val="00B67485"/>
    <w:rsid w:val="00B67841"/>
    <w:rsid w:val="00B678AD"/>
    <w:rsid w:val="00B67BE4"/>
    <w:rsid w:val="00B67C21"/>
    <w:rsid w:val="00B67C8E"/>
    <w:rsid w:val="00B701BC"/>
    <w:rsid w:val="00B704FF"/>
    <w:rsid w:val="00B70848"/>
    <w:rsid w:val="00B708AF"/>
    <w:rsid w:val="00B70A1D"/>
    <w:rsid w:val="00B70A70"/>
    <w:rsid w:val="00B71046"/>
    <w:rsid w:val="00B71320"/>
    <w:rsid w:val="00B714D5"/>
    <w:rsid w:val="00B714F9"/>
    <w:rsid w:val="00B71684"/>
    <w:rsid w:val="00B718D3"/>
    <w:rsid w:val="00B71A2F"/>
    <w:rsid w:val="00B71D5F"/>
    <w:rsid w:val="00B71D9D"/>
    <w:rsid w:val="00B71F65"/>
    <w:rsid w:val="00B71FF7"/>
    <w:rsid w:val="00B72253"/>
    <w:rsid w:val="00B7230B"/>
    <w:rsid w:val="00B723CE"/>
    <w:rsid w:val="00B72439"/>
    <w:rsid w:val="00B72543"/>
    <w:rsid w:val="00B7274F"/>
    <w:rsid w:val="00B72FA8"/>
    <w:rsid w:val="00B72FCC"/>
    <w:rsid w:val="00B734AB"/>
    <w:rsid w:val="00B734FA"/>
    <w:rsid w:val="00B736CB"/>
    <w:rsid w:val="00B739D4"/>
    <w:rsid w:val="00B73EEA"/>
    <w:rsid w:val="00B7481A"/>
    <w:rsid w:val="00B748CE"/>
    <w:rsid w:val="00B749FA"/>
    <w:rsid w:val="00B74EC0"/>
    <w:rsid w:val="00B7532E"/>
    <w:rsid w:val="00B7569D"/>
    <w:rsid w:val="00B758D7"/>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236F"/>
    <w:rsid w:val="00B82446"/>
    <w:rsid w:val="00B8253E"/>
    <w:rsid w:val="00B82673"/>
    <w:rsid w:val="00B82AF0"/>
    <w:rsid w:val="00B83121"/>
    <w:rsid w:val="00B83592"/>
    <w:rsid w:val="00B83ABA"/>
    <w:rsid w:val="00B83C3F"/>
    <w:rsid w:val="00B83C9B"/>
    <w:rsid w:val="00B83E2F"/>
    <w:rsid w:val="00B84477"/>
    <w:rsid w:val="00B84598"/>
    <w:rsid w:val="00B845F0"/>
    <w:rsid w:val="00B84786"/>
    <w:rsid w:val="00B847BB"/>
    <w:rsid w:val="00B847D2"/>
    <w:rsid w:val="00B84A7B"/>
    <w:rsid w:val="00B850CF"/>
    <w:rsid w:val="00B850E0"/>
    <w:rsid w:val="00B8533A"/>
    <w:rsid w:val="00B8533C"/>
    <w:rsid w:val="00B854FE"/>
    <w:rsid w:val="00B859F9"/>
    <w:rsid w:val="00B85F39"/>
    <w:rsid w:val="00B860B0"/>
    <w:rsid w:val="00B86213"/>
    <w:rsid w:val="00B86517"/>
    <w:rsid w:val="00B865C4"/>
    <w:rsid w:val="00B87035"/>
    <w:rsid w:val="00B87291"/>
    <w:rsid w:val="00B876ED"/>
    <w:rsid w:val="00B87E27"/>
    <w:rsid w:val="00B9063D"/>
    <w:rsid w:val="00B90707"/>
    <w:rsid w:val="00B9074C"/>
    <w:rsid w:val="00B90AE7"/>
    <w:rsid w:val="00B90C59"/>
    <w:rsid w:val="00B91071"/>
    <w:rsid w:val="00B91189"/>
    <w:rsid w:val="00B9131E"/>
    <w:rsid w:val="00B9149D"/>
    <w:rsid w:val="00B918B9"/>
    <w:rsid w:val="00B9191D"/>
    <w:rsid w:val="00B91955"/>
    <w:rsid w:val="00B919DE"/>
    <w:rsid w:val="00B91BF2"/>
    <w:rsid w:val="00B92093"/>
    <w:rsid w:val="00B928A4"/>
    <w:rsid w:val="00B92D7E"/>
    <w:rsid w:val="00B93050"/>
    <w:rsid w:val="00B933E0"/>
    <w:rsid w:val="00B93477"/>
    <w:rsid w:val="00B938B9"/>
    <w:rsid w:val="00B93B28"/>
    <w:rsid w:val="00B93DFE"/>
    <w:rsid w:val="00B94067"/>
    <w:rsid w:val="00B940E8"/>
    <w:rsid w:val="00B94433"/>
    <w:rsid w:val="00B94500"/>
    <w:rsid w:val="00B948C5"/>
    <w:rsid w:val="00B949E3"/>
    <w:rsid w:val="00B94A1E"/>
    <w:rsid w:val="00B95052"/>
    <w:rsid w:val="00B953C2"/>
    <w:rsid w:val="00B953DB"/>
    <w:rsid w:val="00B955BA"/>
    <w:rsid w:val="00B957A3"/>
    <w:rsid w:val="00B95800"/>
    <w:rsid w:val="00B9588F"/>
    <w:rsid w:val="00B958FF"/>
    <w:rsid w:val="00B959A1"/>
    <w:rsid w:val="00B95A76"/>
    <w:rsid w:val="00B960E8"/>
    <w:rsid w:val="00B96214"/>
    <w:rsid w:val="00B96382"/>
    <w:rsid w:val="00B96594"/>
    <w:rsid w:val="00B9694E"/>
    <w:rsid w:val="00B96C73"/>
    <w:rsid w:val="00B96C91"/>
    <w:rsid w:val="00B9771B"/>
    <w:rsid w:val="00BA01F2"/>
    <w:rsid w:val="00BA050E"/>
    <w:rsid w:val="00BA086B"/>
    <w:rsid w:val="00BA0B0A"/>
    <w:rsid w:val="00BA0B2B"/>
    <w:rsid w:val="00BA0B46"/>
    <w:rsid w:val="00BA0CEA"/>
    <w:rsid w:val="00BA0D10"/>
    <w:rsid w:val="00BA0D99"/>
    <w:rsid w:val="00BA0E37"/>
    <w:rsid w:val="00BA0FC8"/>
    <w:rsid w:val="00BA1010"/>
    <w:rsid w:val="00BA109A"/>
    <w:rsid w:val="00BA10B7"/>
    <w:rsid w:val="00BA10F6"/>
    <w:rsid w:val="00BA1549"/>
    <w:rsid w:val="00BA17E0"/>
    <w:rsid w:val="00BA1B70"/>
    <w:rsid w:val="00BA2240"/>
    <w:rsid w:val="00BA2633"/>
    <w:rsid w:val="00BA27C2"/>
    <w:rsid w:val="00BA2DBC"/>
    <w:rsid w:val="00BA3030"/>
    <w:rsid w:val="00BA358F"/>
    <w:rsid w:val="00BA35E1"/>
    <w:rsid w:val="00BA42D1"/>
    <w:rsid w:val="00BA4BBF"/>
    <w:rsid w:val="00BA4E47"/>
    <w:rsid w:val="00BA4E95"/>
    <w:rsid w:val="00BA5002"/>
    <w:rsid w:val="00BA50A7"/>
    <w:rsid w:val="00BA5F1E"/>
    <w:rsid w:val="00BA601F"/>
    <w:rsid w:val="00BA64BB"/>
    <w:rsid w:val="00BA6701"/>
    <w:rsid w:val="00BA67EF"/>
    <w:rsid w:val="00BA6E8A"/>
    <w:rsid w:val="00BA6F97"/>
    <w:rsid w:val="00BA7466"/>
    <w:rsid w:val="00BA783A"/>
    <w:rsid w:val="00BB0370"/>
    <w:rsid w:val="00BB0D6E"/>
    <w:rsid w:val="00BB0E0E"/>
    <w:rsid w:val="00BB133D"/>
    <w:rsid w:val="00BB176B"/>
    <w:rsid w:val="00BB184B"/>
    <w:rsid w:val="00BB1B8E"/>
    <w:rsid w:val="00BB1C5B"/>
    <w:rsid w:val="00BB1DF6"/>
    <w:rsid w:val="00BB2433"/>
    <w:rsid w:val="00BB276A"/>
    <w:rsid w:val="00BB28A5"/>
    <w:rsid w:val="00BB2E9E"/>
    <w:rsid w:val="00BB3210"/>
    <w:rsid w:val="00BB32EE"/>
    <w:rsid w:val="00BB3829"/>
    <w:rsid w:val="00BB392F"/>
    <w:rsid w:val="00BB3BBF"/>
    <w:rsid w:val="00BB4204"/>
    <w:rsid w:val="00BB454B"/>
    <w:rsid w:val="00BB4685"/>
    <w:rsid w:val="00BB4B72"/>
    <w:rsid w:val="00BB520B"/>
    <w:rsid w:val="00BB5467"/>
    <w:rsid w:val="00BB5977"/>
    <w:rsid w:val="00BB5A4D"/>
    <w:rsid w:val="00BB5B30"/>
    <w:rsid w:val="00BB5BF7"/>
    <w:rsid w:val="00BB638B"/>
    <w:rsid w:val="00BB6EF3"/>
    <w:rsid w:val="00BB7187"/>
    <w:rsid w:val="00BB72D4"/>
    <w:rsid w:val="00BB74C4"/>
    <w:rsid w:val="00BB7993"/>
    <w:rsid w:val="00BB7ED5"/>
    <w:rsid w:val="00BB7F20"/>
    <w:rsid w:val="00BC01FE"/>
    <w:rsid w:val="00BC07E5"/>
    <w:rsid w:val="00BC1372"/>
    <w:rsid w:val="00BC16B3"/>
    <w:rsid w:val="00BC1A65"/>
    <w:rsid w:val="00BC1B42"/>
    <w:rsid w:val="00BC1F6E"/>
    <w:rsid w:val="00BC2135"/>
    <w:rsid w:val="00BC2226"/>
    <w:rsid w:val="00BC256D"/>
    <w:rsid w:val="00BC2B7F"/>
    <w:rsid w:val="00BC303D"/>
    <w:rsid w:val="00BC3198"/>
    <w:rsid w:val="00BC3259"/>
    <w:rsid w:val="00BC3751"/>
    <w:rsid w:val="00BC37C6"/>
    <w:rsid w:val="00BC38B0"/>
    <w:rsid w:val="00BC3B50"/>
    <w:rsid w:val="00BC3FB3"/>
    <w:rsid w:val="00BC412E"/>
    <w:rsid w:val="00BC4764"/>
    <w:rsid w:val="00BC4904"/>
    <w:rsid w:val="00BC5052"/>
    <w:rsid w:val="00BC5597"/>
    <w:rsid w:val="00BC5FBC"/>
    <w:rsid w:val="00BC61CF"/>
    <w:rsid w:val="00BC636C"/>
    <w:rsid w:val="00BC689B"/>
    <w:rsid w:val="00BC6926"/>
    <w:rsid w:val="00BC6977"/>
    <w:rsid w:val="00BC6E8D"/>
    <w:rsid w:val="00BC7245"/>
    <w:rsid w:val="00BC7762"/>
    <w:rsid w:val="00BC7952"/>
    <w:rsid w:val="00BC7B5F"/>
    <w:rsid w:val="00BC7E73"/>
    <w:rsid w:val="00BC7FA9"/>
    <w:rsid w:val="00BD052A"/>
    <w:rsid w:val="00BD052C"/>
    <w:rsid w:val="00BD0590"/>
    <w:rsid w:val="00BD0AFF"/>
    <w:rsid w:val="00BD15AD"/>
    <w:rsid w:val="00BD175D"/>
    <w:rsid w:val="00BD1786"/>
    <w:rsid w:val="00BD1806"/>
    <w:rsid w:val="00BD18B2"/>
    <w:rsid w:val="00BD1A0F"/>
    <w:rsid w:val="00BD1C8F"/>
    <w:rsid w:val="00BD1E7B"/>
    <w:rsid w:val="00BD2189"/>
    <w:rsid w:val="00BD2597"/>
    <w:rsid w:val="00BD283B"/>
    <w:rsid w:val="00BD2842"/>
    <w:rsid w:val="00BD29D6"/>
    <w:rsid w:val="00BD2AC6"/>
    <w:rsid w:val="00BD2B57"/>
    <w:rsid w:val="00BD2E06"/>
    <w:rsid w:val="00BD32DA"/>
    <w:rsid w:val="00BD367D"/>
    <w:rsid w:val="00BD379F"/>
    <w:rsid w:val="00BD3A4E"/>
    <w:rsid w:val="00BD3FD1"/>
    <w:rsid w:val="00BD43CE"/>
    <w:rsid w:val="00BD44FA"/>
    <w:rsid w:val="00BD4E76"/>
    <w:rsid w:val="00BD52A9"/>
    <w:rsid w:val="00BD5395"/>
    <w:rsid w:val="00BD5E8F"/>
    <w:rsid w:val="00BD5FEB"/>
    <w:rsid w:val="00BD617C"/>
    <w:rsid w:val="00BD61DE"/>
    <w:rsid w:val="00BD69A2"/>
    <w:rsid w:val="00BD6D73"/>
    <w:rsid w:val="00BD6E4E"/>
    <w:rsid w:val="00BD6F60"/>
    <w:rsid w:val="00BD6FEE"/>
    <w:rsid w:val="00BD7387"/>
    <w:rsid w:val="00BD7AE8"/>
    <w:rsid w:val="00BD7B88"/>
    <w:rsid w:val="00BD7BBD"/>
    <w:rsid w:val="00BD7C55"/>
    <w:rsid w:val="00BD7F1E"/>
    <w:rsid w:val="00BE002A"/>
    <w:rsid w:val="00BE067D"/>
    <w:rsid w:val="00BE0A0E"/>
    <w:rsid w:val="00BE0B68"/>
    <w:rsid w:val="00BE112D"/>
    <w:rsid w:val="00BE1A33"/>
    <w:rsid w:val="00BE1BD6"/>
    <w:rsid w:val="00BE2003"/>
    <w:rsid w:val="00BE220D"/>
    <w:rsid w:val="00BE2212"/>
    <w:rsid w:val="00BE238C"/>
    <w:rsid w:val="00BE2516"/>
    <w:rsid w:val="00BE2768"/>
    <w:rsid w:val="00BE2E31"/>
    <w:rsid w:val="00BE2F54"/>
    <w:rsid w:val="00BE32B4"/>
    <w:rsid w:val="00BE3319"/>
    <w:rsid w:val="00BE3421"/>
    <w:rsid w:val="00BE3C63"/>
    <w:rsid w:val="00BE3ED5"/>
    <w:rsid w:val="00BE4217"/>
    <w:rsid w:val="00BE48BF"/>
    <w:rsid w:val="00BE4AC9"/>
    <w:rsid w:val="00BE4B14"/>
    <w:rsid w:val="00BE5031"/>
    <w:rsid w:val="00BE5042"/>
    <w:rsid w:val="00BE5313"/>
    <w:rsid w:val="00BE5351"/>
    <w:rsid w:val="00BE552D"/>
    <w:rsid w:val="00BE560F"/>
    <w:rsid w:val="00BE57D9"/>
    <w:rsid w:val="00BE58E5"/>
    <w:rsid w:val="00BE5A12"/>
    <w:rsid w:val="00BE5BDB"/>
    <w:rsid w:val="00BE5DA5"/>
    <w:rsid w:val="00BE5DC0"/>
    <w:rsid w:val="00BE684B"/>
    <w:rsid w:val="00BE693A"/>
    <w:rsid w:val="00BE6C43"/>
    <w:rsid w:val="00BE6C79"/>
    <w:rsid w:val="00BE7127"/>
    <w:rsid w:val="00BE72BC"/>
    <w:rsid w:val="00BE77FF"/>
    <w:rsid w:val="00BE7A74"/>
    <w:rsid w:val="00BE7B0A"/>
    <w:rsid w:val="00BE7C2E"/>
    <w:rsid w:val="00BF09DC"/>
    <w:rsid w:val="00BF0D95"/>
    <w:rsid w:val="00BF0DC4"/>
    <w:rsid w:val="00BF0F94"/>
    <w:rsid w:val="00BF136A"/>
    <w:rsid w:val="00BF140C"/>
    <w:rsid w:val="00BF151F"/>
    <w:rsid w:val="00BF18EE"/>
    <w:rsid w:val="00BF19A2"/>
    <w:rsid w:val="00BF1C8B"/>
    <w:rsid w:val="00BF1EEE"/>
    <w:rsid w:val="00BF2055"/>
    <w:rsid w:val="00BF22A4"/>
    <w:rsid w:val="00BF2A58"/>
    <w:rsid w:val="00BF2D38"/>
    <w:rsid w:val="00BF3147"/>
    <w:rsid w:val="00BF33F2"/>
    <w:rsid w:val="00BF3441"/>
    <w:rsid w:val="00BF417B"/>
    <w:rsid w:val="00BF4233"/>
    <w:rsid w:val="00BF4A0F"/>
    <w:rsid w:val="00BF4A1A"/>
    <w:rsid w:val="00BF4ABC"/>
    <w:rsid w:val="00BF4C0B"/>
    <w:rsid w:val="00BF4F1F"/>
    <w:rsid w:val="00BF5199"/>
    <w:rsid w:val="00BF5443"/>
    <w:rsid w:val="00BF57AA"/>
    <w:rsid w:val="00BF59D1"/>
    <w:rsid w:val="00BF6334"/>
    <w:rsid w:val="00BF63C6"/>
    <w:rsid w:val="00BF6621"/>
    <w:rsid w:val="00BF6682"/>
    <w:rsid w:val="00BF690F"/>
    <w:rsid w:val="00BF6A53"/>
    <w:rsid w:val="00BF6AD3"/>
    <w:rsid w:val="00BF6BA2"/>
    <w:rsid w:val="00BF73A7"/>
    <w:rsid w:val="00BF7CB1"/>
    <w:rsid w:val="00BF7D0D"/>
    <w:rsid w:val="00C00870"/>
    <w:rsid w:val="00C009BB"/>
    <w:rsid w:val="00C0107E"/>
    <w:rsid w:val="00C0159E"/>
    <w:rsid w:val="00C0162B"/>
    <w:rsid w:val="00C02088"/>
    <w:rsid w:val="00C0236D"/>
    <w:rsid w:val="00C02436"/>
    <w:rsid w:val="00C0259D"/>
    <w:rsid w:val="00C026C7"/>
    <w:rsid w:val="00C0276A"/>
    <w:rsid w:val="00C027CB"/>
    <w:rsid w:val="00C02FF1"/>
    <w:rsid w:val="00C03258"/>
    <w:rsid w:val="00C03592"/>
    <w:rsid w:val="00C03A04"/>
    <w:rsid w:val="00C03A24"/>
    <w:rsid w:val="00C03D47"/>
    <w:rsid w:val="00C04198"/>
    <w:rsid w:val="00C04676"/>
    <w:rsid w:val="00C04752"/>
    <w:rsid w:val="00C04F10"/>
    <w:rsid w:val="00C04FF6"/>
    <w:rsid w:val="00C0518C"/>
    <w:rsid w:val="00C05230"/>
    <w:rsid w:val="00C05934"/>
    <w:rsid w:val="00C05F55"/>
    <w:rsid w:val="00C06030"/>
    <w:rsid w:val="00C061DC"/>
    <w:rsid w:val="00C062E6"/>
    <w:rsid w:val="00C06416"/>
    <w:rsid w:val="00C067F4"/>
    <w:rsid w:val="00C068F6"/>
    <w:rsid w:val="00C06A57"/>
    <w:rsid w:val="00C06B7E"/>
    <w:rsid w:val="00C06D5F"/>
    <w:rsid w:val="00C06E78"/>
    <w:rsid w:val="00C06F12"/>
    <w:rsid w:val="00C07CCC"/>
    <w:rsid w:val="00C07EA4"/>
    <w:rsid w:val="00C101A3"/>
    <w:rsid w:val="00C101DA"/>
    <w:rsid w:val="00C10502"/>
    <w:rsid w:val="00C10567"/>
    <w:rsid w:val="00C10835"/>
    <w:rsid w:val="00C10C6E"/>
    <w:rsid w:val="00C11101"/>
    <w:rsid w:val="00C111A5"/>
    <w:rsid w:val="00C11293"/>
    <w:rsid w:val="00C11607"/>
    <w:rsid w:val="00C119F4"/>
    <w:rsid w:val="00C11C34"/>
    <w:rsid w:val="00C11F06"/>
    <w:rsid w:val="00C11F97"/>
    <w:rsid w:val="00C1248D"/>
    <w:rsid w:val="00C1288F"/>
    <w:rsid w:val="00C129B0"/>
    <w:rsid w:val="00C12AAF"/>
    <w:rsid w:val="00C12E2C"/>
    <w:rsid w:val="00C132B3"/>
    <w:rsid w:val="00C1397E"/>
    <w:rsid w:val="00C139B3"/>
    <w:rsid w:val="00C14175"/>
    <w:rsid w:val="00C1468D"/>
    <w:rsid w:val="00C14714"/>
    <w:rsid w:val="00C14DD9"/>
    <w:rsid w:val="00C14E3A"/>
    <w:rsid w:val="00C150E4"/>
    <w:rsid w:val="00C15542"/>
    <w:rsid w:val="00C157DF"/>
    <w:rsid w:val="00C1585A"/>
    <w:rsid w:val="00C15BC4"/>
    <w:rsid w:val="00C15C7A"/>
    <w:rsid w:val="00C15CA0"/>
    <w:rsid w:val="00C16564"/>
    <w:rsid w:val="00C16620"/>
    <w:rsid w:val="00C16DE3"/>
    <w:rsid w:val="00C171E2"/>
    <w:rsid w:val="00C17414"/>
    <w:rsid w:val="00C17967"/>
    <w:rsid w:val="00C17AF8"/>
    <w:rsid w:val="00C2006D"/>
    <w:rsid w:val="00C206BA"/>
    <w:rsid w:val="00C20728"/>
    <w:rsid w:val="00C2092B"/>
    <w:rsid w:val="00C2095E"/>
    <w:rsid w:val="00C20A60"/>
    <w:rsid w:val="00C20BB4"/>
    <w:rsid w:val="00C20D96"/>
    <w:rsid w:val="00C20ECE"/>
    <w:rsid w:val="00C20F1E"/>
    <w:rsid w:val="00C2128E"/>
    <w:rsid w:val="00C21512"/>
    <w:rsid w:val="00C21768"/>
    <w:rsid w:val="00C21CB3"/>
    <w:rsid w:val="00C21D7E"/>
    <w:rsid w:val="00C21FF0"/>
    <w:rsid w:val="00C22214"/>
    <w:rsid w:val="00C222DD"/>
    <w:rsid w:val="00C225E7"/>
    <w:rsid w:val="00C22667"/>
    <w:rsid w:val="00C228DF"/>
    <w:rsid w:val="00C22E43"/>
    <w:rsid w:val="00C22F38"/>
    <w:rsid w:val="00C2316E"/>
    <w:rsid w:val="00C23230"/>
    <w:rsid w:val="00C23D9C"/>
    <w:rsid w:val="00C24397"/>
    <w:rsid w:val="00C244D8"/>
    <w:rsid w:val="00C2458C"/>
    <w:rsid w:val="00C24638"/>
    <w:rsid w:val="00C247BF"/>
    <w:rsid w:val="00C24803"/>
    <w:rsid w:val="00C2516E"/>
    <w:rsid w:val="00C25492"/>
    <w:rsid w:val="00C257E5"/>
    <w:rsid w:val="00C25943"/>
    <w:rsid w:val="00C25CE0"/>
    <w:rsid w:val="00C25CF0"/>
    <w:rsid w:val="00C260EF"/>
    <w:rsid w:val="00C26412"/>
    <w:rsid w:val="00C265ED"/>
    <w:rsid w:val="00C2663C"/>
    <w:rsid w:val="00C2670E"/>
    <w:rsid w:val="00C26779"/>
    <w:rsid w:val="00C268C7"/>
    <w:rsid w:val="00C26954"/>
    <w:rsid w:val="00C26F74"/>
    <w:rsid w:val="00C273E9"/>
    <w:rsid w:val="00C27533"/>
    <w:rsid w:val="00C27848"/>
    <w:rsid w:val="00C27D1C"/>
    <w:rsid w:val="00C27D91"/>
    <w:rsid w:val="00C27E9F"/>
    <w:rsid w:val="00C30192"/>
    <w:rsid w:val="00C304EF"/>
    <w:rsid w:val="00C306D8"/>
    <w:rsid w:val="00C3080E"/>
    <w:rsid w:val="00C30A36"/>
    <w:rsid w:val="00C30AA6"/>
    <w:rsid w:val="00C3100F"/>
    <w:rsid w:val="00C31232"/>
    <w:rsid w:val="00C31256"/>
    <w:rsid w:val="00C3145C"/>
    <w:rsid w:val="00C314D0"/>
    <w:rsid w:val="00C315B6"/>
    <w:rsid w:val="00C31753"/>
    <w:rsid w:val="00C31913"/>
    <w:rsid w:val="00C319C1"/>
    <w:rsid w:val="00C31C33"/>
    <w:rsid w:val="00C31F0A"/>
    <w:rsid w:val="00C3204D"/>
    <w:rsid w:val="00C320CD"/>
    <w:rsid w:val="00C3213F"/>
    <w:rsid w:val="00C32259"/>
    <w:rsid w:val="00C323AE"/>
    <w:rsid w:val="00C32830"/>
    <w:rsid w:val="00C32839"/>
    <w:rsid w:val="00C328A5"/>
    <w:rsid w:val="00C3299C"/>
    <w:rsid w:val="00C33B0C"/>
    <w:rsid w:val="00C33CE3"/>
    <w:rsid w:val="00C33CF9"/>
    <w:rsid w:val="00C33F1F"/>
    <w:rsid w:val="00C33F54"/>
    <w:rsid w:val="00C3404E"/>
    <w:rsid w:val="00C344D4"/>
    <w:rsid w:val="00C345B8"/>
    <w:rsid w:val="00C34825"/>
    <w:rsid w:val="00C34910"/>
    <w:rsid w:val="00C34B04"/>
    <w:rsid w:val="00C34B63"/>
    <w:rsid w:val="00C358FE"/>
    <w:rsid w:val="00C35975"/>
    <w:rsid w:val="00C35B95"/>
    <w:rsid w:val="00C35CDA"/>
    <w:rsid w:val="00C35D30"/>
    <w:rsid w:val="00C36201"/>
    <w:rsid w:val="00C36C30"/>
    <w:rsid w:val="00C36D0B"/>
    <w:rsid w:val="00C36E11"/>
    <w:rsid w:val="00C37102"/>
    <w:rsid w:val="00C374A4"/>
    <w:rsid w:val="00C3769F"/>
    <w:rsid w:val="00C37774"/>
    <w:rsid w:val="00C37C5A"/>
    <w:rsid w:val="00C37CAF"/>
    <w:rsid w:val="00C40242"/>
    <w:rsid w:val="00C4024D"/>
    <w:rsid w:val="00C405F5"/>
    <w:rsid w:val="00C40B36"/>
    <w:rsid w:val="00C410A1"/>
    <w:rsid w:val="00C41393"/>
    <w:rsid w:val="00C41647"/>
    <w:rsid w:val="00C41D4E"/>
    <w:rsid w:val="00C424EA"/>
    <w:rsid w:val="00C42914"/>
    <w:rsid w:val="00C429B0"/>
    <w:rsid w:val="00C42E28"/>
    <w:rsid w:val="00C4351D"/>
    <w:rsid w:val="00C43629"/>
    <w:rsid w:val="00C439B7"/>
    <w:rsid w:val="00C43F13"/>
    <w:rsid w:val="00C44265"/>
    <w:rsid w:val="00C444C0"/>
    <w:rsid w:val="00C44968"/>
    <w:rsid w:val="00C44A7A"/>
    <w:rsid w:val="00C44FA9"/>
    <w:rsid w:val="00C454AC"/>
    <w:rsid w:val="00C4574C"/>
    <w:rsid w:val="00C45C50"/>
    <w:rsid w:val="00C45F37"/>
    <w:rsid w:val="00C45FBA"/>
    <w:rsid w:val="00C46115"/>
    <w:rsid w:val="00C4612C"/>
    <w:rsid w:val="00C4649F"/>
    <w:rsid w:val="00C4671A"/>
    <w:rsid w:val="00C46AA6"/>
    <w:rsid w:val="00C46BEE"/>
    <w:rsid w:val="00C4709C"/>
    <w:rsid w:val="00C47218"/>
    <w:rsid w:val="00C4781A"/>
    <w:rsid w:val="00C4789D"/>
    <w:rsid w:val="00C479DB"/>
    <w:rsid w:val="00C47E2E"/>
    <w:rsid w:val="00C501DA"/>
    <w:rsid w:val="00C50353"/>
    <w:rsid w:val="00C506CD"/>
    <w:rsid w:val="00C50A87"/>
    <w:rsid w:val="00C50DFC"/>
    <w:rsid w:val="00C5122A"/>
    <w:rsid w:val="00C513AF"/>
    <w:rsid w:val="00C51E5E"/>
    <w:rsid w:val="00C522C2"/>
    <w:rsid w:val="00C523E0"/>
    <w:rsid w:val="00C5272A"/>
    <w:rsid w:val="00C52A65"/>
    <w:rsid w:val="00C52BCF"/>
    <w:rsid w:val="00C52DF1"/>
    <w:rsid w:val="00C534A7"/>
    <w:rsid w:val="00C53AC7"/>
    <w:rsid w:val="00C540D3"/>
    <w:rsid w:val="00C549E0"/>
    <w:rsid w:val="00C54A84"/>
    <w:rsid w:val="00C54BDB"/>
    <w:rsid w:val="00C551E8"/>
    <w:rsid w:val="00C5547A"/>
    <w:rsid w:val="00C558C3"/>
    <w:rsid w:val="00C56140"/>
    <w:rsid w:val="00C5628C"/>
    <w:rsid w:val="00C56462"/>
    <w:rsid w:val="00C565EE"/>
    <w:rsid w:val="00C567FE"/>
    <w:rsid w:val="00C569D5"/>
    <w:rsid w:val="00C56C54"/>
    <w:rsid w:val="00C570F9"/>
    <w:rsid w:val="00C571B2"/>
    <w:rsid w:val="00C57257"/>
    <w:rsid w:val="00C573CF"/>
    <w:rsid w:val="00C57C77"/>
    <w:rsid w:val="00C57FC3"/>
    <w:rsid w:val="00C6000B"/>
    <w:rsid w:val="00C603AE"/>
    <w:rsid w:val="00C60478"/>
    <w:rsid w:val="00C609AA"/>
    <w:rsid w:val="00C60CE4"/>
    <w:rsid w:val="00C61366"/>
    <w:rsid w:val="00C61581"/>
    <w:rsid w:val="00C618FD"/>
    <w:rsid w:val="00C61DC9"/>
    <w:rsid w:val="00C61E97"/>
    <w:rsid w:val="00C62078"/>
    <w:rsid w:val="00C6214D"/>
    <w:rsid w:val="00C62587"/>
    <w:rsid w:val="00C6268B"/>
    <w:rsid w:val="00C62FBD"/>
    <w:rsid w:val="00C63116"/>
    <w:rsid w:val="00C63201"/>
    <w:rsid w:val="00C63BB5"/>
    <w:rsid w:val="00C63CAD"/>
    <w:rsid w:val="00C64133"/>
    <w:rsid w:val="00C641E7"/>
    <w:rsid w:val="00C64397"/>
    <w:rsid w:val="00C645F1"/>
    <w:rsid w:val="00C64B92"/>
    <w:rsid w:val="00C64EC1"/>
    <w:rsid w:val="00C64F55"/>
    <w:rsid w:val="00C652C8"/>
    <w:rsid w:val="00C653E6"/>
    <w:rsid w:val="00C6554D"/>
    <w:rsid w:val="00C65670"/>
    <w:rsid w:val="00C65C90"/>
    <w:rsid w:val="00C65C9E"/>
    <w:rsid w:val="00C65D6E"/>
    <w:rsid w:val="00C65DD7"/>
    <w:rsid w:val="00C66025"/>
    <w:rsid w:val="00C660C0"/>
    <w:rsid w:val="00C667B7"/>
    <w:rsid w:val="00C669C2"/>
    <w:rsid w:val="00C66C0A"/>
    <w:rsid w:val="00C66D3E"/>
    <w:rsid w:val="00C66F56"/>
    <w:rsid w:val="00C67180"/>
    <w:rsid w:val="00C67228"/>
    <w:rsid w:val="00C67332"/>
    <w:rsid w:val="00C676B4"/>
    <w:rsid w:val="00C67E1F"/>
    <w:rsid w:val="00C70280"/>
    <w:rsid w:val="00C70973"/>
    <w:rsid w:val="00C710D6"/>
    <w:rsid w:val="00C71146"/>
    <w:rsid w:val="00C7137A"/>
    <w:rsid w:val="00C71713"/>
    <w:rsid w:val="00C71996"/>
    <w:rsid w:val="00C729F9"/>
    <w:rsid w:val="00C7303E"/>
    <w:rsid w:val="00C739E8"/>
    <w:rsid w:val="00C73D0E"/>
    <w:rsid w:val="00C73D6F"/>
    <w:rsid w:val="00C73E9D"/>
    <w:rsid w:val="00C743EC"/>
    <w:rsid w:val="00C74462"/>
    <w:rsid w:val="00C744F2"/>
    <w:rsid w:val="00C746DD"/>
    <w:rsid w:val="00C74F14"/>
    <w:rsid w:val="00C750FA"/>
    <w:rsid w:val="00C758D6"/>
    <w:rsid w:val="00C75BCF"/>
    <w:rsid w:val="00C76793"/>
    <w:rsid w:val="00C768C3"/>
    <w:rsid w:val="00C7696C"/>
    <w:rsid w:val="00C76BDA"/>
    <w:rsid w:val="00C773BA"/>
    <w:rsid w:val="00C77BF4"/>
    <w:rsid w:val="00C77F24"/>
    <w:rsid w:val="00C801B7"/>
    <w:rsid w:val="00C80828"/>
    <w:rsid w:val="00C80EBE"/>
    <w:rsid w:val="00C810D6"/>
    <w:rsid w:val="00C81B2E"/>
    <w:rsid w:val="00C8235F"/>
    <w:rsid w:val="00C82E15"/>
    <w:rsid w:val="00C83342"/>
    <w:rsid w:val="00C8352D"/>
    <w:rsid w:val="00C8357A"/>
    <w:rsid w:val="00C8362E"/>
    <w:rsid w:val="00C838D6"/>
    <w:rsid w:val="00C83B85"/>
    <w:rsid w:val="00C8429A"/>
    <w:rsid w:val="00C843F6"/>
    <w:rsid w:val="00C845B7"/>
    <w:rsid w:val="00C84639"/>
    <w:rsid w:val="00C84791"/>
    <w:rsid w:val="00C84818"/>
    <w:rsid w:val="00C84C59"/>
    <w:rsid w:val="00C84C69"/>
    <w:rsid w:val="00C84DB1"/>
    <w:rsid w:val="00C854A9"/>
    <w:rsid w:val="00C85604"/>
    <w:rsid w:val="00C85BD8"/>
    <w:rsid w:val="00C85D8B"/>
    <w:rsid w:val="00C85DF8"/>
    <w:rsid w:val="00C8611D"/>
    <w:rsid w:val="00C865AB"/>
    <w:rsid w:val="00C86784"/>
    <w:rsid w:val="00C86BB8"/>
    <w:rsid w:val="00C87041"/>
    <w:rsid w:val="00C8730B"/>
    <w:rsid w:val="00C875C8"/>
    <w:rsid w:val="00C876A2"/>
    <w:rsid w:val="00C87773"/>
    <w:rsid w:val="00C87915"/>
    <w:rsid w:val="00C87CC7"/>
    <w:rsid w:val="00C87EEB"/>
    <w:rsid w:val="00C900FB"/>
    <w:rsid w:val="00C9023B"/>
    <w:rsid w:val="00C902F3"/>
    <w:rsid w:val="00C905AA"/>
    <w:rsid w:val="00C90932"/>
    <w:rsid w:val="00C90993"/>
    <w:rsid w:val="00C90D1E"/>
    <w:rsid w:val="00C9117E"/>
    <w:rsid w:val="00C91184"/>
    <w:rsid w:val="00C911C2"/>
    <w:rsid w:val="00C9129F"/>
    <w:rsid w:val="00C91392"/>
    <w:rsid w:val="00C914F5"/>
    <w:rsid w:val="00C91A7C"/>
    <w:rsid w:val="00C91AFD"/>
    <w:rsid w:val="00C91B95"/>
    <w:rsid w:val="00C91CA4"/>
    <w:rsid w:val="00C91F80"/>
    <w:rsid w:val="00C920EB"/>
    <w:rsid w:val="00C923A2"/>
    <w:rsid w:val="00C9302A"/>
    <w:rsid w:val="00C93BD7"/>
    <w:rsid w:val="00C93F7B"/>
    <w:rsid w:val="00C9401D"/>
    <w:rsid w:val="00C942D3"/>
    <w:rsid w:val="00C94555"/>
    <w:rsid w:val="00C948CC"/>
    <w:rsid w:val="00C94913"/>
    <w:rsid w:val="00C94B0F"/>
    <w:rsid w:val="00C94B15"/>
    <w:rsid w:val="00C9506E"/>
    <w:rsid w:val="00C9522C"/>
    <w:rsid w:val="00C95831"/>
    <w:rsid w:val="00C95CCD"/>
    <w:rsid w:val="00C963DC"/>
    <w:rsid w:val="00C965C2"/>
    <w:rsid w:val="00C9686C"/>
    <w:rsid w:val="00C96AA0"/>
    <w:rsid w:val="00C96BBE"/>
    <w:rsid w:val="00C96BCA"/>
    <w:rsid w:val="00C96F5A"/>
    <w:rsid w:val="00C97421"/>
    <w:rsid w:val="00C974CA"/>
    <w:rsid w:val="00C97502"/>
    <w:rsid w:val="00C97C89"/>
    <w:rsid w:val="00CA0D6E"/>
    <w:rsid w:val="00CA1434"/>
    <w:rsid w:val="00CA162A"/>
    <w:rsid w:val="00CA1971"/>
    <w:rsid w:val="00CA215B"/>
    <w:rsid w:val="00CA23AB"/>
    <w:rsid w:val="00CA29A0"/>
    <w:rsid w:val="00CA2D45"/>
    <w:rsid w:val="00CA2EBD"/>
    <w:rsid w:val="00CA389A"/>
    <w:rsid w:val="00CA3984"/>
    <w:rsid w:val="00CA39FD"/>
    <w:rsid w:val="00CA3B08"/>
    <w:rsid w:val="00CA3BC2"/>
    <w:rsid w:val="00CA4803"/>
    <w:rsid w:val="00CA48C7"/>
    <w:rsid w:val="00CA516E"/>
    <w:rsid w:val="00CA5171"/>
    <w:rsid w:val="00CA52BE"/>
    <w:rsid w:val="00CA52F9"/>
    <w:rsid w:val="00CA583A"/>
    <w:rsid w:val="00CA5BB1"/>
    <w:rsid w:val="00CA5E30"/>
    <w:rsid w:val="00CA5E9C"/>
    <w:rsid w:val="00CA68A4"/>
    <w:rsid w:val="00CA69FA"/>
    <w:rsid w:val="00CA6AE6"/>
    <w:rsid w:val="00CA6BF0"/>
    <w:rsid w:val="00CA6CA5"/>
    <w:rsid w:val="00CA7A07"/>
    <w:rsid w:val="00CA7C2E"/>
    <w:rsid w:val="00CB00E1"/>
    <w:rsid w:val="00CB0267"/>
    <w:rsid w:val="00CB0953"/>
    <w:rsid w:val="00CB0F5B"/>
    <w:rsid w:val="00CB11C4"/>
    <w:rsid w:val="00CB1888"/>
    <w:rsid w:val="00CB1916"/>
    <w:rsid w:val="00CB1C2E"/>
    <w:rsid w:val="00CB22DF"/>
    <w:rsid w:val="00CB256E"/>
    <w:rsid w:val="00CB291D"/>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61"/>
    <w:rsid w:val="00CB5DA9"/>
    <w:rsid w:val="00CB6071"/>
    <w:rsid w:val="00CB6087"/>
    <w:rsid w:val="00CB6849"/>
    <w:rsid w:val="00CB6950"/>
    <w:rsid w:val="00CB7064"/>
    <w:rsid w:val="00CB70DA"/>
    <w:rsid w:val="00CB71B3"/>
    <w:rsid w:val="00CB72E3"/>
    <w:rsid w:val="00CB744B"/>
    <w:rsid w:val="00CB7A39"/>
    <w:rsid w:val="00CB7A3B"/>
    <w:rsid w:val="00CB7ABC"/>
    <w:rsid w:val="00CB7DD2"/>
    <w:rsid w:val="00CC0016"/>
    <w:rsid w:val="00CC004C"/>
    <w:rsid w:val="00CC0141"/>
    <w:rsid w:val="00CC0173"/>
    <w:rsid w:val="00CC065C"/>
    <w:rsid w:val="00CC07DA"/>
    <w:rsid w:val="00CC0C0E"/>
    <w:rsid w:val="00CC0FE5"/>
    <w:rsid w:val="00CC11E0"/>
    <w:rsid w:val="00CC1825"/>
    <w:rsid w:val="00CC22BB"/>
    <w:rsid w:val="00CC234A"/>
    <w:rsid w:val="00CC2704"/>
    <w:rsid w:val="00CC3210"/>
    <w:rsid w:val="00CC33DA"/>
    <w:rsid w:val="00CC3472"/>
    <w:rsid w:val="00CC3843"/>
    <w:rsid w:val="00CC3B22"/>
    <w:rsid w:val="00CC4068"/>
    <w:rsid w:val="00CC4146"/>
    <w:rsid w:val="00CC4348"/>
    <w:rsid w:val="00CC4379"/>
    <w:rsid w:val="00CC446A"/>
    <w:rsid w:val="00CC4756"/>
    <w:rsid w:val="00CC4820"/>
    <w:rsid w:val="00CC58B3"/>
    <w:rsid w:val="00CC5A85"/>
    <w:rsid w:val="00CC5BC0"/>
    <w:rsid w:val="00CC5E29"/>
    <w:rsid w:val="00CC6339"/>
    <w:rsid w:val="00CC63E1"/>
    <w:rsid w:val="00CC658B"/>
    <w:rsid w:val="00CC68B5"/>
    <w:rsid w:val="00CC6C63"/>
    <w:rsid w:val="00CC6DC1"/>
    <w:rsid w:val="00CC719D"/>
    <w:rsid w:val="00CC727A"/>
    <w:rsid w:val="00CC73DB"/>
    <w:rsid w:val="00CC7B77"/>
    <w:rsid w:val="00CC7E81"/>
    <w:rsid w:val="00CC7FB2"/>
    <w:rsid w:val="00CD06C1"/>
    <w:rsid w:val="00CD097B"/>
    <w:rsid w:val="00CD1539"/>
    <w:rsid w:val="00CD19E3"/>
    <w:rsid w:val="00CD1A71"/>
    <w:rsid w:val="00CD1AC8"/>
    <w:rsid w:val="00CD1DCA"/>
    <w:rsid w:val="00CD2636"/>
    <w:rsid w:val="00CD26F1"/>
    <w:rsid w:val="00CD2764"/>
    <w:rsid w:val="00CD27A5"/>
    <w:rsid w:val="00CD294D"/>
    <w:rsid w:val="00CD2AF2"/>
    <w:rsid w:val="00CD3ADB"/>
    <w:rsid w:val="00CD3C9D"/>
    <w:rsid w:val="00CD406D"/>
    <w:rsid w:val="00CD47F1"/>
    <w:rsid w:val="00CD4A7C"/>
    <w:rsid w:val="00CD5489"/>
    <w:rsid w:val="00CD5699"/>
    <w:rsid w:val="00CD596E"/>
    <w:rsid w:val="00CD5BE3"/>
    <w:rsid w:val="00CD5CD0"/>
    <w:rsid w:val="00CD6DCB"/>
    <w:rsid w:val="00CD6EB3"/>
    <w:rsid w:val="00CD7089"/>
    <w:rsid w:val="00CD7229"/>
    <w:rsid w:val="00CD74A3"/>
    <w:rsid w:val="00CD754E"/>
    <w:rsid w:val="00CD77E2"/>
    <w:rsid w:val="00CD7A28"/>
    <w:rsid w:val="00CD7B5E"/>
    <w:rsid w:val="00CE01DA"/>
    <w:rsid w:val="00CE04FD"/>
    <w:rsid w:val="00CE09F4"/>
    <w:rsid w:val="00CE0A0E"/>
    <w:rsid w:val="00CE0F9B"/>
    <w:rsid w:val="00CE11BE"/>
    <w:rsid w:val="00CE145B"/>
    <w:rsid w:val="00CE1655"/>
    <w:rsid w:val="00CE2013"/>
    <w:rsid w:val="00CE2071"/>
    <w:rsid w:val="00CE210E"/>
    <w:rsid w:val="00CE2711"/>
    <w:rsid w:val="00CE2921"/>
    <w:rsid w:val="00CE2C85"/>
    <w:rsid w:val="00CE2DB3"/>
    <w:rsid w:val="00CE32BF"/>
    <w:rsid w:val="00CE3673"/>
    <w:rsid w:val="00CE3ADB"/>
    <w:rsid w:val="00CE3B0B"/>
    <w:rsid w:val="00CE3D01"/>
    <w:rsid w:val="00CE3FD8"/>
    <w:rsid w:val="00CE4574"/>
    <w:rsid w:val="00CE4C86"/>
    <w:rsid w:val="00CE5169"/>
    <w:rsid w:val="00CE5C47"/>
    <w:rsid w:val="00CE5E44"/>
    <w:rsid w:val="00CE5EBF"/>
    <w:rsid w:val="00CE67F9"/>
    <w:rsid w:val="00CE6BBB"/>
    <w:rsid w:val="00CE6CE7"/>
    <w:rsid w:val="00CE6D68"/>
    <w:rsid w:val="00CE7DB1"/>
    <w:rsid w:val="00CE7F5A"/>
    <w:rsid w:val="00CF00E5"/>
    <w:rsid w:val="00CF020B"/>
    <w:rsid w:val="00CF03D0"/>
    <w:rsid w:val="00CF0B15"/>
    <w:rsid w:val="00CF0F81"/>
    <w:rsid w:val="00CF1151"/>
    <w:rsid w:val="00CF12BE"/>
    <w:rsid w:val="00CF169B"/>
    <w:rsid w:val="00CF1C61"/>
    <w:rsid w:val="00CF1F91"/>
    <w:rsid w:val="00CF20C3"/>
    <w:rsid w:val="00CF226E"/>
    <w:rsid w:val="00CF22E3"/>
    <w:rsid w:val="00CF2568"/>
    <w:rsid w:val="00CF284F"/>
    <w:rsid w:val="00CF29BF"/>
    <w:rsid w:val="00CF2A73"/>
    <w:rsid w:val="00CF2B64"/>
    <w:rsid w:val="00CF2C49"/>
    <w:rsid w:val="00CF318E"/>
    <w:rsid w:val="00CF3198"/>
    <w:rsid w:val="00CF32A8"/>
    <w:rsid w:val="00CF3486"/>
    <w:rsid w:val="00CF3700"/>
    <w:rsid w:val="00CF39A8"/>
    <w:rsid w:val="00CF44D1"/>
    <w:rsid w:val="00CF46B9"/>
    <w:rsid w:val="00CF47A8"/>
    <w:rsid w:val="00CF50ED"/>
    <w:rsid w:val="00CF5683"/>
    <w:rsid w:val="00CF5689"/>
    <w:rsid w:val="00CF58D7"/>
    <w:rsid w:val="00CF5B2C"/>
    <w:rsid w:val="00CF6268"/>
    <w:rsid w:val="00CF6444"/>
    <w:rsid w:val="00CF648B"/>
    <w:rsid w:val="00CF67DE"/>
    <w:rsid w:val="00CF695F"/>
    <w:rsid w:val="00CF6A2F"/>
    <w:rsid w:val="00CF6AEA"/>
    <w:rsid w:val="00CF6EE7"/>
    <w:rsid w:val="00CF6F0E"/>
    <w:rsid w:val="00CF71F6"/>
    <w:rsid w:val="00CF7593"/>
    <w:rsid w:val="00CF780F"/>
    <w:rsid w:val="00CF794C"/>
    <w:rsid w:val="00CF7C5D"/>
    <w:rsid w:val="00D00314"/>
    <w:rsid w:val="00D003B1"/>
    <w:rsid w:val="00D00A5C"/>
    <w:rsid w:val="00D00A89"/>
    <w:rsid w:val="00D00B2F"/>
    <w:rsid w:val="00D00B8D"/>
    <w:rsid w:val="00D01051"/>
    <w:rsid w:val="00D0117D"/>
    <w:rsid w:val="00D0168C"/>
    <w:rsid w:val="00D01DA1"/>
    <w:rsid w:val="00D01EF7"/>
    <w:rsid w:val="00D01FE9"/>
    <w:rsid w:val="00D02A5B"/>
    <w:rsid w:val="00D02BB7"/>
    <w:rsid w:val="00D0348D"/>
    <w:rsid w:val="00D034BA"/>
    <w:rsid w:val="00D03AA5"/>
    <w:rsid w:val="00D03C30"/>
    <w:rsid w:val="00D04115"/>
    <w:rsid w:val="00D04763"/>
    <w:rsid w:val="00D04A81"/>
    <w:rsid w:val="00D04C34"/>
    <w:rsid w:val="00D04C69"/>
    <w:rsid w:val="00D04CFA"/>
    <w:rsid w:val="00D04EE4"/>
    <w:rsid w:val="00D055B9"/>
    <w:rsid w:val="00D05B8B"/>
    <w:rsid w:val="00D05D14"/>
    <w:rsid w:val="00D06038"/>
    <w:rsid w:val="00D060D4"/>
    <w:rsid w:val="00D06458"/>
    <w:rsid w:val="00D064CE"/>
    <w:rsid w:val="00D06530"/>
    <w:rsid w:val="00D06F5F"/>
    <w:rsid w:val="00D0701E"/>
    <w:rsid w:val="00D0746E"/>
    <w:rsid w:val="00D0772D"/>
    <w:rsid w:val="00D078D9"/>
    <w:rsid w:val="00D07D81"/>
    <w:rsid w:val="00D1001A"/>
    <w:rsid w:val="00D101AD"/>
    <w:rsid w:val="00D10340"/>
    <w:rsid w:val="00D10407"/>
    <w:rsid w:val="00D1093B"/>
    <w:rsid w:val="00D10952"/>
    <w:rsid w:val="00D10AC5"/>
    <w:rsid w:val="00D10BE7"/>
    <w:rsid w:val="00D10CD2"/>
    <w:rsid w:val="00D10D32"/>
    <w:rsid w:val="00D1154D"/>
    <w:rsid w:val="00D11737"/>
    <w:rsid w:val="00D11772"/>
    <w:rsid w:val="00D11A2D"/>
    <w:rsid w:val="00D12268"/>
    <w:rsid w:val="00D12280"/>
    <w:rsid w:val="00D1245D"/>
    <w:rsid w:val="00D12504"/>
    <w:rsid w:val="00D12828"/>
    <w:rsid w:val="00D12B05"/>
    <w:rsid w:val="00D12B85"/>
    <w:rsid w:val="00D1339E"/>
    <w:rsid w:val="00D13CB1"/>
    <w:rsid w:val="00D14138"/>
    <w:rsid w:val="00D14557"/>
    <w:rsid w:val="00D1464F"/>
    <w:rsid w:val="00D14B4E"/>
    <w:rsid w:val="00D14C25"/>
    <w:rsid w:val="00D14D1C"/>
    <w:rsid w:val="00D14DC9"/>
    <w:rsid w:val="00D14F95"/>
    <w:rsid w:val="00D1500F"/>
    <w:rsid w:val="00D15477"/>
    <w:rsid w:val="00D157AB"/>
    <w:rsid w:val="00D160F9"/>
    <w:rsid w:val="00D16455"/>
    <w:rsid w:val="00D166AB"/>
    <w:rsid w:val="00D16ADA"/>
    <w:rsid w:val="00D16C98"/>
    <w:rsid w:val="00D16CD3"/>
    <w:rsid w:val="00D16D58"/>
    <w:rsid w:val="00D16E90"/>
    <w:rsid w:val="00D17339"/>
    <w:rsid w:val="00D17896"/>
    <w:rsid w:val="00D179F1"/>
    <w:rsid w:val="00D20035"/>
    <w:rsid w:val="00D2015C"/>
    <w:rsid w:val="00D20253"/>
    <w:rsid w:val="00D206A3"/>
    <w:rsid w:val="00D20744"/>
    <w:rsid w:val="00D20A19"/>
    <w:rsid w:val="00D21164"/>
    <w:rsid w:val="00D213F1"/>
    <w:rsid w:val="00D21AF7"/>
    <w:rsid w:val="00D21CDA"/>
    <w:rsid w:val="00D21F2E"/>
    <w:rsid w:val="00D22260"/>
    <w:rsid w:val="00D22266"/>
    <w:rsid w:val="00D22A26"/>
    <w:rsid w:val="00D22D35"/>
    <w:rsid w:val="00D22E4A"/>
    <w:rsid w:val="00D238FF"/>
    <w:rsid w:val="00D23DEF"/>
    <w:rsid w:val="00D23F97"/>
    <w:rsid w:val="00D2495F"/>
    <w:rsid w:val="00D249A6"/>
    <w:rsid w:val="00D249C6"/>
    <w:rsid w:val="00D24E2B"/>
    <w:rsid w:val="00D25353"/>
    <w:rsid w:val="00D256EE"/>
    <w:rsid w:val="00D258A6"/>
    <w:rsid w:val="00D25F43"/>
    <w:rsid w:val="00D26272"/>
    <w:rsid w:val="00D26588"/>
    <w:rsid w:val="00D266F7"/>
    <w:rsid w:val="00D269AC"/>
    <w:rsid w:val="00D26BB9"/>
    <w:rsid w:val="00D26E5C"/>
    <w:rsid w:val="00D27373"/>
    <w:rsid w:val="00D273DC"/>
    <w:rsid w:val="00D27567"/>
    <w:rsid w:val="00D276A0"/>
    <w:rsid w:val="00D278FA"/>
    <w:rsid w:val="00D27F74"/>
    <w:rsid w:val="00D30337"/>
    <w:rsid w:val="00D30381"/>
    <w:rsid w:val="00D306F9"/>
    <w:rsid w:val="00D307D3"/>
    <w:rsid w:val="00D309D0"/>
    <w:rsid w:val="00D30E47"/>
    <w:rsid w:val="00D310AB"/>
    <w:rsid w:val="00D3114B"/>
    <w:rsid w:val="00D31339"/>
    <w:rsid w:val="00D31446"/>
    <w:rsid w:val="00D314C8"/>
    <w:rsid w:val="00D315CF"/>
    <w:rsid w:val="00D318DE"/>
    <w:rsid w:val="00D31FCB"/>
    <w:rsid w:val="00D32089"/>
    <w:rsid w:val="00D32518"/>
    <w:rsid w:val="00D3294A"/>
    <w:rsid w:val="00D32AE4"/>
    <w:rsid w:val="00D32F93"/>
    <w:rsid w:val="00D345DC"/>
    <w:rsid w:val="00D34646"/>
    <w:rsid w:val="00D34A04"/>
    <w:rsid w:val="00D34C4C"/>
    <w:rsid w:val="00D34D6B"/>
    <w:rsid w:val="00D34E09"/>
    <w:rsid w:val="00D35264"/>
    <w:rsid w:val="00D35284"/>
    <w:rsid w:val="00D3559D"/>
    <w:rsid w:val="00D35784"/>
    <w:rsid w:val="00D3583A"/>
    <w:rsid w:val="00D35B76"/>
    <w:rsid w:val="00D35D7F"/>
    <w:rsid w:val="00D3629F"/>
    <w:rsid w:val="00D365B4"/>
    <w:rsid w:val="00D36D6E"/>
    <w:rsid w:val="00D36E0F"/>
    <w:rsid w:val="00D37269"/>
    <w:rsid w:val="00D37282"/>
    <w:rsid w:val="00D379BF"/>
    <w:rsid w:val="00D379CD"/>
    <w:rsid w:val="00D40B83"/>
    <w:rsid w:val="00D40F0B"/>
    <w:rsid w:val="00D41039"/>
    <w:rsid w:val="00D41C12"/>
    <w:rsid w:val="00D41F6C"/>
    <w:rsid w:val="00D41FB4"/>
    <w:rsid w:val="00D42103"/>
    <w:rsid w:val="00D42846"/>
    <w:rsid w:val="00D42CD1"/>
    <w:rsid w:val="00D42FBD"/>
    <w:rsid w:val="00D430D1"/>
    <w:rsid w:val="00D432CD"/>
    <w:rsid w:val="00D434A4"/>
    <w:rsid w:val="00D43678"/>
    <w:rsid w:val="00D4389B"/>
    <w:rsid w:val="00D43B70"/>
    <w:rsid w:val="00D43E54"/>
    <w:rsid w:val="00D443C0"/>
    <w:rsid w:val="00D443C7"/>
    <w:rsid w:val="00D449ED"/>
    <w:rsid w:val="00D44A9F"/>
    <w:rsid w:val="00D44CBB"/>
    <w:rsid w:val="00D44D18"/>
    <w:rsid w:val="00D44E5E"/>
    <w:rsid w:val="00D44E6E"/>
    <w:rsid w:val="00D44ED2"/>
    <w:rsid w:val="00D452E4"/>
    <w:rsid w:val="00D45671"/>
    <w:rsid w:val="00D45CCF"/>
    <w:rsid w:val="00D45FE3"/>
    <w:rsid w:val="00D46179"/>
    <w:rsid w:val="00D46182"/>
    <w:rsid w:val="00D46836"/>
    <w:rsid w:val="00D469DE"/>
    <w:rsid w:val="00D46C84"/>
    <w:rsid w:val="00D46F51"/>
    <w:rsid w:val="00D4704D"/>
    <w:rsid w:val="00D47139"/>
    <w:rsid w:val="00D47240"/>
    <w:rsid w:val="00D47444"/>
    <w:rsid w:val="00D4796A"/>
    <w:rsid w:val="00D47B54"/>
    <w:rsid w:val="00D501F9"/>
    <w:rsid w:val="00D50215"/>
    <w:rsid w:val="00D503C6"/>
    <w:rsid w:val="00D505F6"/>
    <w:rsid w:val="00D50989"/>
    <w:rsid w:val="00D50A70"/>
    <w:rsid w:val="00D510EE"/>
    <w:rsid w:val="00D5126E"/>
    <w:rsid w:val="00D51379"/>
    <w:rsid w:val="00D5147E"/>
    <w:rsid w:val="00D5156F"/>
    <w:rsid w:val="00D518A5"/>
    <w:rsid w:val="00D519D7"/>
    <w:rsid w:val="00D51B0E"/>
    <w:rsid w:val="00D525F2"/>
    <w:rsid w:val="00D52833"/>
    <w:rsid w:val="00D52A69"/>
    <w:rsid w:val="00D52E8D"/>
    <w:rsid w:val="00D52FFC"/>
    <w:rsid w:val="00D5341A"/>
    <w:rsid w:val="00D537F2"/>
    <w:rsid w:val="00D53A3D"/>
    <w:rsid w:val="00D53F11"/>
    <w:rsid w:val="00D54216"/>
    <w:rsid w:val="00D54648"/>
    <w:rsid w:val="00D54958"/>
    <w:rsid w:val="00D549BB"/>
    <w:rsid w:val="00D54B28"/>
    <w:rsid w:val="00D54F5C"/>
    <w:rsid w:val="00D55452"/>
    <w:rsid w:val="00D55DB4"/>
    <w:rsid w:val="00D560C3"/>
    <w:rsid w:val="00D565A4"/>
    <w:rsid w:val="00D567E5"/>
    <w:rsid w:val="00D569B1"/>
    <w:rsid w:val="00D56C4C"/>
    <w:rsid w:val="00D56DF8"/>
    <w:rsid w:val="00D56E78"/>
    <w:rsid w:val="00D57B44"/>
    <w:rsid w:val="00D57DE3"/>
    <w:rsid w:val="00D57F95"/>
    <w:rsid w:val="00D60128"/>
    <w:rsid w:val="00D601E4"/>
    <w:rsid w:val="00D60343"/>
    <w:rsid w:val="00D60353"/>
    <w:rsid w:val="00D6046A"/>
    <w:rsid w:val="00D6047E"/>
    <w:rsid w:val="00D6126F"/>
    <w:rsid w:val="00D61B8E"/>
    <w:rsid w:val="00D61C01"/>
    <w:rsid w:val="00D61C02"/>
    <w:rsid w:val="00D61EBD"/>
    <w:rsid w:val="00D620F0"/>
    <w:rsid w:val="00D6233B"/>
    <w:rsid w:val="00D6234B"/>
    <w:rsid w:val="00D62415"/>
    <w:rsid w:val="00D62626"/>
    <w:rsid w:val="00D6271E"/>
    <w:rsid w:val="00D62888"/>
    <w:rsid w:val="00D62CD4"/>
    <w:rsid w:val="00D62CF0"/>
    <w:rsid w:val="00D62ED6"/>
    <w:rsid w:val="00D62F0A"/>
    <w:rsid w:val="00D63117"/>
    <w:rsid w:val="00D63787"/>
    <w:rsid w:val="00D6394A"/>
    <w:rsid w:val="00D639E4"/>
    <w:rsid w:val="00D63A6F"/>
    <w:rsid w:val="00D63AC2"/>
    <w:rsid w:val="00D63C4C"/>
    <w:rsid w:val="00D63D08"/>
    <w:rsid w:val="00D63F8A"/>
    <w:rsid w:val="00D644C8"/>
    <w:rsid w:val="00D645C7"/>
    <w:rsid w:val="00D647BC"/>
    <w:rsid w:val="00D649F7"/>
    <w:rsid w:val="00D64A6A"/>
    <w:rsid w:val="00D64B1A"/>
    <w:rsid w:val="00D64C54"/>
    <w:rsid w:val="00D6502E"/>
    <w:rsid w:val="00D65289"/>
    <w:rsid w:val="00D65661"/>
    <w:rsid w:val="00D657F3"/>
    <w:rsid w:val="00D65B7E"/>
    <w:rsid w:val="00D65B87"/>
    <w:rsid w:val="00D65E28"/>
    <w:rsid w:val="00D66147"/>
    <w:rsid w:val="00D66253"/>
    <w:rsid w:val="00D66AC3"/>
    <w:rsid w:val="00D66BBA"/>
    <w:rsid w:val="00D671D4"/>
    <w:rsid w:val="00D671EA"/>
    <w:rsid w:val="00D673F5"/>
    <w:rsid w:val="00D6774F"/>
    <w:rsid w:val="00D67A22"/>
    <w:rsid w:val="00D67BBF"/>
    <w:rsid w:val="00D67E7C"/>
    <w:rsid w:val="00D70426"/>
    <w:rsid w:val="00D70842"/>
    <w:rsid w:val="00D70BAE"/>
    <w:rsid w:val="00D70CE5"/>
    <w:rsid w:val="00D711F2"/>
    <w:rsid w:val="00D712AA"/>
    <w:rsid w:val="00D71761"/>
    <w:rsid w:val="00D719E9"/>
    <w:rsid w:val="00D71A6E"/>
    <w:rsid w:val="00D71B2A"/>
    <w:rsid w:val="00D726DD"/>
    <w:rsid w:val="00D72AD4"/>
    <w:rsid w:val="00D72E7C"/>
    <w:rsid w:val="00D735C4"/>
    <w:rsid w:val="00D738FE"/>
    <w:rsid w:val="00D73B2E"/>
    <w:rsid w:val="00D73B90"/>
    <w:rsid w:val="00D73BBB"/>
    <w:rsid w:val="00D73D25"/>
    <w:rsid w:val="00D73FB4"/>
    <w:rsid w:val="00D74831"/>
    <w:rsid w:val="00D74F7E"/>
    <w:rsid w:val="00D74FE7"/>
    <w:rsid w:val="00D75974"/>
    <w:rsid w:val="00D75EE3"/>
    <w:rsid w:val="00D760D9"/>
    <w:rsid w:val="00D7618C"/>
    <w:rsid w:val="00D7622D"/>
    <w:rsid w:val="00D76575"/>
    <w:rsid w:val="00D769F7"/>
    <w:rsid w:val="00D76C1F"/>
    <w:rsid w:val="00D77475"/>
    <w:rsid w:val="00D774B8"/>
    <w:rsid w:val="00D7751B"/>
    <w:rsid w:val="00D775FA"/>
    <w:rsid w:val="00D7798A"/>
    <w:rsid w:val="00D77B63"/>
    <w:rsid w:val="00D77C27"/>
    <w:rsid w:val="00D804DB"/>
    <w:rsid w:val="00D804F1"/>
    <w:rsid w:val="00D81629"/>
    <w:rsid w:val="00D818FD"/>
    <w:rsid w:val="00D81997"/>
    <w:rsid w:val="00D81AD0"/>
    <w:rsid w:val="00D81C62"/>
    <w:rsid w:val="00D81FAA"/>
    <w:rsid w:val="00D82637"/>
    <w:rsid w:val="00D826C3"/>
    <w:rsid w:val="00D82C53"/>
    <w:rsid w:val="00D82E05"/>
    <w:rsid w:val="00D82E5C"/>
    <w:rsid w:val="00D830F1"/>
    <w:rsid w:val="00D836C5"/>
    <w:rsid w:val="00D83D47"/>
    <w:rsid w:val="00D83DAF"/>
    <w:rsid w:val="00D83DEA"/>
    <w:rsid w:val="00D847F7"/>
    <w:rsid w:val="00D848E3"/>
    <w:rsid w:val="00D84AB7"/>
    <w:rsid w:val="00D84CBA"/>
    <w:rsid w:val="00D84D38"/>
    <w:rsid w:val="00D850C4"/>
    <w:rsid w:val="00D8513C"/>
    <w:rsid w:val="00D85946"/>
    <w:rsid w:val="00D85AE8"/>
    <w:rsid w:val="00D85AFE"/>
    <w:rsid w:val="00D85DBC"/>
    <w:rsid w:val="00D85DC2"/>
    <w:rsid w:val="00D860A3"/>
    <w:rsid w:val="00D861DE"/>
    <w:rsid w:val="00D864BC"/>
    <w:rsid w:val="00D86FFD"/>
    <w:rsid w:val="00D87114"/>
    <w:rsid w:val="00D8769A"/>
    <w:rsid w:val="00D876A3"/>
    <w:rsid w:val="00D877DD"/>
    <w:rsid w:val="00D8799B"/>
    <w:rsid w:val="00D87EA3"/>
    <w:rsid w:val="00D9076E"/>
    <w:rsid w:val="00D90C2C"/>
    <w:rsid w:val="00D90D91"/>
    <w:rsid w:val="00D90DCC"/>
    <w:rsid w:val="00D91034"/>
    <w:rsid w:val="00D9108A"/>
    <w:rsid w:val="00D915DD"/>
    <w:rsid w:val="00D916B3"/>
    <w:rsid w:val="00D9196F"/>
    <w:rsid w:val="00D91B13"/>
    <w:rsid w:val="00D91C77"/>
    <w:rsid w:val="00D91CB6"/>
    <w:rsid w:val="00D91CEB"/>
    <w:rsid w:val="00D92542"/>
    <w:rsid w:val="00D927A2"/>
    <w:rsid w:val="00D92849"/>
    <w:rsid w:val="00D929EB"/>
    <w:rsid w:val="00D92A87"/>
    <w:rsid w:val="00D92E07"/>
    <w:rsid w:val="00D92E7F"/>
    <w:rsid w:val="00D93575"/>
    <w:rsid w:val="00D9362A"/>
    <w:rsid w:val="00D9382E"/>
    <w:rsid w:val="00D93C47"/>
    <w:rsid w:val="00D93DBE"/>
    <w:rsid w:val="00D93DEC"/>
    <w:rsid w:val="00D93E36"/>
    <w:rsid w:val="00D93EC4"/>
    <w:rsid w:val="00D94462"/>
    <w:rsid w:val="00D944CE"/>
    <w:rsid w:val="00D94782"/>
    <w:rsid w:val="00D94B34"/>
    <w:rsid w:val="00D94CF1"/>
    <w:rsid w:val="00D94F6F"/>
    <w:rsid w:val="00D95A3D"/>
    <w:rsid w:val="00D96A61"/>
    <w:rsid w:val="00D97C63"/>
    <w:rsid w:val="00DA0440"/>
    <w:rsid w:val="00DA0865"/>
    <w:rsid w:val="00DA0ED5"/>
    <w:rsid w:val="00DA1229"/>
    <w:rsid w:val="00DA23E3"/>
    <w:rsid w:val="00DA2458"/>
    <w:rsid w:val="00DA254B"/>
    <w:rsid w:val="00DA2A80"/>
    <w:rsid w:val="00DA2C9D"/>
    <w:rsid w:val="00DA2E25"/>
    <w:rsid w:val="00DA3250"/>
    <w:rsid w:val="00DA35EA"/>
    <w:rsid w:val="00DA4216"/>
    <w:rsid w:val="00DA45F7"/>
    <w:rsid w:val="00DA4809"/>
    <w:rsid w:val="00DA4AF7"/>
    <w:rsid w:val="00DA4D99"/>
    <w:rsid w:val="00DA4EDF"/>
    <w:rsid w:val="00DA544B"/>
    <w:rsid w:val="00DA571F"/>
    <w:rsid w:val="00DA58C8"/>
    <w:rsid w:val="00DA5A5C"/>
    <w:rsid w:val="00DA5B3D"/>
    <w:rsid w:val="00DA6096"/>
    <w:rsid w:val="00DA6515"/>
    <w:rsid w:val="00DA65B8"/>
    <w:rsid w:val="00DA6787"/>
    <w:rsid w:val="00DA6A0C"/>
    <w:rsid w:val="00DA6A11"/>
    <w:rsid w:val="00DA6A58"/>
    <w:rsid w:val="00DA6D35"/>
    <w:rsid w:val="00DA6FD8"/>
    <w:rsid w:val="00DA7012"/>
    <w:rsid w:val="00DA75B7"/>
    <w:rsid w:val="00DA7D27"/>
    <w:rsid w:val="00DB0198"/>
    <w:rsid w:val="00DB0462"/>
    <w:rsid w:val="00DB0EA6"/>
    <w:rsid w:val="00DB0F2F"/>
    <w:rsid w:val="00DB11CB"/>
    <w:rsid w:val="00DB19C0"/>
    <w:rsid w:val="00DB1A7E"/>
    <w:rsid w:val="00DB1A96"/>
    <w:rsid w:val="00DB1B75"/>
    <w:rsid w:val="00DB1F6E"/>
    <w:rsid w:val="00DB2337"/>
    <w:rsid w:val="00DB251A"/>
    <w:rsid w:val="00DB26AA"/>
    <w:rsid w:val="00DB2B03"/>
    <w:rsid w:val="00DB2F06"/>
    <w:rsid w:val="00DB314F"/>
    <w:rsid w:val="00DB3268"/>
    <w:rsid w:val="00DB33A0"/>
    <w:rsid w:val="00DB393A"/>
    <w:rsid w:val="00DB3A80"/>
    <w:rsid w:val="00DB3CDC"/>
    <w:rsid w:val="00DB4219"/>
    <w:rsid w:val="00DB4464"/>
    <w:rsid w:val="00DB453E"/>
    <w:rsid w:val="00DB476C"/>
    <w:rsid w:val="00DB479B"/>
    <w:rsid w:val="00DB49C6"/>
    <w:rsid w:val="00DB4DF4"/>
    <w:rsid w:val="00DB4F2B"/>
    <w:rsid w:val="00DB52AB"/>
    <w:rsid w:val="00DB557D"/>
    <w:rsid w:val="00DB5AEF"/>
    <w:rsid w:val="00DB6303"/>
    <w:rsid w:val="00DB6711"/>
    <w:rsid w:val="00DB67F2"/>
    <w:rsid w:val="00DB6BA0"/>
    <w:rsid w:val="00DB6D34"/>
    <w:rsid w:val="00DB7008"/>
    <w:rsid w:val="00DB7112"/>
    <w:rsid w:val="00DB7263"/>
    <w:rsid w:val="00DB7550"/>
    <w:rsid w:val="00DB7867"/>
    <w:rsid w:val="00DB7EC4"/>
    <w:rsid w:val="00DC023A"/>
    <w:rsid w:val="00DC04D6"/>
    <w:rsid w:val="00DC097F"/>
    <w:rsid w:val="00DC09C4"/>
    <w:rsid w:val="00DC0E11"/>
    <w:rsid w:val="00DC141A"/>
    <w:rsid w:val="00DC169E"/>
    <w:rsid w:val="00DC1760"/>
    <w:rsid w:val="00DC1A91"/>
    <w:rsid w:val="00DC1B68"/>
    <w:rsid w:val="00DC1CFB"/>
    <w:rsid w:val="00DC1D70"/>
    <w:rsid w:val="00DC1FB7"/>
    <w:rsid w:val="00DC22A4"/>
    <w:rsid w:val="00DC2317"/>
    <w:rsid w:val="00DC237F"/>
    <w:rsid w:val="00DC259C"/>
    <w:rsid w:val="00DC25FF"/>
    <w:rsid w:val="00DC292A"/>
    <w:rsid w:val="00DC2C11"/>
    <w:rsid w:val="00DC2E03"/>
    <w:rsid w:val="00DC33D2"/>
    <w:rsid w:val="00DC33D3"/>
    <w:rsid w:val="00DC3715"/>
    <w:rsid w:val="00DC3FA4"/>
    <w:rsid w:val="00DC42CF"/>
    <w:rsid w:val="00DC43D0"/>
    <w:rsid w:val="00DC4D10"/>
    <w:rsid w:val="00DC5037"/>
    <w:rsid w:val="00DC531E"/>
    <w:rsid w:val="00DC54E6"/>
    <w:rsid w:val="00DC603B"/>
    <w:rsid w:val="00DC6331"/>
    <w:rsid w:val="00DC6379"/>
    <w:rsid w:val="00DC6754"/>
    <w:rsid w:val="00DC6772"/>
    <w:rsid w:val="00DC6BB6"/>
    <w:rsid w:val="00DC6D97"/>
    <w:rsid w:val="00DC6F3C"/>
    <w:rsid w:val="00DC6F4D"/>
    <w:rsid w:val="00DC6F5E"/>
    <w:rsid w:val="00DC7003"/>
    <w:rsid w:val="00DC7060"/>
    <w:rsid w:val="00DC747D"/>
    <w:rsid w:val="00DC7499"/>
    <w:rsid w:val="00DC765F"/>
    <w:rsid w:val="00DC77FC"/>
    <w:rsid w:val="00DC7801"/>
    <w:rsid w:val="00DC7C3A"/>
    <w:rsid w:val="00DC7E9A"/>
    <w:rsid w:val="00DC7EC2"/>
    <w:rsid w:val="00DD05CE"/>
    <w:rsid w:val="00DD08F9"/>
    <w:rsid w:val="00DD0C6B"/>
    <w:rsid w:val="00DD0CA1"/>
    <w:rsid w:val="00DD0CE3"/>
    <w:rsid w:val="00DD0DE8"/>
    <w:rsid w:val="00DD13DE"/>
    <w:rsid w:val="00DD14B5"/>
    <w:rsid w:val="00DD1806"/>
    <w:rsid w:val="00DD210B"/>
    <w:rsid w:val="00DD2351"/>
    <w:rsid w:val="00DD2C0E"/>
    <w:rsid w:val="00DD2D13"/>
    <w:rsid w:val="00DD2D74"/>
    <w:rsid w:val="00DD3557"/>
    <w:rsid w:val="00DD3589"/>
    <w:rsid w:val="00DD382B"/>
    <w:rsid w:val="00DD3A12"/>
    <w:rsid w:val="00DD3C87"/>
    <w:rsid w:val="00DD3D3B"/>
    <w:rsid w:val="00DD3DC8"/>
    <w:rsid w:val="00DD4133"/>
    <w:rsid w:val="00DD4320"/>
    <w:rsid w:val="00DD44BD"/>
    <w:rsid w:val="00DD473B"/>
    <w:rsid w:val="00DD47C8"/>
    <w:rsid w:val="00DD47F2"/>
    <w:rsid w:val="00DD4AE4"/>
    <w:rsid w:val="00DD521C"/>
    <w:rsid w:val="00DD53FB"/>
    <w:rsid w:val="00DD54B5"/>
    <w:rsid w:val="00DD574A"/>
    <w:rsid w:val="00DD5DAD"/>
    <w:rsid w:val="00DD5E0E"/>
    <w:rsid w:val="00DD648B"/>
    <w:rsid w:val="00DD65C4"/>
    <w:rsid w:val="00DD698A"/>
    <w:rsid w:val="00DD6DAC"/>
    <w:rsid w:val="00DD6E53"/>
    <w:rsid w:val="00DD77FE"/>
    <w:rsid w:val="00DD7937"/>
    <w:rsid w:val="00DD7A4B"/>
    <w:rsid w:val="00DD7B6A"/>
    <w:rsid w:val="00DE0447"/>
    <w:rsid w:val="00DE0723"/>
    <w:rsid w:val="00DE0A3D"/>
    <w:rsid w:val="00DE0BA9"/>
    <w:rsid w:val="00DE0CCC"/>
    <w:rsid w:val="00DE14B4"/>
    <w:rsid w:val="00DE1B61"/>
    <w:rsid w:val="00DE1F0B"/>
    <w:rsid w:val="00DE1FA8"/>
    <w:rsid w:val="00DE1FDC"/>
    <w:rsid w:val="00DE213B"/>
    <w:rsid w:val="00DE2B60"/>
    <w:rsid w:val="00DE2CE0"/>
    <w:rsid w:val="00DE30BE"/>
    <w:rsid w:val="00DE324C"/>
    <w:rsid w:val="00DE32CF"/>
    <w:rsid w:val="00DE3487"/>
    <w:rsid w:val="00DE369B"/>
    <w:rsid w:val="00DE37E8"/>
    <w:rsid w:val="00DE3B48"/>
    <w:rsid w:val="00DE41F5"/>
    <w:rsid w:val="00DE454F"/>
    <w:rsid w:val="00DE4562"/>
    <w:rsid w:val="00DE47B1"/>
    <w:rsid w:val="00DE481E"/>
    <w:rsid w:val="00DE4A73"/>
    <w:rsid w:val="00DE4CDE"/>
    <w:rsid w:val="00DE4D55"/>
    <w:rsid w:val="00DE4D72"/>
    <w:rsid w:val="00DE4FC6"/>
    <w:rsid w:val="00DE52D4"/>
    <w:rsid w:val="00DE5370"/>
    <w:rsid w:val="00DE5522"/>
    <w:rsid w:val="00DE55C4"/>
    <w:rsid w:val="00DE5623"/>
    <w:rsid w:val="00DE5675"/>
    <w:rsid w:val="00DE5C3D"/>
    <w:rsid w:val="00DE5EF8"/>
    <w:rsid w:val="00DE5FB2"/>
    <w:rsid w:val="00DE6B41"/>
    <w:rsid w:val="00DE7010"/>
    <w:rsid w:val="00DE7671"/>
    <w:rsid w:val="00DE7850"/>
    <w:rsid w:val="00DE7874"/>
    <w:rsid w:val="00DE7930"/>
    <w:rsid w:val="00DF000D"/>
    <w:rsid w:val="00DF03D8"/>
    <w:rsid w:val="00DF0516"/>
    <w:rsid w:val="00DF082E"/>
    <w:rsid w:val="00DF08CA"/>
    <w:rsid w:val="00DF0976"/>
    <w:rsid w:val="00DF0FC0"/>
    <w:rsid w:val="00DF1621"/>
    <w:rsid w:val="00DF18A3"/>
    <w:rsid w:val="00DF2109"/>
    <w:rsid w:val="00DF27C4"/>
    <w:rsid w:val="00DF2988"/>
    <w:rsid w:val="00DF2B85"/>
    <w:rsid w:val="00DF366A"/>
    <w:rsid w:val="00DF37A3"/>
    <w:rsid w:val="00DF3DA3"/>
    <w:rsid w:val="00DF3DA8"/>
    <w:rsid w:val="00DF44BA"/>
    <w:rsid w:val="00DF45F5"/>
    <w:rsid w:val="00DF4701"/>
    <w:rsid w:val="00DF4803"/>
    <w:rsid w:val="00DF4B34"/>
    <w:rsid w:val="00DF534D"/>
    <w:rsid w:val="00DF6672"/>
    <w:rsid w:val="00DF66D4"/>
    <w:rsid w:val="00DF68F2"/>
    <w:rsid w:val="00DF6F9A"/>
    <w:rsid w:val="00DF7048"/>
    <w:rsid w:val="00DF7193"/>
    <w:rsid w:val="00DF7323"/>
    <w:rsid w:val="00DF73D0"/>
    <w:rsid w:val="00DF7459"/>
    <w:rsid w:val="00DF775F"/>
    <w:rsid w:val="00DF7A07"/>
    <w:rsid w:val="00DF7C18"/>
    <w:rsid w:val="00DF7D54"/>
    <w:rsid w:val="00E000C0"/>
    <w:rsid w:val="00E00561"/>
    <w:rsid w:val="00E005B3"/>
    <w:rsid w:val="00E01085"/>
    <w:rsid w:val="00E011CC"/>
    <w:rsid w:val="00E01296"/>
    <w:rsid w:val="00E01594"/>
    <w:rsid w:val="00E0191C"/>
    <w:rsid w:val="00E01935"/>
    <w:rsid w:val="00E01A48"/>
    <w:rsid w:val="00E01D26"/>
    <w:rsid w:val="00E01FF3"/>
    <w:rsid w:val="00E020C2"/>
    <w:rsid w:val="00E024CE"/>
    <w:rsid w:val="00E027C2"/>
    <w:rsid w:val="00E028B5"/>
    <w:rsid w:val="00E02CE7"/>
    <w:rsid w:val="00E0308C"/>
    <w:rsid w:val="00E03210"/>
    <w:rsid w:val="00E0357F"/>
    <w:rsid w:val="00E03D80"/>
    <w:rsid w:val="00E03EED"/>
    <w:rsid w:val="00E049D2"/>
    <w:rsid w:val="00E04E8F"/>
    <w:rsid w:val="00E04F1E"/>
    <w:rsid w:val="00E04F95"/>
    <w:rsid w:val="00E04FB5"/>
    <w:rsid w:val="00E05616"/>
    <w:rsid w:val="00E057C3"/>
    <w:rsid w:val="00E0599A"/>
    <w:rsid w:val="00E05E01"/>
    <w:rsid w:val="00E06070"/>
    <w:rsid w:val="00E060C5"/>
    <w:rsid w:val="00E0645C"/>
    <w:rsid w:val="00E0652F"/>
    <w:rsid w:val="00E066EE"/>
    <w:rsid w:val="00E067D2"/>
    <w:rsid w:val="00E0700D"/>
    <w:rsid w:val="00E07122"/>
    <w:rsid w:val="00E07867"/>
    <w:rsid w:val="00E105C8"/>
    <w:rsid w:val="00E106B3"/>
    <w:rsid w:val="00E1084F"/>
    <w:rsid w:val="00E109DA"/>
    <w:rsid w:val="00E10B12"/>
    <w:rsid w:val="00E10C64"/>
    <w:rsid w:val="00E10D5C"/>
    <w:rsid w:val="00E10E7E"/>
    <w:rsid w:val="00E10F4F"/>
    <w:rsid w:val="00E111FD"/>
    <w:rsid w:val="00E11886"/>
    <w:rsid w:val="00E1198D"/>
    <w:rsid w:val="00E119AB"/>
    <w:rsid w:val="00E11C2C"/>
    <w:rsid w:val="00E11F29"/>
    <w:rsid w:val="00E12396"/>
    <w:rsid w:val="00E123A0"/>
    <w:rsid w:val="00E12469"/>
    <w:rsid w:val="00E124F8"/>
    <w:rsid w:val="00E1254E"/>
    <w:rsid w:val="00E125C7"/>
    <w:rsid w:val="00E128B6"/>
    <w:rsid w:val="00E12D11"/>
    <w:rsid w:val="00E12F10"/>
    <w:rsid w:val="00E13801"/>
    <w:rsid w:val="00E13C8F"/>
    <w:rsid w:val="00E13DF5"/>
    <w:rsid w:val="00E13E5A"/>
    <w:rsid w:val="00E1495B"/>
    <w:rsid w:val="00E14CAF"/>
    <w:rsid w:val="00E14DBF"/>
    <w:rsid w:val="00E1523F"/>
    <w:rsid w:val="00E15249"/>
    <w:rsid w:val="00E1533F"/>
    <w:rsid w:val="00E15447"/>
    <w:rsid w:val="00E1560E"/>
    <w:rsid w:val="00E15945"/>
    <w:rsid w:val="00E15B52"/>
    <w:rsid w:val="00E15C64"/>
    <w:rsid w:val="00E15E24"/>
    <w:rsid w:val="00E164DD"/>
    <w:rsid w:val="00E16585"/>
    <w:rsid w:val="00E165AD"/>
    <w:rsid w:val="00E16685"/>
    <w:rsid w:val="00E167BF"/>
    <w:rsid w:val="00E16D3F"/>
    <w:rsid w:val="00E17007"/>
    <w:rsid w:val="00E1710E"/>
    <w:rsid w:val="00E17236"/>
    <w:rsid w:val="00E174CC"/>
    <w:rsid w:val="00E175B5"/>
    <w:rsid w:val="00E177A5"/>
    <w:rsid w:val="00E17907"/>
    <w:rsid w:val="00E203E7"/>
    <w:rsid w:val="00E20630"/>
    <w:rsid w:val="00E20710"/>
    <w:rsid w:val="00E21763"/>
    <w:rsid w:val="00E21975"/>
    <w:rsid w:val="00E21988"/>
    <w:rsid w:val="00E21B75"/>
    <w:rsid w:val="00E21C26"/>
    <w:rsid w:val="00E21CF3"/>
    <w:rsid w:val="00E2229D"/>
    <w:rsid w:val="00E225C1"/>
    <w:rsid w:val="00E226A0"/>
    <w:rsid w:val="00E22E18"/>
    <w:rsid w:val="00E22E26"/>
    <w:rsid w:val="00E2308A"/>
    <w:rsid w:val="00E2347A"/>
    <w:rsid w:val="00E237B6"/>
    <w:rsid w:val="00E2383F"/>
    <w:rsid w:val="00E239CE"/>
    <w:rsid w:val="00E23A0D"/>
    <w:rsid w:val="00E23A42"/>
    <w:rsid w:val="00E23CFC"/>
    <w:rsid w:val="00E242F7"/>
    <w:rsid w:val="00E24942"/>
    <w:rsid w:val="00E25673"/>
    <w:rsid w:val="00E25BBC"/>
    <w:rsid w:val="00E25F86"/>
    <w:rsid w:val="00E25FBC"/>
    <w:rsid w:val="00E25FF3"/>
    <w:rsid w:val="00E26134"/>
    <w:rsid w:val="00E262E4"/>
    <w:rsid w:val="00E26502"/>
    <w:rsid w:val="00E265D2"/>
    <w:rsid w:val="00E26683"/>
    <w:rsid w:val="00E26812"/>
    <w:rsid w:val="00E26933"/>
    <w:rsid w:val="00E26A16"/>
    <w:rsid w:val="00E26BA3"/>
    <w:rsid w:val="00E26E80"/>
    <w:rsid w:val="00E27120"/>
    <w:rsid w:val="00E2762C"/>
    <w:rsid w:val="00E27B7A"/>
    <w:rsid w:val="00E27BCF"/>
    <w:rsid w:val="00E27C62"/>
    <w:rsid w:val="00E30610"/>
    <w:rsid w:val="00E311FB"/>
    <w:rsid w:val="00E31222"/>
    <w:rsid w:val="00E314B0"/>
    <w:rsid w:val="00E3166B"/>
    <w:rsid w:val="00E31AEC"/>
    <w:rsid w:val="00E3208A"/>
    <w:rsid w:val="00E321F2"/>
    <w:rsid w:val="00E326E4"/>
    <w:rsid w:val="00E32B23"/>
    <w:rsid w:val="00E32D8D"/>
    <w:rsid w:val="00E33351"/>
    <w:rsid w:val="00E33520"/>
    <w:rsid w:val="00E335B7"/>
    <w:rsid w:val="00E33690"/>
    <w:rsid w:val="00E33A0E"/>
    <w:rsid w:val="00E33A30"/>
    <w:rsid w:val="00E3413D"/>
    <w:rsid w:val="00E34158"/>
    <w:rsid w:val="00E34AEB"/>
    <w:rsid w:val="00E34D8E"/>
    <w:rsid w:val="00E3503C"/>
    <w:rsid w:val="00E3523A"/>
    <w:rsid w:val="00E35533"/>
    <w:rsid w:val="00E35861"/>
    <w:rsid w:val="00E359C3"/>
    <w:rsid w:val="00E35BD8"/>
    <w:rsid w:val="00E35CAF"/>
    <w:rsid w:val="00E35D52"/>
    <w:rsid w:val="00E35F72"/>
    <w:rsid w:val="00E361A1"/>
    <w:rsid w:val="00E363AF"/>
    <w:rsid w:val="00E369F2"/>
    <w:rsid w:val="00E36A11"/>
    <w:rsid w:val="00E3713B"/>
    <w:rsid w:val="00E373B6"/>
    <w:rsid w:val="00E37618"/>
    <w:rsid w:val="00E377F1"/>
    <w:rsid w:val="00E378C7"/>
    <w:rsid w:val="00E37BFE"/>
    <w:rsid w:val="00E37C95"/>
    <w:rsid w:val="00E37DE5"/>
    <w:rsid w:val="00E4029A"/>
    <w:rsid w:val="00E40331"/>
    <w:rsid w:val="00E40376"/>
    <w:rsid w:val="00E4079D"/>
    <w:rsid w:val="00E409A0"/>
    <w:rsid w:val="00E409EC"/>
    <w:rsid w:val="00E40AF4"/>
    <w:rsid w:val="00E40B50"/>
    <w:rsid w:val="00E40C07"/>
    <w:rsid w:val="00E4138A"/>
    <w:rsid w:val="00E416E8"/>
    <w:rsid w:val="00E41C1E"/>
    <w:rsid w:val="00E42239"/>
    <w:rsid w:val="00E427AD"/>
    <w:rsid w:val="00E42D6F"/>
    <w:rsid w:val="00E4315F"/>
    <w:rsid w:val="00E4448A"/>
    <w:rsid w:val="00E444A2"/>
    <w:rsid w:val="00E445C9"/>
    <w:rsid w:val="00E446B0"/>
    <w:rsid w:val="00E447C7"/>
    <w:rsid w:val="00E44CD2"/>
    <w:rsid w:val="00E44F6A"/>
    <w:rsid w:val="00E451FF"/>
    <w:rsid w:val="00E454FF"/>
    <w:rsid w:val="00E4561A"/>
    <w:rsid w:val="00E45929"/>
    <w:rsid w:val="00E45C95"/>
    <w:rsid w:val="00E46099"/>
    <w:rsid w:val="00E4684F"/>
    <w:rsid w:val="00E46D19"/>
    <w:rsid w:val="00E47409"/>
    <w:rsid w:val="00E474DB"/>
    <w:rsid w:val="00E47AD7"/>
    <w:rsid w:val="00E47F3A"/>
    <w:rsid w:val="00E47F57"/>
    <w:rsid w:val="00E50AEB"/>
    <w:rsid w:val="00E50DDF"/>
    <w:rsid w:val="00E50EAD"/>
    <w:rsid w:val="00E50FC0"/>
    <w:rsid w:val="00E512F7"/>
    <w:rsid w:val="00E51510"/>
    <w:rsid w:val="00E515B0"/>
    <w:rsid w:val="00E515E8"/>
    <w:rsid w:val="00E51689"/>
    <w:rsid w:val="00E5180B"/>
    <w:rsid w:val="00E51BF8"/>
    <w:rsid w:val="00E51DFE"/>
    <w:rsid w:val="00E51EB6"/>
    <w:rsid w:val="00E52019"/>
    <w:rsid w:val="00E53557"/>
    <w:rsid w:val="00E53775"/>
    <w:rsid w:val="00E537BE"/>
    <w:rsid w:val="00E53DB0"/>
    <w:rsid w:val="00E53EBD"/>
    <w:rsid w:val="00E5405D"/>
    <w:rsid w:val="00E540A0"/>
    <w:rsid w:val="00E55018"/>
    <w:rsid w:val="00E55229"/>
    <w:rsid w:val="00E554C7"/>
    <w:rsid w:val="00E556AF"/>
    <w:rsid w:val="00E558F1"/>
    <w:rsid w:val="00E56061"/>
    <w:rsid w:val="00E5625A"/>
    <w:rsid w:val="00E56B25"/>
    <w:rsid w:val="00E56CD9"/>
    <w:rsid w:val="00E57183"/>
    <w:rsid w:val="00E573C8"/>
    <w:rsid w:val="00E57906"/>
    <w:rsid w:val="00E60228"/>
    <w:rsid w:val="00E60440"/>
    <w:rsid w:val="00E60454"/>
    <w:rsid w:val="00E607CF"/>
    <w:rsid w:val="00E60C9F"/>
    <w:rsid w:val="00E60DDA"/>
    <w:rsid w:val="00E60E55"/>
    <w:rsid w:val="00E60F6E"/>
    <w:rsid w:val="00E6152D"/>
    <w:rsid w:val="00E61B8E"/>
    <w:rsid w:val="00E61CE2"/>
    <w:rsid w:val="00E620C9"/>
    <w:rsid w:val="00E623F2"/>
    <w:rsid w:val="00E62545"/>
    <w:rsid w:val="00E625F2"/>
    <w:rsid w:val="00E626F9"/>
    <w:rsid w:val="00E6275A"/>
    <w:rsid w:val="00E6287C"/>
    <w:rsid w:val="00E628C2"/>
    <w:rsid w:val="00E631BA"/>
    <w:rsid w:val="00E6326C"/>
    <w:rsid w:val="00E6335F"/>
    <w:rsid w:val="00E6336C"/>
    <w:rsid w:val="00E63821"/>
    <w:rsid w:val="00E63E44"/>
    <w:rsid w:val="00E640CC"/>
    <w:rsid w:val="00E644FF"/>
    <w:rsid w:val="00E6463E"/>
    <w:rsid w:val="00E64708"/>
    <w:rsid w:val="00E64D11"/>
    <w:rsid w:val="00E64F4C"/>
    <w:rsid w:val="00E64F50"/>
    <w:rsid w:val="00E64FCA"/>
    <w:rsid w:val="00E651CA"/>
    <w:rsid w:val="00E6539B"/>
    <w:rsid w:val="00E65A02"/>
    <w:rsid w:val="00E65A3B"/>
    <w:rsid w:val="00E65D0A"/>
    <w:rsid w:val="00E65D43"/>
    <w:rsid w:val="00E65F62"/>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A0A"/>
    <w:rsid w:val="00E71500"/>
    <w:rsid w:val="00E715B7"/>
    <w:rsid w:val="00E71A0B"/>
    <w:rsid w:val="00E72021"/>
    <w:rsid w:val="00E720EC"/>
    <w:rsid w:val="00E734FA"/>
    <w:rsid w:val="00E73762"/>
    <w:rsid w:val="00E73B76"/>
    <w:rsid w:val="00E73BD8"/>
    <w:rsid w:val="00E73D65"/>
    <w:rsid w:val="00E748CE"/>
    <w:rsid w:val="00E74928"/>
    <w:rsid w:val="00E74A5C"/>
    <w:rsid w:val="00E74B90"/>
    <w:rsid w:val="00E74BDE"/>
    <w:rsid w:val="00E74D8E"/>
    <w:rsid w:val="00E74EFF"/>
    <w:rsid w:val="00E7517D"/>
    <w:rsid w:val="00E7544E"/>
    <w:rsid w:val="00E754F9"/>
    <w:rsid w:val="00E7554B"/>
    <w:rsid w:val="00E75619"/>
    <w:rsid w:val="00E75A7A"/>
    <w:rsid w:val="00E75B9B"/>
    <w:rsid w:val="00E75E84"/>
    <w:rsid w:val="00E76165"/>
    <w:rsid w:val="00E7637E"/>
    <w:rsid w:val="00E763E7"/>
    <w:rsid w:val="00E764B8"/>
    <w:rsid w:val="00E76959"/>
    <w:rsid w:val="00E76B1C"/>
    <w:rsid w:val="00E76C8B"/>
    <w:rsid w:val="00E76D6E"/>
    <w:rsid w:val="00E76E07"/>
    <w:rsid w:val="00E76F61"/>
    <w:rsid w:val="00E76FDF"/>
    <w:rsid w:val="00E774DF"/>
    <w:rsid w:val="00E77BD9"/>
    <w:rsid w:val="00E77D82"/>
    <w:rsid w:val="00E80ACD"/>
    <w:rsid w:val="00E80B23"/>
    <w:rsid w:val="00E80BBE"/>
    <w:rsid w:val="00E80E4D"/>
    <w:rsid w:val="00E80F7C"/>
    <w:rsid w:val="00E8131F"/>
    <w:rsid w:val="00E814CF"/>
    <w:rsid w:val="00E81F1B"/>
    <w:rsid w:val="00E82010"/>
    <w:rsid w:val="00E82130"/>
    <w:rsid w:val="00E8216E"/>
    <w:rsid w:val="00E82399"/>
    <w:rsid w:val="00E829A1"/>
    <w:rsid w:val="00E83090"/>
    <w:rsid w:val="00E8318F"/>
    <w:rsid w:val="00E831DF"/>
    <w:rsid w:val="00E83554"/>
    <w:rsid w:val="00E83657"/>
    <w:rsid w:val="00E8376F"/>
    <w:rsid w:val="00E84164"/>
    <w:rsid w:val="00E844EB"/>
    <w:rsid w:val="00E84A78"/>
    <w:rsid w:val="00E84C46"/>
    <w:rsid w:val="00E8575F"/>
    <w:rsid w:val="00E857E0"/>
    <w:rsid w:val="00E85BAD"/>
    <w:rsid w:val="00E85C79"/>
    <w:rsid w:val="00E86023"/>
    <w:rsid w:val="00E860F6"/>
    <w:rsid w:val="00E86523"/>
    <w:rsid w:val="00E867AC"/>
    <w:rsid w:val="00E871DA"/>
    <w:rsid w:val="00E87501"/>
    <w:rsid w:val="00E87A1B"/>
    <w:rsid w:val="00E87B4F"/>
    <w:rsid w:val="00E87B5F"/>
    <w:rsid w:val="00E87BA0"/>
    <w:rsid w:val="00E90053"/>
    <w:rsid w:val="00E901C4"/>
    <w:rsid w:val="00E90945"/>
    <w:rsid w:val="00E90B03"/>
    <w:rsid w:val="00E90D60"/>
    <w:rsid w:val="00E90F91"/>
    <w:rsid w:val="00E91033"/>
    <w:rsid w:val="00E912A6"/>
    <w:rsid w:val="00E91AF1"/>
    <w:rsid w:val="00E9297F"/>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C3B"/>
    <w:rsid w:val="00E95FB4"/>
    <w:rsid w:val="00E960E4"/>
    <w:rsid w:val="00E964AA"/>
    <w:rsid w:val="00E966B3"/>
    <w:rsid w:val="00E96AE1"/>
    <w:rsid w:val="00E96B17"/>
    <w:rsid w:val="00E97433"/>
    <w:rsid w:val="00E9749D"/>
    <w:rsid w:val="00E97CC2"/>
    <w:rsid w:val="00E97E83"/>
    <w:rsid w:val="00EA054E"/>
    <w:rsid w:val="00EA077E"/>
    <w:rsid w:val="00EA0E14"/>
    <w:rsid w:val="00EA0E84"/>
    <w:rsid w:val="00EA1D0C"/>
    <w:rsid w:val="00EA22EC"/>
    <w:rsid w:val="00EA266A"/>
    <w:rsid w:val="00EA28B6"/>
    <w:rsid w:val="00EA2C9B"/>
    <w:rsid w:val="00EA2D74"/>
    <w:rsid w:val="00EA3077"/>
    <w:rsid w:val="00EA30EE"/>
    <w:rsid w:val="00EA3174"/>
    <w:rsid w:val="00EA365F"/>
    <w:rsid w:val="00EA3AF1"/>
    <w:rsid w:val="00EA3DBD"/>
    <w:rsid w:val="00EA4693"/>
    <w:rsid w:val="00EA476A"/>
    <w:rsid w:val="00EA4961"/>
    <w:rsid w:val="00EA4A98"/>
    <w:rsid w:val="00EA4BF0"/>
    <w:rsid w:val="00EA4CC2"/>
    <w:rsid w:val="00EA543C"/>
    <w:rsid w:val="00EA547A"/>
    <w:rsid w:val="00EA5868"/>
    <w:rsid w:val="00EA66A7"/>
    <w:rsid w:val="00EA6B30"/>
    <w:rsid w:val="00EA6DBA"/>
    <w:rsid w:val="00EA70B2"/>
    <w:rsid w:val="00EA720F"/>
    <w:rsid w:val="00EA74A9"/>
    <w:rsid w:val="00EA7BE4"/>
    <w:rsid w:val="00EA7C77"/>
    <w:rsid w:val="00EA7D2D"/>
    <w:rsid w:val="00EA7E08"/>
    <w:rsid w:val="00EA7E5D"/>
    <w:rsid w:val="00EA7EFF"/>
    <w:rsid w:val="00EB0122"/>
    <w:rsid w:val="00EB046B"/>
    <w:rsid w:val="00EB060F"/>
    <w:rsid w:val="00EB096B"/>
    <w:rsid w:val="00EB0B0B"/>
    <w:rsid w:val="00EB12CE"/>
    <w:rsid w:val="00EB17A3"/>
    <w:rsid w:val="00EB1FB4"/>
    <w:rsid w:val="00EB2A8F"/>
    <w:rsid w:val="00EB2ADF"/>
    <w:rsid w:val="00EB2B83"/>
    <w:rsid w:val="00EB2E1C"/>
    <w:rsid w:val="00EB2EA9"/>
    <w:rsid w:val="00EB2ED2"/>
    <w:rsid w:val="00EB2F4B"/>
    <w:rsid w:val="00EB3CCC"/>
    <w:rsid w:val="00EB4363"/>
    <w:rsid w:val="00EB4802"/>
    <w:rsid w:val="00EB4AE0"/>
    <w:rsid w:val="00EB4B44"/>
    <w:rsid w:val="00EB4C67"/>
    <w:rsid w:val="00EB4DA2"/>
    <w:rsid w:val="00EB4E5A"/>
    <w:rsid w:val="00EB5082"/>
    <w:rsid w:val="00EB532D"/>
    <w:rsid w:val="00EB53BF"/>
    <w:rsid w:val="00EB598A"/>
    <w:rsid w:val="00EB5CAB"/>
    <w:rsid w:val="00EB5CD6"/>
    <w:rsid w:val="00EB5DE2"/>
    <w:rsid w:val="00EB6002"/>
    <w:rsid w:val="00EB606B"/>
    <w:rsid w:val="00EB6ACA"/>
    <w:rsid w:val="00EB6D99"/>
    <w:rsid w:val="00EB6FB7"/>
    <w:rsid w:val="00EB7338"/>
    <w:rsid w:val="00EB7454"/>
    <w:rsid w:val="00EB7494"/>
    <w:rsid w:val="00EB7521"/>
    <w:rsid w:val="00EB75B0"/>
    <w:rsid w:val="00EB7666"/>
    <w:rsid w:val="00EB7DED"/>
    <w:rsid w:val="00EC0066"/>
    <w:rsid w:val="00EC0266"/>
    <w:rsid w:val="00EC09C8"/>
    <w:rsid w:val="00EC0B1E"/>
    <w:rsid w:val="00EC0B61"/>
    <w:rsid w:val="00EC0CCD"/>
    <w:rsid w:val="00EC0F93"/>
    <w:rsid w:val="00EC0F99"/>
    <w:rsid w:val="00EC129E"/>
    <w:rsid w:val="00EC1A8E"/>
    <w:rsid w:val="00EC2682"/>
    <w:rsid w:val="00EC28C5"/>
    <w:rsid w:val="00EC2995"/>
    <w:rsid w:val="00EC2BF0"/>
    <w:rsid w:val="00EC2C95"/>
    <w:rsid w:val="00EC31BE"/>
    <w:rsid w:val="00EC34EF"/>
    <w:rsid w:val="00EC35CC"/>
    <w:rsid w:val="00EC4100"/>
    <w:rsid w:val="00EC434F"/>
    <w:rsid w:val="00EC4527"/>
    <w:rsid w:val="00EC4928"/>
    <w:rsid w:val="00EC4ABF"/>
    <w:rsid w:val="00EC4AC6"/>
    <w:rsid w:val="00EC4C77"/>
    <w:rsid w:val="00EC4EF1"/>
    <w:rsid w:val="00EC517B"/>
    <w:rsid w:val="00EC5282"/>
    <w:rsid w:val="00EC5C51"/>
    <w:rsid w:val="00EC5D2F"/>
    <w:rsid w:val="00EC6558"/>
    <w:rsid w:val="00EC6609"/>
    <w:rsid w:val="00EC6AA7"/>
    <w:rsid w:val="00EC6B15"/>
    <w:rsid w:val="00EC6C5F"/>
    <w:rsid w:val="00EC6C7A"/>
    <w:rsid w:val="00EC6E58"/>
    <w:rsid w:val="00EC6E76"/>
    <w:rsid w:val="00EC7043"/>
    <w:rsid w:val="00EC70BE"/>
    <w:rsid w:val="00EC7128"/>
    <w:rsid w:val="00EC75BA"/>
    <w:rsid w:val="00EC76B8"/>
    <w:rsid w:val="00EC7716"/>
    <w:rsid w:val="00EC7748"/>
    <w:rsid w:val="00EC792B"/>
    <w:rsid w:val="00EC796E"/>
    <w:rsid w:val="00EC7AC5"/>
    <w:rsid w:val="00EC7CE0"/>
    <w:rsid w:val="00EC7DB2"/>
    <w:rsid w:val="00EC7FC6"/>
    <w:rsid w:val="00ED0013"/>
    <w:rsid w:val="00ED079A"/>
    <w:rsid w:val="00ED0B67"/>
    <w:rsid w:val="00ED0E23"/>
    <w:rsid w:val="00ED0ECE"/>
    <w:rsid w:val="00ED0FB6"/>
    <w:rsid w:val="00ED1007"/>
    <w:rsid w:val="00ED12A8"/>
    <w:rsid w:val="00ED14B7"/>
    <w:rsid w:val="00ED18B9"/>
    <w:rsid w:val="00ED19F9"/>
    <w:rsid w:val="00ED1AD2"/>
    <w:rsid w:val="00ED2382"/>
    <w:rsid w:val="00ED27C6"/>
    <w:rsid w:val="00ED2C7E"/>
    <w:rsid w:val="00ED32BB"/>
    <w:rsid w:val="00ED34B8"/>
    <w:rsid w:val="00ED37E5"/>
    <w:rsid w:val="00ED3B00"/>
    <w:rsid w:val="00ED3BBD"/>
    <w:rsid w:val="00ED456B"/>
    <w:rsid w:val="00ED48E7"/>
    <w:rsid w:val="00ED49B2"/>
    <w:rsid w:val="00ED4D04"/>
    <w:rsid w:val="00ED4F37"/>
    <w:rsid w:val="00ED5205"/>
    <w:rsid w:val="00ED5209"/>
    <w:rsid w:val="00ED57D9"/>
    <w:rsid w:val="00ED60C2"/>
    <w:rsid w:val="00ED61F8"/>
    <w:rsid w:val="00ED6276"/>
    <w:rsid w:val="00ED65D9"/>
    <w:rsid w:val="00ED6929"/>
    <w:rsid w:val="00ED6D93"/>
    <w:rsid w:val="00ED731F"/>
    <w:rsid w:val="00ED73DB"/>
    <w:rsid w:val="00ED746D"/>
    <w:rsid w:val="00ED7917"/>
    <w:rsid w:val="00ED7BD9"/>
    <w:rsid w:val="00EE07FA"/>
    <w:rsid w:val="00EE0E35"/>
    <w:rsid w:val="00EE116E"/>
    <w:rsid w:val="00EE11E7"/>
    <w:rsid w:val="00EE1BCD"/>
    <w:rsid w:val="00EE225C"/>
    <w:rsid w:val="00EE28D7"/>
    <w:rsid w:val="00EE2978"/>
    <w:rsid w:val="00EE2ABC"/>
    <w:rsid w:val="00EE2AC8"/>
    <w:rsid w:val="00EE2B52"/>
    <w:rsid w:val="00EE3DCE"/>
    <w:rsid w:val="00EE4487"/>
    <w:rsid w:val="00EE510D"/>
    <w:rsid w:val="00EE528F"/>
    <w:rsid w:val="00EE53FA"/>
    <w:rsid w:val="00EE5472"/>
    <w:rsid w:val="00EE56A5"/>
    <w:rsid w:val="00EE56D2"/>
    <w:rsid w:val="00EE572E"/>
    <w:rsid w:val="00EE585C"/>
    <w:rsid w:val="00EE5866"/>
    <w:rsid w:val="00EE5B33"/>
    <w:rsid w:val="00EE5B63"/>
    <w:rsid w:val="00EE5D9C"/>
    <w:rsid w:val="00EE5F23"/>
    <w:rsid w:val="00EE6111"/>
    <w:rsid w:val="00EE615B"/>
    <w:rsid w:val="00EE6492"/>
    <w:rsid w:val="00EE66C2"/>
    <w:rsid w:val="00EE69C1"/>
    <w:rsid w:val="00EE7208"/>
    <w:rsid w:val="00EE780E"/>
    <w:rsid w:val="00EE7960"/>
    <w:rsid w:val="00EF0213"/>
    <w:rsid w:val="00EF0953"/>
    <w:rsid w:val="00EF0988"/>
    <w:rsid w:val="00EF0D9B"/>
    <w:rsid w:val="00EF13BC"/>
    <w:rsid w:val="00EF1829"/>
    <w:rsid w:val="00EF1922"/>
    <w:rsid w:val="00EF1A7F"/>
    <w:rsid w:val="00EF1FCA"/>
    <w:rsid w:val="00EF21FA"/>
    <w:rsid w:val="00EF30E0"/>
    <w:rsid w:val="00EF3249"/>
    <w:rsid w:val="00EF35AC"/>
    <w:rsid w:val="00EF35E0"/>
    <w:rsid w:val="00EF3790"/>
    <w:rsid w:val="00EF3A15"/>
    <w:rsid w:val="00EF4292"/>
    <w:rsid w:val="00EF43DB"/>
    <w:rsid w:val="00EF451E"/>
    <w:rsid w:val="00EF501E"/>
    <w:rsid w:val="00EF551D"/>
    <w:rsid w:val="00EF56E6"/>
    <w:rsid w:val="00EF5745"/>
    <w:rsid w:val="00EF58ED"/>
    <w:rsid w:val="00EF5B50"/>
    <w:rsid w:val="00EF5D85"/>
    <w:rsid w:val="00EF60D0"/>
    <w:rsid w:val="00EF6310"/>
    <w:rsid w:val="00EF6527"/>
    <w:rsid w:val="00EF6A12"/>
    <w:rsid w:val="00EF6C41"/>
    <w:rsid w:val="00EF7590"/>
    <w:rsid w:val="00EF760A"/>
    <w:rsid w:val="00EF7A48"/>
    <w:rsid w:val="00F00007"/>
    <w:rsid w:val="00F0004D"/>
    <w:rsid w:val="00F007F2"/>
    <w:rsid w:val="00F00893"/>
    <w:rsid w:val="00F008FD"/>
    <w:rsid w:val="00F010B9"/>
    <w:rsid w:val="00F012A2"/>
    <w:rsid w:val="00F0156E"/>
    <w:rsid w:val="00F017C9"/>
    <w:rsid w:val="00F0189E"/>
    <w:rsid w:val="00F01929"/>
    <w:rsid w:val="00F01CB2"/>
    <w:rsid w:val="00F01D89"/>
    <w:rsid w:val="00F0208E"/>
    <w:rsid w:val="00F02516"/>
    <w:rsid w:val="00F0262E"/>
    <w:rsid w:val="00F02697"/>
    <w:rsid w:val="00F02A95"/>
    <w:rsid w:val="00F02C0A"/>
    <w:rsid w:val="00F02E46"/>
    <w:rsid w:val="00F02E92"/>
    <w:rsid w:val="00F034DC"/>
    <w:rsid w:val="00F0361D"/>
    <w:rsid w:val="00F03AB6"/>
    <w:rsid w:val="00F03DE2"/>
    <w:rsid w:val="00F04854"/>
    <w:rsid w:val="00F04C05"/>
    <w:rsid w:val="00F04F5E"/>
    <w:rsid w:val="00F061D2"/>
    <w:rsid w:val="00F0634B"/>
    <w:rsid w:val="00F0644B"/>
    <w:rsid w:val="00F064AD"/>
    <w:rsid w:val="00F065FA"/>
    <w:rsid w:val="00F0660F"/>
    <w:rsid w:val="00F06643"/>
    <w:rsid w:val="00F0672F"/>
    <w:rsid w:val="00F068F1"/>
    <w:rsid w:val="00F071D7"/>
    <w:rsid w:val="00F072FC"/>
    <w:rsid w:val="00F07983"/>
    <w:rsid w:val="00F07B32"/>
    <w:rsid w:val="00F07C70"/>
    <w:rsid w:val="00F07EAF"/>
    <w:rsid w:val="00F102AB"/>
    <w:rsid w:val="00F10BAA"/>
    <w:rsid w:val="00F10E6C"/>
    <w:rsid w:val="00F110F9"/>
    <w:rsid w:val="00F1140E"/>
    <w:rsid w:val="00F11427"/>
    <w:rsid w:val="00F116C9"/>
    <w:rsid w:val="00F11894"/>
    <w:rsid w:val="00F11B49"/>
    <w:rsid w:val="00F11DC8"/>
    <w:rsid w:val="00F11E00"/>
    <w:rsid w:val="00F11E75"/>
    <w:rsid w:val="00F11E89"/>
    <w:rsid w:val="00F12457"/>
    <w:rsid w:val="00F125F7"/>
    <w:rsid w:val="00F127C6"/>
    <w:rsid w:val="00F12818"/>
    <w:rsid w:val="00F12C6D"/>
    <w:rsid w:val="00F130B2"/>
    <w:rsid w:val="00F13EBF"/>
    <w:rsid w:val="00F14397"/>
    <w:rsid w:val="00F14ADD"/>
    <w:rsid w:val="00F14F0F"/>
    <w:rsid w:val="00F1510B"/>
    <w:rsid w:val="00F1549E"/>
    <w:rsid w:val="00F15565"/>
    <w:rsid w:val="00F157A3"/>
    <w:rsid w:val="00F157D7"/>
    <w:rsid w:val="00F15A83"/>
    <w:rsid w:val="00F15F22"/>
    <w:rsid w:val="00F16548"/>
    <w:rsid w:val="00F1691F"/>
    <w:rsid w:val="00F16AA3"/>
    <w:rsid w:val="00F16B03"/>
    <w:rsid w:val="00F16BE5"/>
    <w:rsid w:val="00F16E45"/>
    <w:rsid w:val="00F17153"/>
    <w:rsid w:val="00F1726F"/>
    <w:rsid w:val="00F17399"/>
    <w:rsid w:val="00F1750C"/>
    <w:rsid w:val="00F17743"/>
    <w:rsid w:val="00F17799"/>
    <w:rsid w:val="00F17B77"/>
    <w:rsid w:val="00F2026A"/>
    <w:rsid w:val="00F202CE"/>
    <w:rsid w:val="00F20654"/>
    <w:rsid w:val="00F207D1"/>
    <w:rsid w:val="00F20B1A"/>
    <w:rsid w:val="00F212A6"/>
    <w:rsid w:val="00F2273F"/>
    <w:rsid w:val="00F228FA"/>
    <w:rsid w:val="00F22948"/>
    <w:rsid w:val="00F22BE4"/>
    <w:rsid w:val="00F230E9"/>
    <w:rsid w:val="00F2315A"/>
    <w:rsid w:val="00F234B5"/>
    <w:rsid w:val="00F2363F"/>
    <w:rsid w:val="00F23E06"/>
    <w:rsid w:val="00F243C6"/>
    <w:rsid w:val="00F247E9"/>
    <w:rsid w:val="00F25493"/>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643"/>
    <w:rsid w:val="00F30A63"/>
    <w:rsid w:val="00F30C75"/>
    <w:rsid w:val="00F312C8"/>
    <w:rsid w:val="00F314CD"/>
    <w:rsid w:val="00F31A0A"/>
    <w:rsid w:val="00F32330"/>
    <w:rsid w:val="00F32347"/>
    <w:rsid w:val="00F326A1"/>
    <w:rsid w:val="00F32836"/>
    <w:rsid w:val="00F32AB8"/>
    <w:rsid w:val="00F3305C"/>
    <w:rsid w:val="00F331B8"/>
    <w:rsid w:val="00F33723"/>
    <w:rsid w:val="00F33CF1"/>
    <w:rsid w:val="00F34129"/>
    <w:rsid w:val="00F3448C"/>
    <w:rsid w:val="00F3475A"/>
    <w:rsid w:val="00F349FE"/>
    <w:rsid w:val="00F34C57"/>
    <w:rsid w:val="00F34E76"/>
    <w:rsid w:val="00F35057"/>
    <w:rsid w:val="00F3506B"/>
    <w:rsid w:val="00F35259"/>
    <w:rsid w:val="00F352BD"/>
    <w:rsid w:val="00F3547B"/>
    <w:rsid w:val="00F357B3"/>
    <w:rsid w:val="00F3640B"/>
    <w:rsid w:val="00F36419"/>
    <w:rsid w:val="00F367C1"/>
    <w:rsid w:val="00F36951"/>
    <w:rsid w:val="00F37102"/>
    <w:rsid w:val="00F37E60"/>
    <w:rsid w:val="00F401B0"/>
    <w:rsid w:val="00F40383"/>
    <w:rsid w:val="00F40792"/>
    <w:rsid w:val="00F407D5"/>
    <w:rsid w:val="00F40C2E"/>
    <w:rsid w:val="00F413F2"/>
    <w:rsid w:val="00F41794"/>
    <w:rsid w:val="00F419C3"/>
    <w:rsid w:val="00F4277C"/>
    <w:rsid w:val="00F42AE4"/>
    <w:rsid w:val="00F42BB4"/>
    <w:rsid w:val="00F42D4A"/>
    <w:rsid w:val="00F432C9"/>
    <w:rsid w:val="00F43334"/>
    <w:rsid w:val="00F4336A"/>
    <w:rsid w:val="00F433C1"/>
    <w:rsid w:val="00F439CE"/>
    <w:rsid w:val="00F43EDF"/>
    <w:rsid w:val="00F44026"/>
    <w:rsid w:val="00F442FC"/>
    <w:rsid w:val="00F44725"/>
    <w:rsid w:val="00F448E1"/>
    <w:rsid w:val="00F449F1"/>
    <w:rsid w:val="00F44CBC"/>
    <w:rsid w:val="00F44EEE"/>
    <w:rsid w:val="00F45182"/>
    <w:rsid w:val="00F45532"/>
    <w:rsid w:val="00F456A6"/>
    <w:rsid w:val="00F45AE0"/>
    <w:rsid w:val="00F45D3D"/>
    <w:rsid w:val="00F45DCA"/>
    <w:rsid w:val="00F4659F"/>
    <w:rsid w:val="00F46733"/>
    <w:rsid w:val="00F467D8"/>
    <w:rsid w:val="00F469C8"/>
    <w:rsid w:val="00F46A0A"/>
    <w:rsid w:val="00F47096"/>
    <w:rsid w:val="00F472D2"/>
    <w:rsid w:val="00F47DF1"/>
    <w:rsid w:val="00F50404"/>
    <w:rsid w:val="00F50589"/>
    <w:rsid w:val="00F50624"/>
    <w:rsid w:val="00F5070A"/>
    <w:rsid w:val="00F50BB1"/>
    <w:rsid w:val="00F50CE1"/>
    <w:rsid w:val="00F51000"/>
    <w:rsid w:val="00F518BD"/>
    <w:rsid w:val="00F5222D"/>
    <w:rsid w:val="00F5227F"/>
    <w:rsid w:val="00F52313"/>
    <w:rsid w:val="00F5281F"/>
    <w:rsid w:val="00F52BA8"/>
    <w:rsid w:val="00F52D15"/>
    <w:rsid w:val="00F530AB"/>
    <w:rsid w:val="00F533B4"/>
    <w:rsid w:val="00F537B0"/>
    <w:rsid w:val="00F53873"/>
    <w:rsid w:val="00F54078"/>
    <w:rsid w:val="00F54164"/>
    <w:rsid w:val="00F541B7"/>
    <w:rsid w:val="00F543C2"/>
    <w:rsid w:val="00F54410"/>
    <w:rsid w:val="00F5490D"/>
    <w:rsid w:val="00F54CC3"/>
    <w:rsid w:val="00F54CEA"/>
    <w:rsid w:val="00F54F82"/>
    <w:rsid w:val="00F55096"/>
    <w:rsid w:val="00F552EC"/>
    <w:rsid w:val="00F554F5"/>
    <w:rsid w:val="00F55E97"/>
    <w:rsid w:val="00F56426"/>
    <w:rsid w:val="00F5644C"/>
    <w:rsid w:val="00F56812"/>
    <w:rsid w:val="00F56A71"/>
    <w:rsid w:val="00F56BAE"/>
    <w:rsid w:val="00F56C3E"/>
    <w:rsid w:val="00F571B8"/>
    <w:rsid w:val="00F5762B"/>
    <w:rsid w:val="00F57F0B"/>
    <w:rsid w:val="00F607FA"/>
    <w:rsid w:val="00F60807"/>
    <w:rsid w:val="00F60989"/>
    <w:rsid w:val="00F60B1C"/>
    <w:rsid w:val="00F60CDA"/>
    <w:rsid w:val="00F60EC1"/>
    <w:rsid w:val="00F60FC8"/>
    <w:rsid w:val="00F610CB"/>
    <w:rsid w:val="00F619B0"/>
    <w:rsid w:val="00F62052"/>
    <w:rsid w:val="00F62102"/>
    <w:rsid w:val="00F625EE"/>
    <w:rsid w:val="00F627C7"/>
    <w:rsid w:val="00F62985"/>
    <w:rsid w:val="00F62A1D"/>
    <w:rsid w:val="00F62C86"/>
    <w:rsid w:val="00F62F66"/>
    <w:rsid w:val="00F630A3"/>
    <w:rsid w:val="00F634BE"/>
    <w:rsid w:val="00F6362E"/>
    <w:rsid w:val="00F6396F"/>
    <w:rsid w:val="00F639C1"/>
    <w:rsid w:val="00F63BCF"/>
    <w:rsid w:val="00F63F9A"/>
    <w:rsid w:val="00F651C4"/>
    <w:rsid w:val="00F651E3"/>
    <w:rsid w:val="00F655CE"/>
    <w:rsid w:val="00F65A0E"/>
    <w:rsid w:val="00F66047"/>
    <w:rsid w:val="00F66161"/>
    <w:rsid w:val="00F66233"/>
    <w:rsid w:val="00F6636C"/>
    <w:rsid w:val="00F663A7"/>
    <w:rsid w:val="00F6670E"/>
    <w:rsid w:val="00F66D2E"/>
    <w:rsid w:val="00F670E4"/>
    <w:rsid w:val="00F677DB"/>
    <w:rsid w:val="00F67BDE"/>
    <w:rsid w:val="00F67D6E"/>
    <w:rsid w:val="00F67DBC"/>
    <w:rsid w:val="00F67EFE"/>
    <w:rsid w:val="00F70152"/>
    <w:rsid w:val="00F7015C"/>
    <w:rsid w:val="00F70204"/>
    <w:rsid w:val="00F703FA"/>
    <w:rsid w:val="00F70650"/>
    <w:rsid w:val="00F706F5"/>
    <w:rsid w:val="00F70B11"/>
    <w:rsid w:val="00F70D4A"/>
    <w:rsid w:val="00F70F1B"/>
    <w:rsid w:val="00F71365"/>
    <w:rsid w:val="00F713CA"/>
    <w:rsid w:val="00F714CC"/>
    <w:rsid w:val="00F719E3"/>
    <w:rsid w:val="00F71E3E"/>
    <w:rsid w:val="00F71EC0"/>
    <w:rsid w:val="00F720C2"/>
    <w:rsid w:val="00F726A3"/>
    <w:rsid w:val="00F72D93"/>
    <w:rsid w:val="00F72E31"/>
    <w:rsid w:val="00F72E90"/>
    <w:rsid w:val="00F72F12"/>
    <w:rsid w:val="00F72FB4"/>
    <w:rsid w:val="00F735C6"/>
    <w:rsid w:val="00F73672"/>
    <w:rsid w:val="00F738B7"/>
    <w:rsid w:val="00F73A85"/>
    <w:rsid w:val="00F742F9"/>
    <w:rsid w:val="00F74735"/>
    <w:rsid w:val="00F7497A"/>
    <w:rsid w:val="00F749CA"/>
    <w:rsid w:val="00F74E19"/>
    <w:rsid w:val="00F74E6B"/>
    <w:rsid w:val="00F75062"/>
    <w:rsid w:val="00F75113"/>
    <w:rsid w:val="00F7526D"/>
    <w:rsid w:val="00F753FB"/>
    <w:rsid w:val="00F75624"/>
    <w:rsid w:val="00F759E3"/>
    <w:rsid w:val="00F759F2"/>
    <w:rsid w:val="00F75F61"/>
    <w:rsid w:val="00F7610B"/>
    <w:rsid w:val="00F763DF"/>
    <w:rsid w:val="00F76783"/>
    <w:rsid w:val="00F76BAF"/>
    <w:rsid w:val="00F76C9B"/>
    <w:rsid w:val="00F76CCF"/>
    <w:rsid w:val="00F7763E"/>
    <w:rsid w:val="00F77795"/>
    <w:rsid w:val="00F77965"/>
    <w:rsid w:val="00F77BD6"/>
    <w:rsid w:val="00F77DB0"/>
    <w:rsid w:val="00F77E7B"/>
    <w:rsid w:val="00F77F81"/>
    <w:rsid w:val="00F77FBD"/>
    <w:rsid w:val="00F803E9"/>
    <w:rsid w:val="00F80486"/>
    <w:rsid w:val="00F804BB"/>
    <w:rsid w:val="00F80EB0"/>
    <w:rsid w:val="00F810B2"/>
    <w:rsid w:val="00F817BC"/>
    <w:rsid w:val="00F818AC"/>
    <w:rsid w:val="00F82041"/>
    <w:rsid w:val="00F82599"/>
    <w:rsid w:val="00F82688"/>
    <w:rsid w:val="00F829BC"/>
    <w:rsid w:val="00F82DCC"/>
    <w:rsid w:val="00F8321D"/>
    <w:rsid w:val="00F8351D"/>
    <w:rsid w:val="00F838D9"/>
    <w:rsid w:val="00F83CBD"/>
    <w:rsid w:val="00F83FBF"/>
    <w:rsid w:val="00F84185"/>
    <w:rsid w:val="00F84432"/>
    <w:rsid w:val="00F84754"/>
    <w:rsid w:val="00F84758"/>
    <w:rsid w:val="00F84AD3"/>
    <w:rsid w:val="00F84E0A"/>
    <w:rsid w:val="00F84EF6"/>
    <w:rsid w:val="00F851C8"/>
    <w:rsid w:val="00F85561"/>
    <w:rsid w:val="00F8557C"/>
    <w:rsid w:val="00F858AC"/>
    <w:rsid w:val="00F862BB"/>
    <w:rsid w:val="00F862FF"/>
    <w:rsid w:val="00F86591"/>
    <w:rsid w:val="00F86733"/>
    <w:rsid w:val="00F86807"/>
    <w:rsid w:val="00F86BEE"/>
    <w:rsid w:val="00F86DC1"/>
    <w:rsid w:val="00F907B5"/>
    <w:rsid w:val="00F90DF1"/>
    <w:rsid w:val="00F90E60"/>
    <w:rsid w:val="00F90FAA"/>
    <w:rsid w:val="00F912F2"/>
    <w:rsid w:val="00F914CA"/>
    <w:rsid w:val="00F9155C"/>
    <w:rsid w:val="00F915E8"/>
    <w:rsid w:val="00F9206E"/>
    <w:rsid w:val="00F92327"/>
    <w:rsid w:val="00F92499"/>
    <w:rsid w:val="00F924C8"/>
    <w:rsid w:val="00F928A1"/>
    <w:rsid w:val="00F92E57"/>
    <w:rsid w:val="00F92F11"/>
    <w:rsid w:val="00F9316E"/>
    <w:rsid w:val="00F93349"/>
    <w:rsid w:val="00F93CAA"/>
    <w:rsid w:val="00F94221"/>
    <w:rsid w:val="00F94395"/>
    <w:rsid w:val="00F94485"/>
    <w:rsid w:val="00F94493"/>
    <w:rsid w:val="00F94539"/>
    <w:rsid w:val="00F94BFE"/>
    <w:rsid w:val="00F94FBA"/>
    <w:rsid w:val="00F951E0"/>
    <w:rsid w:val="00F9556C"/>
    <w:rsid w:val="00F95873"/>
    <w:rsid w:val="00F9598A"/>
    <w:rsid w:val="00F970DE"/>
    <w:rsid w:val="00F970EC"/>
    <w:rsid w:val="00F97125"/>
    <w:rsid w:val="00F971AF"/>
    <w:rsid w:val="00F97615"/>
    <w:rsid w:val="00F97B11"/>
    <w:rsid w:val="00FA0085"/>
    <w:rsid w:val="00FA02F7"/>
    <w:rsid w:val="00FA066B"/>
    <w:rsid w:val="00FA0864"/>
    <w:rsid w:val="00FA0BA5"/>
    <w:rsid w:val="00FA0FA8"/>
    <w:rsid w:val="00FA1125"/>
    <w:rsid w:val="00FA16DE"/>
    <w:rsid w:val="00FA16F2"/>
    <w:rsid w:val="00FA1937"/>
    <w:rsid w:val="00FA1A90"/>
    <w:rsid w:val="00FA2A41"/>
    <w:rsid w:val="00FA2A58"/>
    <w:rsid w:val="00FA2C3F"/>
    <w:rsid w:val="00FA2E59"/>
    <w:rsid w:val="00FA321C"/>
    <w:rsid w:val="00FA362F"/>
    <w:rsid w:val="00FA3648"/>
    <w:rsid w:val="00FA3711"/>
    <w:rsid w:val="00FA407B"/>
    <w:rsid w:val="00FA41F9"/>
    <w:rsid w:val="00FA467A"/>
    <w:rsid w:val="00FA4713"/>
    <w:rsid w:val="00FA4E89"/>
    <w:rsid w:val="00FA5017"/>
    <w:rsid w:val="00FA571A"/>
    <w:rsid w:val="00FA5F3D"/>
    <w:rsid w:val="00FA6729"/>
    <w:rsid w:val="00FA682A"/>
    <w:rsid w:val="00FA6851"/>
    <w:rsid w:val="00FA6A25"/>
    <w:rsid w:val="00FA6A3D"/>
    <w:rsid w:val="00FA6F54"/>
    <w:rsid w:val="00FA71A4"/>
    <w:rsid w:val="00FA75A3"/>
    <w:rsid w:val="00FA75B7"/>
    <w:rsid w:val="00FA7AFF"/>
    <w:rsid w:val="00FA7ED0"/>
    <w:rsid w:val="00FB00E8"/>
    <w:rsid w:val="00FB0366"/>
    <w:rsid w:val="00FB0D56"/>
    <w:rsid w:val="00FB0F2A"/>
    <w:rsid w:val="00FB16A5"/>
    <w:rsid w:val="00FB17A5"/>
    <w:rsid w:val="00FB17EE"/>
    <w:rsid w:val="00FB1862"/>
    <w:rsid w:val="00FB2012"/>
    <w:rsid w:val="00FB2672"/>
    <w:rsid w:val="00FB273A"/>
    <w:rsid w:val="00FB2EBE"/>
    <w:rsid w:val="00FB31A0"/>
    <w:rsid w:val="00FB3310"/>
    <w:rsid w:val="00FB3895"/>
    <w:rsid w:val="00FB39B6"/>
    <w:rsid w:val="00FB3AD2"/>
    <w:rsid w:val="00FB3DA3"/>
    <w:rsid w:val="00FB405A"/>
    <w:rsid w:val="00FB43A2"/>
    <w:rsid w:val="00FB4435"/>
    <w:rsid w:val="00FB4700"/>
    <w:rsid w:val="00FB473B"/>
    <w:rsid w:val="00FB4881"/>
    <w:rsid w:val="00FB4922"/>
    <w:rsid w:val="00FB4C75"/>
    <w:rsid w:val="00FB4D63"/>
    <w:rsid w:val="00FB4FED"/>
    <w:rsid w:val="00FB504B"/>
    <w:rsid w:val="00FB52F2"/>
    <w:rsid w:val="00FB59C7"/>
    <w:rsid w:val="00FB608D"/>
    <w:rsid w:val="00FB6BC1"/>
    <w:rsid w:val="00FB6BC7"/>
    <w:rsid w:val="00FB6CF2"/>
    <w:rsid w:val="00FB6D20"/>
    <w:rsid w:val="00FC029D"/>
    <w:rsid w:val="00FC04C0"/>
    <w:rsid w:val="00FC08BC"/>
    <w:rsid w:val="00FC0E38"/>
    <w:rsid w:val="00FC0EBF"/>
    <w:rsid w:val="00FC0FF1"/>
    <w:rsid w:val="00FC0FF9"/>
    <w:rsid w:val="00FC1180"/>
    <w:rsid w:val="00FC1251"/>
    <w:rsid w:val="00FC1383"/>
    <w:rsid w:val="00FC145C"/>
    <w:rsid w:val="00FC152F"/>
    <w:rsid w:val="00FC1563"/>
    <w:rsid w:val="00FC1D9A"/>
    <w:rsid w:val="00FC2073"/>
    <w:rsid w:val="00FC293A"/>
    <w:rsid w:val="00FC2EE1"/>
    <w:rsid w:val="00FC3124"/>
    <w:rsid w:val="00FC3217"/>
    <w:rsid w:val="00FC34CC"/>
    <w:rsid w:val="00FC3742"/>
    <w:rsid w:val="00FC3B7A"/>
    <w:rsid w:val="00FC409C"/>
    <w:rsid w:val="00FC4355"/>
    <w:rsid w:val="00FC450F"/>
    <w:rsid w:val="00FC495C"/>
    <w:rsid w:val="00FC49B7"/>
    <w:rsid w:val="00FC4EBB"/>
    <w:rsid w:val="00FC5005"/>
    <w:rsid w:val="00FC550D"/>
    <w:rsid w:val="00FC5BD9"/>
    <w:rsid w:val="00FC5CD1"/>
    <w:rsid w:val="00FC5E56"/>
    <w:rsid w:val="00FC610A"/>
    <w:rsid w:val="00FC6A21"/>
    <w:rsid w:val="00FC6B1C"/>
    <w:rsid w:val="00FC6DFD"/>
    <w:rsid w:val="00FC71A3"/>
    <w:rsid w:val="00FC780F"/>
    <w:rsid w:val="00FC797F"/>
    <w:rsid w:val="00FC7BB6"/>
    <w:rsid w:val="00FD0145"/>
    <w:rsid w:val="00FD045A"/>
    <w:rsid w:val="00FD0742"/>
    <w:rsid w:val="00FD076A"/>
    <w:rsid w:val="00FD07ED"/>
    <w:rsid w:val="00FD0962"/>
    <w:rsid w:val="00FD1042"/>
    <w:rsid w:val="00FD10B6"/>
    <w:rsid w:val="00FD1206"/>
    <w:rsid w:val="00FD1601"/>
    <w:rsid w:val="00FD18F7"/>
    <w:rsid w:val="00FD1D01"/>
    <w:rsid w:val="00FD1F06"/>
    <w:rsid w:val="00FD23B4"/>
    <w:rsid w:val="00FD2E5B"/>
    <w:rsid w:val="00FD3172"/>
    <w:rsid w:val="00FD3264"/>
    <w:rsid w:val="00FD3671"/>
    <w:rsid w:val="00FD3B01"/>
    <w:rsid w:val="00FD3C7A"/>
    <w:rsid w:val="00FD3F0F"/>
    <w:rsid w:val="00FD4C0D"/>
    <w:rsid w:val="00FD4C23"/>
    <w:rsid w:val="00FD4D36"/>
    <w:rsid w:val="00FD5097"/>
    <w:rsid w:val="00FD51B5"/>
    <w:rsid w:val="00FD58B8"/>
    <w:rsid w:val="00FD5B68"/>
    <w:rsid w:val="00FD6045"/>
    <w:rsid w:val="00FD6222"/>
    <w:rsid w:val="00FD6A4E"/>
    <w:rsid w:val="00FD6F3C"/>
    <w:rsid w:val="00FD705E"/>
    <w:rsid w:val="00FD71E9"/>
    <w:rsid w:val="00FD73B9"/>
    <w:rsid w:val="00FD776D"/>
    <w:rsid w:val="00FD77EB"/>
    <w:rsid w:val="00FD7958"/>
    <w:rsid w:val="00FD79CC"/>
    <w:rsid w:val="00FE02AA"/>
    <w:rsid w:val="00FE03C2"/>
    <w:rsid w:val="00FE05CB"/>
    <w:rsid w:val="00FE0853"/>
    <w:rsid w:val="00FE1235"/>
    <w:rsid w:val="00FE155A"/>
    <w:rsid w:val="00FE1780"/>
    <w:rsid w:val="00FE1A7C"/>
    <w:rsid w:val="00FE1B9D"/>
    <w:rsid w:val="00FE1BA5"/>
    <w:rsid w:val="00FE1E6B"/>
    <w:rsid w:val="00FE221F"/>
    <w:rsid w:val="00FE287B"/>
    <w:rsid w:val="00FE28EE"/>
    <w:rsid w:val="00FE31BA"/>
    <w:rsid w:val="00FE322A"/>
    <w:rsid w:val="00FE352D"/>
    <w:rsid w:val="00FE3AFB"/>
    <w:rsid w:val="00FE42CF"/>
    <w:rsid w:val="00FE4396"/>
    <w:rsid w:val="00FE4896"/>
    <w:rsid w:val="00FE4CBC"/>
    <w:rsid w:val="00FE4DD1"/>
    <w:rsid w:val="00FE558D"/>
    <w:rsid w:val="00FE55EA"/>
    <w:rsid w:val="00FE5F0C"/>
    <w:rsid w:val="00FE645D"/>
    <w:rsid w:val="00FE6A3B"/>
    <w:rsid w:val="00FE6E93"/>
    <w:rsid w:val="00FE70D9"/>
    <w:rsid w:val="00FE7649"/>
    <w:rsid w:val="00FE76A5"/>
    <w:rsid w:val="00FE7726"/>
    <w:rsid w:val="00FE79B6"/>
    <w:rsid w:val="00FE7B20"/>
    <w:rsid w:val="00FE7E76"/>
    <w:rsid w:val="00FE7F79"/>
    <w:rsid w:val="00FF03AB"/>
    <w:rsid w:val="00FF0562"/>
    <w:rsid w:val="00FF059A"/>
    <w:rsid w:val="00FF097D"/>
    <w:rsid w:val="00FF0A02"/>
    <w:rsid w:val="00FF0ADB"/>
    <w:rsid w:val="00FF0BBC"/>
    <w:rsid w:val="00FF0BBF"/>
    <w:rsid w:val="00FF0DE2"/>
    <w:rsid w:val="00FF0DE4"/>
    <w:rsid w:val="00FF11EE"/>
    <w:rsid w:val="00FF1204"/>
    <w:rsid w:val="00FF17B1"/>
    <w:rsid w:val="00FF1FD9"/>
    <w:rsid w:val="00FF20A3"/>
    <w:rsid w:val="00FF2259"/>
    <w:rsid w:val="00FF2BF8"/>
    <w:rsid w:val="00FF2D00"/>
    <w:rsid w:val="00FF2DB9"/>
    <w:rsid w:val="00FF2F20"/>
    <w:rsid w:val="00FF2F44"/>
    <w:rsid w:val="00FF304C"/>
    <w:rsid w:val="00FF31FC"/>
    <w:rsid w:val="00FF33DA"/>
    <w:rsid w:val="00FF34A8"/>
    <w:rsid w:val="00FF3B2F"/>
    <w:rsid w:val="00FF3BBC"/>
    <w:rsid w:val="00FF3EA9"/>
    <w:rsid w:val="00FF4123"/>
    <w:rsid w:val="00FF438C"/>
    <w:rsid w:val="00FF4599"/>
    <w:rsid w:val="00FF4709"/>
    <w:rsid w:val="00FF4756"/>
    <w:rsid w:val="00FF47D8"/>
    <w:rsid w:val="00FF487C"/>
    <w:rsid w:val="00FF4BEC"/>
    <w:rsid w:val="00FF4C6A"/>
    <w:rsid w:val="00FF4F99"/>
    <w:rsid w:val="00FF5136"/>
    <w:rsid w:val="00FF53D2"/>
    <w:rsid w:val="00FF5622"/>
    <w:rsid w:val="00FF5B18"/>
    <w:rsid w:val="00FF5CC3"/>
    <w:rsid w:val="00FF66CC"/>
    <w:rsid w:val="00FF6A42"/>
    <w:rsid w:val="00FF6AA6"/>
    <w:rsid w:val="00FF6EF9"/>
    <w:rsid w:val="00FF7893"/>
    <w:rsid w:val="00FF7925"/>
    <w:rsid w:val="043DA164"/>
    <w:rsid w:val="0447F760"/>
    <w:rsid w:val="163AB8B2"/>
    <w:rsid w:val="176FB57D"/>
    <w:rsid w:val="1B3F4A74"/>
    <w:rsid w:val="1B869ED4"/>
    <w:rsid w:val="1BD88CB1"/>
    <w:rsid w:val="1BE39363"/>
    <w:rsid w:val="1CC825AF"/>
    <w:rsid w:val="1EA63FAE"/>
    <w:rsid w:val="203BDF62"/>
    <w:rsid w:val="207D897D"/>
    <w:rsid w:val="2093804C"/>
    <w:rsid w:val="2291142B"/>
    <w:rsid w:val="25153DD4"/>
    <w:rsid w:val="255E6995"/>
    <w:rsid w:val="27083F14"/>
    <w:rsid w:val="28E2CF99"/>
    <w:rsid w:val="29ACA0CB"/>
    <w:rsid w:val="29F45AC7"/>
    <w:rsid w:val="2A87451C"/>
    <w:rsid w:val="2C502078"/>
    <w:rsid w:val="2D47A11B"/>
    <w:rsid w:val="2DD06CBC"/>
    <w:rsid w:val="2F5FA022"/>
    <w:rsid w:val="35D8DB1E"/>
    <w:rsid w:val="3887197A"/>
    <w:rsid w:val="3AA2B3C6"/>
    <w:rsid w:val="3E91BEA7"/>
    <w:rsid w:val="437F55DB"/>
    <w:rsid w:val="47EA88FE"/>
    <w:rsid w:val="51CD5D50"/>
    <w:rsid w:val="527482AF"/>
    <w:rsid w:val="5997181A"/>
    <w:rsid w:val="59C21105"/>
    <w:rsid w:val="5E7D8D04"/>
    <w:rsid w:val="60A05D1C"/>
    <w:rsid w:val="613A0C12"/>
    <w:rsid w:val="61864E6F"/>
    <w:rsid w:val="63D3D5EE"/>
    <w:rsid w:val="63D845F8"/>
    <w:rsid w:val="69FB4936"/>
    <w:rsid w:val="6D2D415F"/>
    <w:rsid w:val="6F5672FD"/>
    <w:rsid w:val="70B9B321"/>
    <w:rsid w:val="73C091AA"/>
    <w:rsid w:val="7710508F"/>
    <w:rsid w:val="7A6705D2"/>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83067D"/>
    <w:rPr>
      <w:b/>
      <w:iCs/>
      <w:cap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83067D"/>
    <w:rPr>
      <w:b/>
      <w:iCs/>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233101">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194008701">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51562090">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78621439">
      <w:bodyDiv w:val="1"/>
      <w:marLeft w:val="0"/>
      <w:marRight w:val="0"/>
      <w:marTop w:val="0"/>
      <w:marBottom w:val="0"/>
      <w:divBdr>
        <w:top w:val="none" w:sz="0" w:space="0" w:color="auto"/>
        <w:left w:val="none" w:sz="0" w:space="0" w:color="auto"/>
        <w:bottom w:val="none" w:sz="0" w:space="0" w:color="auto"/>
        <w:right w:val="none" w:sz="0" w:space="0" w:color="auto"/>
      </w:divBdr>
    </w:div>
    <w:div w:id="480343293">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82059437">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5748076">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1392115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083064560">
      <w:bodyDiv w:val="1"/>
      <w:marLeft w:val="0"/>
      <w:marRight w:val="0"/>
      <w:marTop w:val="0"/>
      <w:marBottom w:val="0"/>
      <w:divBdr>
        <w:top w:val="none" w:sz="0" w:space="0" w:color="auto"/>
        <w:left w:val="none" w:sz="0" w:space="0" w:color="auto"/>
        <w:bottom w:val="none" w:sz="0" w:space="0" w:color="auto"/>
        <w:right w:val="none" w:sz="0" w:space="0" w:color="auto"/>
      </w:divBdr>
    </w:div>
    <w:div w:id="1099368711">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12473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05252995">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4109930">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33712409">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48401866">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90259239">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16794f1c5dc5a5f944faa50fcdca828a">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269cfdae86c7a6b2550243d47e1e7c24"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restriction>
      </xsd:simpleType>
    </xsd:element>
    <xsd:element name="_x00c9_v" ma:index="3" ma:displayName="Év" ma:default="2018" ma:format="Dropdown" ma:internalName="_x00c9_v">
      <xsd:simpleType>
        <xsd:restriction base="dms:Choice">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9_v xmlns="cb7eed14-1ed6-4f4f-9464-e9d73fc2f8e9">2020</_x00c9_v>
    <T_x00e9_ma xmlns="cb7eed14-1ed6-4f4f-9464-e9d73fc2f8e9">Monitoring</T_x00e9_ma>
    <L_x00e1_that_x00f3_s_x00e1_g xmlns="cb7eed14-1ed6-4f4f-9464-e9d73fc2f8e9">Publikus</L_x00e1_that_x00f3_s_x00e1_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A8B7-2573-454A-A554-B10E2C8A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3.xml><?xml version="1.0" encoding="utf-8"?>
<ds:datastoreItem xmlns:ds="http://schemas.openxmlformats.org/officeDocument/2006/customXml" ds:itemID="{BFB480CA-BC7A-45F3-A224-17837488D9B2}">
  <ds:schemaRefs>
    <ds:schemaRef ds:uri="http://schemas.microsoft.com/office/2006/metadata/properties"/>
    <ds:schemaRef ds:uri="http://schemas.microsoft.com/office/infopath/2007/PartnerControls"/>
    <ds:schemaRef ds:uri="cb7eed14-1ed6-4f4f-9464-e9d73fc2f8e9"/>
  </ds:schemaRefs>
</ds:datastoreItem>
</file>

<file path=customXml/itemProps4.xml><?xml version="1.0" encoding="utf-8"?>
<ds:datastoreItem xmlns:ds="http://schemas.openxmlformats.org/officeDocument/2006/customXml" ds:itemID="{CDD158EB-55C6-430E-8466-237D4903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4939</Words>
  <Characters>34084</Characters>
  <Application>Microsoft Office Word</Application>
  <DocSecurity>0</DocSecurity>
  <Lines>284</Lines>
  <Paragraphs>77</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2020. április havi helyzetéről</vt:lpstr>
    </vt:vector>
  </TitlesOfParts>
  <LinksUpToDate>false</LinksUpToDate>
  <CharactersWithSpaces>38946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2020. április havi helyzetéről</dc:title>
  <dc:creator/>
  <cp:lastModifiedBy/>
  <cp:revision>1</cp:revision>
  <dcterms:created xsi:type="dcterms:W3CDTF">2020-05-20T14:48:00Z</dcterms:created>
  <dcterms:modified xsi:type="dcterms:W3CDTF">2020-05-20T14:48:00Z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