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430A33" w:rsidP="00232166">
      <w:pPr>
        <w:pStyle w:val="normal-header"/>
        <w:ind w:right="24" w:firstLine="0"/>
        <w:jc w:val="left"/>
      </w:pPr>
      <w:r>
        <w:t xml:space="preserve">2015. </w:t>
      </w:r>
      <w:r w:rsidR="005A6EEF">
        <w:t>szeptember 10</w:t>
      </w:r>
      <w:r w:rsidR="007670FD">
        <w:t>.</w:t>
      </w:r>
    </w:p>
    <w:p w:rsidR="00BC63BE" w:rsidRPr="00AC5B21" w:rsidRDefault="007670FD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Nemzetgazdasági Minisztérium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101C65" w:rsidRPr="00101C65" w:rsidRDefault="00101C65" w:rsidP="00101C65">
      <w:pPr>
        <w:pStyle w:val="normal-header"/>
        <w:ind w:firstLine="0"/>
        <w:rPr>
          <w:b/>
          <w:caps/>
        </w:rPr>
      </w:pPr>
      <w:r w:rsidRPr="00101C65">
        <w:rPr>
          <w:b/>
          <w:caps/>
        </w:rPr>
        <w:t xml:space="preserve">Nyugdíjelőrejelzések </w:t>
      </w:r>
      <w:proofErr w:type="gramStart"/>
      <w:r w:rsidRPr="00101C65">
        <w:rPr>
          <w:b/>
          <w:caps/>
        </w:rPr>
        <w:t>és</w:t>
      </w:r>
      <w:proofErr w:type="gramEnd"/>
      <w:r w:rsidRPr="00101C65">
        <w:rPr>
          <w:b/>
          <w:caps/>
        </w:rPr>
        <w:t xml:space="preserve"> a kiegészítő nyugdíjrendszerek fejlesztésének új távlatai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7670FD" w:rsidRDefault="007670FD" w:rsidP="005901CF">
      <w:pPr>
        <w:pStyle w:val="normal-header"/>
        <w:ind w:firstLine="0"/>
        <w:rPr>
          <w:b/>
        </w:rPr>
      </w:pPr>
      <w:r w:rsidRPr="007670FD">
        <w:rPr>
          <w:b/>
        </w:rPr>
        <w:t>A Nemzetgazdasági Minisztérium (továbbiakban: NGM) az Államreform Operatív Program 1.2.23-2014-0001 számú, „</w:t>
      </w:r>
      <w:proofErr w:type="gramStart"/>
      <w:r w:rsidRPr="007670FD">
        <w:rPr>
          <w:b/>
        </w:rPr>
        <w:t>A</w:t>
      </w:r>
      <w:proofErr w:type="gramEnd"/>
      <w:r w:rsidRPr="007670FD">
        <w:rPr>
          <w:b/>
        </w:rPr>
        <w:t xml:space="preserve"> nyugdíjrendszer modellezési, hosszú távú előrejelzési elemeinek fejlesztése, a kiegészítő nyugdíjrendszerek lehetőségeinek feltárása” c. felhívására benyújtott pályázat</w:t>
      </w:r>
      <w:r w:rsidR="00EE6B89">
        <w:rPr>
          <w:b/>
        </w:rPr>
        <w:t xml:space="preserve"> alapján vállalt munkák </w:t>
      </w:r>
      <w:r w:rsidR="00925B43">
        <w:rPr>
          <w:b/>
        </w:rPr>
        <w:t xml:space="preserve">2015. szeptember elején </w:t>
      </w:r>
      <w:r w:rsidR="00EE6B89">
        <w:rPr>
          <w:b/>
        </w:rPr>
        <w:t>befejeződtek.</w:t>
      </w:r>
      <w:r w:rsidRPr="007670FD">
        <w:rPr>
          <w:b/>
        </w:rPr>
        <w:t xml:space="preserve"> </w:t>
      </w:r>
    </w:p>
    <w:p w:rsidR="00EE6B89" w:rsidRPr="00123642" w:rsidRDefault="00EE6B89" w:rsidP="005901CF">
      <w:pPr>
        <w:pStyle w:val="normal-header"/>
        <w:ind w:firstLine="0"/>
      </w:pPr>
    </w:p>
    <w:p w:rsidR="007670FD" w:rsidRDefault="007670FD" w:rsidP="005901CF">
      <w:pPr>
        <w:pStyle w:val="normal-header"/>
        <w:ind w:firstLine="0"/>
      </w:pPr>
      <w:r w:rsidRPr="007670FD">
        <w:t xml:space="preserve">A projekt megvalósításával hozzájárul a modellezési technikák fejlesztéséhez, más országok rendszerfejlesztési tapasztalatainak megismeréséhez, továbbá a kiegészítő nyugdíjrendszerek </w:t>
      </w:r>
      <w:r w:rsidR="000D6B33">
        <w:t>nemzetközi megismeréséhez.</w:t>
      </w:r>
    </w:p>
    <w:p w:rsidR="007670FD" w:rsidRPr="007670FD" w:rsidRDefault="007670FD" w:rsidP="007670FD">
      <w:pPr>
        <w:pStyle w:val="normal-header"/>
        <w:ind w:firstLine="0"/>
      </w:pPr>
      <w:r w:rsidRPr="007670FD">
        <w:t>A projekt az Új Széchenyi Terv részeként, 150 millió for</w:t>
      </w:r>
      <w:r w:rsidR="00EE6B89">
        <w:t>intos költségvetéssel indul</w:t>
      </w:r>
      <w:r w:rsidR="000D6B33">
        <w:t xml:space="preserve">t el </w:t>
      </w:r>
      <w:r w:rsidR="00315E37">
        <w:t>és</w:t>
      </w:r>
      <w:r w:rsidRPr="007670FD">
        <w:t xml:space="preserve"> az Európai Unió pénzügyi támogatásával, az Európai Szociális Alap társfinanszírozásával valósul</w:t>
      </w:r>
      <w:r w:rsidR="00315E37">
        <w:t>t</w:t>
      </w:r>
      <w:r w:rsidRPr="007670FD">
        <w:t xml:space="preserve"> meg.</w:t>
      </w:r>
    </w:p>
    <w:p w:rsidR="00AF05C3" w:rsidRDefault="007670FD" w:rsidP="007670FD">
      <w:pPr>
        <w:pStyle w:val="normal-header"/>
        <w:ind w:firstLine="0"/>
      </w:pPr>
      <w:r w:rsidRPr="007670FD">
        <w:t>A projekt stratégiai célja</w:t>
      </w:r>
      <w:r w:rsidR="00315E37">
        <w:t xml:space="preserve"> az volt</w:t>
      </w:r>
      <w:r w:rsidRPr="007670FD">
        <w:t xml:space="preserve">, hogy a Világbank technikai segítséget és információt nyújtson Magyarország számára olyan kérdésekben, mint nyugdíj előrejelzések modellezési technikái, nyugdíjmodellek nemzetközi összehasonlítása, a kollektív és egyéni kiegészítő nyugdíjrendszerekben az önkéntes részvétel erősítésére vonatkozó lehetőségek. </w:t>
      </w:r>
    </w:p>
    <w:p w:rsidR="007670FD" w:rsidRPr="007670FD" w:rsidRDefault="007670FD" w:rsidP="007670FD">
      <w:pPr>
        <w:pStyle w:val="normal-header"/>
        <w:ind w:firstLine="0"/>
      </w:pPr>
      <w:r w:rsidRPr="007670FD">
        <w:t>A projekt három részprojektre tagolód</w:t>
      </w:r>
      <w:r w:rsidR="00315E37">
        <w:t>ott:</w:t>
      </w:r>
      <w:r w:rsidRPr="007670FD">
        <w:t xml:space="preserve"> Nyugdíjmodellezési technikák fejlesztése; Különböző nyugdíjrendszerek nemzetközi vizsgálata; Kiegészítő nyugdíjrendszerekben </w:t>
      </w:r>
      <w:r w:rsidR="000D6B33">
        <w:t xml:space="preserve">nemzetközi tapasztalatok alapján </w:t>
      </w:r>
      <w:r w:rsidRPr="007670FD">
        <w:t>az önkéntes részvétel erősítésére vonatkozó lehetőségek.</w:t>
      </w:r>
    </w:p>
    <w:p w:rsidR="007670FD" w:rsidRDefault="00EE6B89" w:rsidP="007670FD">
      <w:pPr>
        <w:pStyle w:val="normal-header"/>
        <w:ind w:firstLine="0"/>
      </w:pPr>
      <w:r>
        <w:t>A</w:t>
      </w:r>
      <w:r w:rsidR="007670FD" w:rsidRPr="007670FD">
        <w:t xml:space="preserve"> </w:t>
      </w:r>
      <w:r w:rsidR="000D6B33">
        <w:t xml:space="preserve">projekt első és második részéhez kapcsolódóan a </w:t>
      </w:r>
      <w:r w:rsidR="007670FD" w:rsidRPr="007670FD">
        <w:t>szakmai anyagok és hatásvizsgálatok (audit) közvetve és közvetlenül is segítik a nyugdíjrendszer hosszú távú fenntarthatóságának megvalósítását, a hosszú távú előrejelzések lehető legprecízebb elkészítését, az európai uniós kötelezettségeinknek való megfelelést.</w:t>
      </w:r>
    </w:p>
    <w:p w:rsidR="007670FD" w:rsidRPr="007670FD" w:rsidRDefault="007670FD" w:rsidP="007670FD">
      <w:pPr>
        <w:pStyle w:val="normal-header"/>
        <w:ind w:firstLine="0"/>
      </w:pPr>
    </w:p>
    <w:p w:rsidR="007670FD" w:rsidRDefault="007670FD" w:rsidP="007670FD">
      <w:pPr>
        <w:pStyle w:val="normal-header"/>
        <w:ind w:firstLine="0"/>
      </w:pPr>
      <w:r w:rsidRPr="007670FD">
        <w:t xml:space="preserve">A pályázat </w:t>
      </w:r>
      <w:r w:rsidR="00EE6B89">
        <w:t xml:space="preserve">során elkészült </w:t>
      </w:r>
      <w:r w:rsidRPr="007670FD">
        <w:t>stratégiai szakmai anyag</w:t>
      </w:r>
      <w:r w:rsidR="002160E8">
        <w:t>ok</w:t>
      </w:r>
      <w:r w:rsidRPr="007670FD">
        <w:t xml:space="preserve"> (</w:t>
      </w:r>
      <w:r w:rsidR="00AF05C3">
        <w:t xml:space="preserve">többek között: </w:t>
      </w:r>
      <w:r w:rsidRPr="007670FD">
        <w:t>tanulmány</w:t>
      </w:r>
      <w:r w:rsidR="00AF05C3">
        <w:t>ok</w:t>
      </w:r>
      <w:r w:rsidRPr="007670FD">
        <w:t>, auditálási leírás</w:t>
      </w:r>
      <w:r w:rsidR="00AF05C3">
        <w:t>ok</w:t>
      </w:r>
      <w:r w:rsidRPr="007670FD">
        <w:t xml:space="preserve">, és előrejelzés), az NGM hatáskörébe tartozó szakpolitikai területeket érintenek. A projekt </w:t>
      </w:r>
      <w:r w:rsidR="002160E8">
        <w:t xml:space="preserve">szakmai </w:t>
      </w:r>
      <w:r w:rsidRPr="007670FD">
        <w:t>megvalósítá</w:t>
      </w:r>
      <w:r w:rsidR="00315E37">
        <w:t>sában az NGM Államháztartásért F</w:t>
      </w:r>
      <w:r w:rsidRPr="007670FD">
        <w:t xml:space="preserve">elelős </w:t>
      </w:r>
      <w:r w:rsidR="00315E37">
        <w:t>Á</w:t>
      </w:r>
      <w:r w:rsidRPr="007670FD">
        <w:t xml:space="preserve">llamtitkársága </w:t>
      </w:r>
      <w:r w:rsidR="000D6B33">
        <w:t xml:space="preserve">(Nyugdíjbiztosítási Főosztály) munkatársai </w:t>
      </w:r>
      <w:r w:rsidRPr="007670FD">
        <w:t>ve</w:t>
      </w:r>
      <w:r w:rsidR="00925B43">
        <w:t>tt</w:t>
      </w:r>
      <w:r w:rsidR="000D6B33">
        <w:t>ek</w:t>
      </w:r>
      <w:r w:rsidRPr="007670FD">
        <w:t xml:space="preserve"> részt.</w:t>
      </w:r>
      <w:r w:rsidR="00925B43">
        <w:t xml:space="preserve"> </w:t>
      </w:r>
      <w:r w:rsidR="00315E37">
        <w:t xml:space="preserve">A </w:t>
      </w:r>
      <w:r w:rsidR="00925B43">
        <w:t xml:space="preserve">Világbank </w:t>
      </w:r>
      <w:r w:rsidR="00315E37">
        <w:t xml:space="preserve">szakértőinek </w:t>
      </w:r>
      <w:r w:rsidR="00925B43">
        <w:t xml:space="preserve">részvételével három </w:t>
      </w:r>
      <w:r w:rsidR="002E1FD1">
        <w:t>tájékoztató esemény (konferencia)</w:t>
      </w:r>
      <w:r w:rsidR="00925B43">
        <w:t xml:space="preserve"> került megtartásra, </w:t>
      </w:r>
      <w:r w:rsidR="002E1FD1">
        <w:t>továbbá</w:t>
      </w:r>
      <w:r w:rsidR="00925B43">
        <w:t xml:space="preserve"> számos </w:t>
      </w:r>
      <w:proofErr w:type="spellStart"/>
      <w:r w:rsidR="00925B43">
        <w:t>workshop</w:t>
      </w:r>
      <w:proofErr w:type="spellEnd"/>
      <w:r w:rsidR="00925B43">
        <w:t xml:space="preserve"> és szakmai egyeztetés</w:t>
      </w:r>
      <w:r w:rsidR="003709BA">
        <w:t xml:space="preserve"> segítette a projektben résztvevők munkáját</w:t>
      </w:r>
      <w:r w:rsidR="00925B43">
        <w:t>.</w:t>
      </w:r>
    </w:p>
    <w:p w:rsidR="00925B43" w:rsidRDefault="00925B43" w:rsidP="007670FD">
      <w:pPr>
        <w:pStyle w:val="normal-header"/>
        <w:ind w:firstLine="0"/>
      </w:pPr>
    </w:p>
    <w:p w:rsidR="00AF05C3" w:rsidRDefault="00925B43" w:rsidP="007670FD">
      <w:pPr>
        <w:pStyle w:val="normal-header"/>
        <w:ind w:firstLine="0"/>
      </w:pPr>
      <w:r>
        <w:t>A Világbank szakértője áttekintette a Nemzetgazdasági Minisztérium Európai Uniós kötelezettségek teljesítésére használt modelljét</w:t>
      </w:r>
      <w:r w:rsidR="001D1845">
        <w:t xml:space="preserve"> továbbá az ahhoz használt adatbázisokat, jelentések felépítését</w:t>
      </w:r>
      <w:r>
        <w:t xml:space="preserve">, javaslatokat </w:t>
      </w:r>
    </w:p>
    <w:p w:rsidR="00AF05C3" w:rsidRDefault="00AF05C3" w:rsidP="007670FD">
      <w:pPr>
        <w:pStyle w:val="normal-header"/>
        <w:ind w:firstLine="0"/>
      </w:pPr>
    </w:p>
    <w:p w:rsidR="00AF05C3" w:rsidRDefault="00AF05C3" w:rsidP="007670FD">
      <w:pPr>
        <w:pStyle w:val="normal-header"/>
        <w:ind w:firstLine="0"/>
      </w:pPr>
    </w:p>
    <w:p w:rsidR="00AF05C3" w:rsidRDefault="00AF05C3" w:rsidP="007670FD">
      <w:pPr>
        <w:pStyle w:val="normal-header"/>
        <w:ind w:firstLine="0"/>
      </w:pPr>
    </w:p>
    <w:p w:rsidR="00925B43" w:rsidRDefault="00925B43" w:rsidP="007670FD">
      <w:pPr>
        <w:pStyle w:val="normal-header"/>
        <w:ind w:firstLine="0"/>
      </w:pPr>
      <w:proofErr w:type="gramStart"/>
      <w:r>
        <w:t>tett</w:t>
      </w:r>
      <w:proofErr w:type="gramEnd"/>
      <w:r>
        <w:t xml:space="preserve"> a fejlesztésére, majd ezt követően értékelte és </w:t>
      </w:r>
      <w:proofErr w:type="spellStart"/>
      <w:r>
        <w:t>auditálta</w:t>
      </w:r>
      <w:proofErr w:type="spellEnd"/>
      <w:r>
        <w:t xml:space="preserve"> a modellt</w:t>
      </w:r>
      <w:r w:rsidR="003709BA">
        <w:t>, adatjelentési rendszert</w:t>
      </w:r>
      <w:r>
        <w:t xml:space="preserve">. </w:t>
      </w:r>
      <w:r w:rsidR="0046597B">
        <w:br/>
      </w:r>
      <w:proofErr w:type="gramStart"/>
      <w:r>
        <w:t>2015 májusban</w:t>
      </w:r>
      <w:proofErr w:type="gramEnd"/>
      <w:r>
        <w:t xml:space="preserve"> került megtartásra a „</w:t>
      </w:r>
      <w:proofErr w:type="spellStart"/>
      <w:r>
        <w:t>Makroszimulációs</w:t>
      </w:r>
      <w:proofErr w:type="spellEnd"/>
      <w:r>
        <w:t xml:space="preserve"> modellezés” című konferencia, amelyen a </w:t>
      </w:r>
      <w:r w:rsidR="001D1845">
        <w:t xml:space="preserve">Világbank értékelése mellett a </w:t>
      </w:r>
      <w:proofErr w:type="spellStart"/>
      <w:r>
        <w:t>hosszútávú</w:t>
      </w:r>
      <w:proofErr w:type="spellEnd"/>
      <w:r>
        <w:t xml:space="preserve"> </w:t>
      </w:r>
      <w:proofErr w:type="spellStart"/>
      <w:r>
        <w:t>nyugdíjelőrejelzés</w:t>
      </w:r>
      <w:proofErr w:type="spellEnd"/>
      <w:r>
        <w:t xml:space="preserve"> alapjául szolgáló módszertanokat és technikákat vitathatták meg a résztvevők. </w:t>
      </w:r>
    </w:p>
    <w:p w:rsidR="002E1FD1" w:rsidRDefault="002E1FD1" w:rsidP="007670FD">
      <w:pPr>
        <w:pStyle w:val="normal-header"/>
        <w:ind w:firstLine="0"/>
      </w:pPr>
    </w:p>
    <w:p w:rsidR="001D1845" w:rsidRDefault="001D1845" w:rsidP="007670FD">
      <w:pPr>
        <w:pStyle w:val="normal-header"/>
        <w:ind w:firstLine="0"/>
      </w:pPr>
      <w:r>
        <w:t xml:space="preserve">A </w:t>
      </w:r>
      <w:r w:rsidR="003709BA">
        <w:t xml:space="preserve">Világbank összefoglaló tanulmányt készített az egyes országokban alkalmazott </w:t>
      </w:r>
      <w:r w:rsidR="002E1FD1">
        <w:t>nyugdíj</w:t>
      </w:r>
      <w:r w:rsidR="003709BA">
        <w:t>rendszerek összehasonlításáról. Vázolta a főbb irányokat és célokat, amelyek eldöntése javasolt</w:t>
      </w:r>
      <w:r w:rsidR="002E1FD1">
        <w:t>,</w:t>
      </w:r>
      <w:r w:rsidR="003709BA">
        <w:t xml:space="preserve"> és amelyek mentén a nyugdíjrendszer tervezése megvalósulhat. 2015 szeptemberében került megtartásra </w:t>
      </w:r>
      <w:r w:rsidR="003709BA" w:rsidRPr="003709BA">
        <w:t xml:space="preserve">a </w:t>
      </w:r>
      <w:r w:rsidR="003709BA">
        <w:t>„T</w:t>
      </w:r>
      <w:r w:rsidR="003709BA" w:rsidRPr="003709BA">
        <w:t xml:space="preserve">ársadalombiztosítási nyugdíjrendszerek jellemzői és összehasonlítása” </w:t>
      </w:r>
      <w:r w:rsidR="003709BA">
        <w:t xml:space="preserve">című </w:t>
      </w:r>
      <w:r w:rsidR="003709BA" w:rsidRPr="003709BA">
        <w:t>konferencia</w:t>
      </w:r>
      <w:r w:rsidR="003709BA">
        <w:t xml:space="preserve">, melyen a Világbank </w:t>
      </w:r>
      <w:r w:rsidR="002E1FD1">
        <w:t>nemzetközi tapasztalatokkal ismertette a nyugdíjsémák tervezésének lehetőségeit</w:t>
      </w:r>
      <w:r w:rsidR="002B0F36">
        <w:t>, rendszerezte az egyes sémákat</w:t>
      </w:r>
      <w:r w:rsidR="002E1FD1">
        <w:t>. A rendezvény lehetőséget adott további, olyan aktuális</w:t>
      </w:r>
      <w:r w:rsidR="002B0F36">
        <w:t>, nyugdíjrendszerrel összefüggő</w:t>
      </w:r>
      <w:r w:rsidR="002E1FD1">
        <w:t xml:space="preserve"> témák megvitatására, mint például az aktív idősödés </w:t>
      </w:r>
      <w:r w:rsidR="002B0F36">
        <w:t xml:space="preserve">vagy a </w:t>
      </w:r>
      <w:r w:rsidR="002B0F36" w:rsidRPr="00D40475">
        <w:t xml:space="preserve">foglalkoztatás </w:t>
      </w:r>
      <w:r w:rsidR="002E1FD1">
        <w:t>kérdései</w:t>
      </w:r>
      <w:r w:rsidR="002B0F36">
        <w:t xml:space="preserve">, illetve az egyének </w:t>
      </w:r>
      <w:proofErr w:type="spellStart"/>
      <w:r w:rsidR="002B0F36" w:rsidRPr="00D40475">
        <w:t>nyugdíjbavonulási</w:t>
      </w:r>
      <w:proofErr w:type="spellEnd"/>
      <w:r w:rsidR="002B0F36" w:rsidRPr="00D40475">
        <w:t xml:space="preserve"> </w:t>
      </w:r>
      <w:r w:rsidR="00D40475">
        <w:t>szokásai</w:t>
      </w:r>
      <w:r w:rsidR="002E1FD1">
        <w:t>.</w:t>
      </w:r>
    </w:p>
    <w:p w:rsidR="002E1FD1" w:rsidRDefault="002E1FD1" w:rsidP="007670FD">
      <w:pPr>
        <w:pStyle w:val="normal-header"/>
        <w:ind w:firstLine="0"/>
      </w:pPr>
    </w:p>
    <w:p w:rsidR="002E1FD1" w:rsidRPr="003709BA" w:rsidRDefault="002E1FD1" w:rsidP="007670FD">
      <w:pPr>
        <w:pStyle w:val="normal-header"/>
        <w:ind w:firstLine="0"/>
      </w:pPr>
      <w:r>
        <w:t xml:space="preserve">A </w:t>
      </w:r>
      <w:r w:rsidR="0046597B">
        <w:t>V</w:t>
      </w:r>
      <w:bookmarkStart w:id="0" w:name="_GoBack"/>
      <w:bookmarkEnd w:id="0"/>
      <w:r>
        <w:t>ilágbank részletes tanulmányt készítet</w:t>
      </w:r>
      <w:r w:rsidR="002B0F36">
        <w:t>t</w:t>
      </w:r>
      <w:r>
        <w:t xml:space="preserve"> az önkéntes kiegészítő </w:t>
      </w:r>
      <w:r w:rsidR="00E766CA">
        <w:t>nyugdíj</w:t>
      </w:r>
      <w:r>
        <w:t xml:space="preserve">rendszerek összefüggéseiről, </w:t>
      </w:r>
      <w:r w:rsidR="00E766CA">
        <w:t xml:space="preserve">szerepének </w:t>
      </w:r>
      <w:r>
        <w:t>lehetséges</w:t>
      </w:r>
      <w:r w:rsidR="00E766CA">
        <w:t xml:space="preserve"> és szükséges erősítéséről</w:t>
      </w:r>
      <w:r>
        <w:t>. 2015 szeptemberében került megtartásra „</w:t>
      </w:r>
      <w:proofErr w:type="gramStart"/>
      <w:r>
        <w:t>A</w:t>
      </w:r>
      <w:proofErr w:type="gramEnd"/>
      <w:r w:rsidRPr="002E1FD1">
        <w:t xml:space="preserve"> kiegészítő n</w:t>
      </w:r>
      <w:r>
        <w:t xml:space="preserve">yugdíjrendszerben való önkéntes részvétel lehetőségének </w:t>
      </w:r>
      <w:r w:rsidRPr="002E1FD1">
        <w:t>növelése</w:t>
      </w:r>
      <w:r>
        <w:t>” című konferencia, amely a Világbanki tanulmány bemutatásán túl, lehetőséget adott a hazai pénztári szakértők számára is a</w:t>
      </w:r>
      <w:r w:rsidR="00E766CA">
        <w:t xml:space="preserve"> szférát érintő</w:t>
      </w:r>
      <w:r>
        <w:t xml:space="preserve"> aktuális kérdések</w:t>
      </w:r>
      <w:r w:rsidR="002B0F36" w:rsidRPr="002B0F36">
        <w:t xml:space="preserve"> </w:t>
      </w:r>
      <w:r w:rsidR="002B0F36">
        <w:t>megvitatására. A rendezvényen kiemelt helyett kapott az öngondoskodás</w:t>
      </w:r>
      <w:r w:rsidR="00E766CA">
        <w:t xml:space="preserve"> kérdéskörének</w:t>
      </w:r>
      <w:r w:rsidR="002B0F36">
        <w:t xml:space="preserve"> fontossága, a résztvevők előadásokat hallhattak többek között a pénztárak </w:t>
      </w:r>
      <w:r w:rsidR="00E766CA">
        <w:t xml:space="preserve">és egyéb kiegészítő nyugdíj célú megtakarítások </w:t>
      </w:r>
      <w:r w:rsidR="002B0F36">
        <w:t>szabályozás</w:t>
      </w:r>
      <w:r w:rsidR="00E766CA">
        <w:t>i hátteréről, a piac jelenlegi helyzetéről, a lehetséges további fejlődési irányokról</w:t>
      </w:r>
      <w:r w:rsidR="005D3688">
        <w:t>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32" w:rsidRDefault="00262C32" w:rsidP="00AB4900">
      <w:pPr>
        <w:spacing w:after="0" w:line="240" w:lineRule="auto"/>
      </w:pPr>
      <w:r>
        <w:separator/>
      </w:r>
    </w:p>
  </w:endnote>
  <w:endnote w:type="continuationSeparator" w:id="0">
    <w:p w:rsidR="00262C32" w:rsidRDefault="00262C3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75" w:rsidRDefault="00D40475" w:rsidP="00D1394C">
    <w:pPr>
      <w:pStyle w:val="llb"/>
      <w:tabs>
        <w:tab w:val="clear" w:pos="4536"/>
        <w:tab w:val="clear" w:pos="9072"/>
        <w:tab w:val="right" w:pos="0"/>
      </w:tabs>
      <w:spacing w:line="220" w:lineRule="atLeast"/>
      <w:rPr>
        <w:rFonts w:cs="Arial"/>
        <w:b/>
        <w:sz w:val="16"/>
        <w:szCs w:val="16"/>
      </w:rPr>
    </w:pPr>
  </w:p>
  <w:p w:rsidR="00D40475" w:rsidRDefault="00D40475" w:rsidP="00D1394C">
    <w:pPr>
      <w:pStyle w:val="llb"/>
      <w:tabs>
        <w:tab w:val="clear" w:pos="4536"/>
        <w:tab w:val="clear" w:pos="9072"/>
        <w:tab w:val="right" w:pos="0"/>
      </w:tabs>
      <w:spacing w:line="220" w:lineRule="atLeast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Kedvezményezett:</w:t>
    </w:r>
  </w:p>
  <w:p w:rsidR="00D40475" w:rsidRPr="001C3934" w:rsidRDefault="00D40475" w:rsidP="001C3934">
    <w:pPr>
      <w:pStyle w:val="llb"/>
      <w:tabs>
        <w:tab w:val="right" w:pos="0"/>
      </w:tabs>
      <w:spacing w:line="220" w:lineRule="atLeast"/>
      <w:rPr>
        <w:rFonts w:cs="Arial"/>
        <w:b/>
        <w:noProof/>
        <w:sz w:val="16"/>
        <w:szCs w:val="16"/>
        <w:lang w:eastAsia="hu-HU"/>
      </w:rPr>
    </w:pPr>
    <w:r w:rsidRPr="001C3934">
      <w:rPr>
        <w:rFonts w:cs="Arial"/>
        <w:b/>
        <w:noProof/>
        <w:sz w:val="16"/>
        <w:szCs w:val="16"/>
        <w:lang w:eastAsia="hu-HU"/>
      </w:rPr>
      <w:t>Nemzetgazdasági Minisztérium</w:t>
    </w:r>
  </w:p>
  <w:p w:rsidR="00D40475" w:rsidRPr="001C3934" w:rsidRDefault="00AF05C3" w:rsidP="001C3934">
    <w:pPr>
      <w:pStyle w:val="llb"/>
      <w:tabs>
        <w:tab w:val="right" w:pos="0"/>
      </w:tabs>
      <w:spacing w:line="220" w:lineRule="atLeast"/>
      <w:rPr>
        <w:rFonts w:cs="Arial"/>
        <w:b/>
        <w:noProof/>
        <w:sz w:val="16"/>
        <w:szCs w:val="16"/>
        <w:lang w:eastAsia="hu-HU"/>
      </w:rPr>
    </w:pPr>
    <w:r>
      <w:rPr>
        <w:rFonts w:cs="Arial"/>
        <w:b/>
        <w:noProof/>
        <w:sz w:val="16"/>
        <w:szCs w:val="16"/>
        <w:lang w:eastAsia="hu-HU"/>
      </w:rPr>
      <w:t>1051</w:t>
    </w:r>
    <w:r w:rsidR="00D40475" w:rsidRPr="001C3934">
      <w:rPr>
        <w:rFonts w:cs="Arial"/>
        <w:b/>
        <w:noProof/>
        <w:sz w:val="16"/>
        <w:szCs w:val="16"/>
        <w:lang w:eastAsia="hu-HU"/>
      </w:rPr>
      <w:t>Budapest, József Nádor tér 4.</w:t>
    </w:r>
  </w:p>
  <w:p w:rsidR="00D40475" w:rsidRPr="001C3934" w:rsidRDefault="00D40475" w:rsidP="001C3934">
    <w:pPr>
      <w:pStyle w:val="llb"/>
      <w:tabs>
        <w:tab w:val="right" w:pos="0"/>
      </w:tabs>
      <w:spacing w:line="220" w:lineRule="atLeast"/>
      <w:rPr>
        <w:rFonts w:cs="Arial"/>
        <w:b/>
        <w:noProof/>
        <w:sz w:val="16"/>
        <w:szCs w:val="16"/>
        <w:lang w:eastAsia="hu-HU"/>
      </w:rPr>
    </w:pPr>
    <w:r w:rsidRPr="001C3934">
      <w:rPr>
        <w:rFonts w:cs="Arial"/>
        <w:b/>
        <w:noProof/>
        <w:sz w:val="16"/>
        <w:szCs w:val="16"/>
        <w:lang w:eastAsia="hu-HU"/>
      </w:rPr>
      <w:t xml:space="preserve">E-mail: </w:t>
    </w:r>
    <w:hyperlink r:id="rId1" w:history="1">
      <w:r w:rsidRPr="001C3934">
        <w:rPr>
          <w:rStyle w:val="Hiperhivatkozs"/>
          <w:rFonts w:cs="Arial"/>
          <w:b/>
          <w:noProof/>
          <w:sz w:val="16"/>
          <w:szCs w:val="16"/>
          <w:lang w:eastAsia="hu-HU"/>
        </w:rPr>
        <w:t>nybfo@ngm.gov.hu</w:t>
      </w:r>
    </w:hyperlink>
  </w:p>
  <w:p w:rsidR="00D40475" w:rsidRPr="00C233DC" w:rsidRDefault="00262C32" w:rsidP="001C3934">
    <w:pPr>
      <w:pStyle w:val="llb"/>
      <w:tabs>
        <w:tab w:val="clear" w:pos="4536"/>
        <w:tab w:val="clear" w:pos="9072"/>
        <w:tab w:val="right" w:pos="0"/>
      </w:tabs>
      <w:spacing w:line="220" w:lineRule="atLeast"/>
      <w:rPr>
        <w:rFonts w:cs="Arial"/>
        <w:b/>
        <w:sz w:val="16"/>
        <w:szCs w:val="16"/>
      </w:rPr>
    </w:pPr>
    <w:hyperlink r:id="rId2" w:history="1">
      <w:r w:rsidR="00D40475" w:rsidRPr="001C3934">
        <w:rPr>
          <w:rStyle w:val="Hiperhivatkozs"/>
          <w:rFonts w:cs="Arial"/>
          <w:b/>
          <w:noProof/>
          <w:sz w:val="16"/>
          <w:szCs w:val="16"/>
          <w:lang w:eastAsia="hu-HU"/>
        </w:rPr>
        <w:t>www.kormany.hu</w:t>
      </w:r>
    </w:hyperlink>
    <w:r w:rsidR="00D40475" w:rsidRPr="001C3934">
      <w:rPr>
        <w:rFonts w:cs="Arial"/>
        <w:b/>
        <w:noProof/>
        <w:sz w:val="16"/>
        <w:szCs w:val="16"/>
        <w:lang w:eastAsia="hu-HU"/>
      </w:rPr>
      <w:t xml:space="preserve"> </w:t>
    </w:r>
    <w:hyperlink r:id="rId3" w:history="1">
      <w:r w:rsidR="00D40475" w:rsidRPr="001C3934">
        <w:rPr>
          <w:rStyle w:val="Hiperhivatkozs"/>
          <w:rFonts w:cs="Arial"/>
          <w:b/>
          <w:noProof/>
          <w:sz w:val="16"/>
          <w:szCs w:val="16"/>
          <w:lang w:eastAsia="hu-HU"/>
        </w:rPr>
        <w:t>www.palyazat.gov.hu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32" w:rsidRDefault="00262C32" w:rsidP="00AB4900">
      <w:pPr>
        <w:spacing w:after="0" w:line="240" w:lineRule="auto"/>
      </w:pPr>
      <w:r>
        <w:separator/>
      </w:r>
    </w:p>
  </w:footnote>
  <w:footnote w:type="continuationSeparator" w:id="0">
    <w:p w:rsidR="00262C32" w:rsidRDefault="00262C3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75" w:rsidRDefault="00D40475" w:rsidP="00D1394C">
    <w:pPr>
      <w:pStyle w:val="lfej"/>
    </w:pP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7F7421D5" wp14:editId="2542E0C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0475" w:rsidRDefault="00D40475" w:rsidP="00D1394C">
    <w:pPr>
      <w:pStyle w:val="lfej"/>
    </w:pPr>
    <w:r>
      <w:rPr>
        <w:rFonts w:cs="Arial"/>
        <w:iCs/>
        <w:noProof/>
        <w:sz w:val="16"/>
        <w:szCs w:val="20"/>
        <w:lang w:eastAsia="hu-HU"/>
      </w:rPr>
      <w:drawing>
        <wp:anchor distT="0" distB="0" distL="114300" distR="114300" simplePos="0" relativeHeight="251670528" behindDoc="1" locked="0" layoutInCell="1" allowOverlap="1" wp14:anchorId="44B65223" wp14:editId="2179F0CB">
          <wp:simplePos x="0" y="0"/>
          <wp:positionH relativeFrom="column">
            <wp:posOffset>388620</wp:posOffset>
          </wp:positionH>
          <wp:positionV relativeFrom="paragraph">
            <wp:posOffset>99695</wp:posOffset>
          </wp:positionV>
          <wp:extent cx="942975" cy="454660"/>
          <wp:effectExtent l="0" t="0" r="0" b="0"/>
          <wp:wrapThrough wrapText="bothSides">
            <wp:wrapPolygon edited="0">
              <wp:start x="0" y="0"/>
              <wp:lineTo x="0" y="20816"/>
              <wp:lineTo x="21382" y="20816"/>
              <wp:lineTo x="21382" y="0"/>
              <wp:lineTo x="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y kic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0687A503" wp14:editId="1CD223DB">
          <wp:simplePos x="0" y="0"/>
          <wp:positionH relativeFrom="margin">
            <wp:posOffset>-356235</wp:posOffset>
          </wp:positionH>
          <wp:positionV relativeFrom="margin">
            <wp:posOffset>-908050</wp:posOffset>
          </wp:positionV>
          <wp:extent cx="688975" cy="525145"/>
          <wp:effectExtent l="0" t="0" r="0" b="0"/>
          <wp:wrapSquare wrapText="bothSides"/>
          <wp:docPr id="2" name="Kép 2" descr="n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ng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475" w:rsidRDefault="00D40475" w:rsidP="003C1B60">
    <w:pPr>
      <w:tabs>
        <w:tab w:val="left" w:pos="1276"/>
      </w:tabs>
      <w:spacing w:after="0" w:line="240" w:lineRule="auto"/>
      <w:ind w:left="1276" w:firstLine="992"/>
      <w:rPr>
        <w:rFonts w:cs="Arial"/>
        <w:iCs/>
        <w:sz w:val="16"/>
        <w:szCs w:val="20"/>
      </w:rPr>
    </w:pPr>
    <w:r w:rsidRPr="00626835">
      <w:rPr>
        <w:rFonts w:cs="Arial"/>
        <w:b/>
        <w:iCs/>
        <w:sz w:val="16"/>
        <w:szCs w:val="20"/>
      </w:rPr>
      <w:t xml:space="preserve">Pályázat címe: </w:t>
    </w:r>
    <w:r>
      <w:rPr>
        <w:rFonts w:cs="Arial"/>
        <w:iCs/>
        <w:sz w:val="16"/>
        <w:szCs w:val="20"/>
      </w:rPr>
      <w:t xml:space="preserve">A nyugdíjrendszer modellezési, </w:t>
    </w:r>
  </w:p>
  <w:p w:rsidR="00D40475" w:rsidRDefault="00D40475" w:rsidP="003C1B60">
    <w:pPr>
      <w:tabs>
        <w:tab w:val="left" w:pos="1276"/>
      </w:tabs>
      <w:spacing w:after="0" w:line="240" w:lineRule="auto"/>
      <w:ind w:left="1276" w:firstLine="992"/>
      <w:rPr>
        <w:rFonts w:cs="Arial"/>
        <w:iCs/>
        <w:sz w:val="16"/>
        <w:szCs w:val="20"/>
      </w:rPr>
    </w:pPr>
    <w:proofErr w:type="gramStart"/>
    <w:r>
      <w:rPr>
        <w:rFonts w:cs="Arial"/>
        <w:iCs/>
        <w:sz w:val="16"/>
        <w:szCs w:val="20"/>
      </w:rPr>
      <w:t>hosszú</w:t>
    </w:r>
    <w:proofErr w:type="gramEnd"/>
    <w:r>
      <w:rPr>
        <w:rFonts w:cs="Arial"/>
        <w:iCs/>
        <w:sz w:val="16"/>
        <w:szCs w:val="20"/>
      </w:rPr>
      <w:t xml:space="preserve"> távú előrejelzési elemeinek fejlesztése, </w:t>
    </w:r>
    <w:r w:rsidRPr="003C1B60">
      <w:rPr>
        <w:rFonts w:cs="Arial"/>
        <w:iCs/>
        <w:sz w:val="16"/>
        <w:szCs w:val="20"/>
      </w:rPr>
      <w:t xml:space="preserve">a kiegészítő </w:t>
    </w:r>
  </w:p>
  <w:p w:rsidR="00D40475" w:rsidRPr="00626835" w:rsidRDefault="00D40475" w:rsidP="003C1B60">
    <w:pPr>
      <w:tabs>
        <w:tab w:val="left" w:pos="1985"/>
      </w:tabs>
      <w:spacing w:after="0" w:line="240" w:lineRule="auto"/>
      <w:ind w:left="1276" w:firstLine="992"/>
      <w:rPr>
        <w:rFonts w:cs="Arial"/>
        <w:iCs/>
        <w:sz w:val="16"/>
        <w:szCs w:val="20"/>
      </w:rPr>
    </w:pPr>
    <w:proofErr w:type="gramStart"/>
    <w:r w:rsidRPr="003C1B60">
      <w:rPr>
        <w:rFonts w:cs="Arial"/>
        <w:iCs/>
        <w:sz w:val="16"/>
        <w:szCs w:val="20"/>
      </w:rPr>
      <w:t>nyugdíjrendszerek</w:t>
    </w:r>
    <w:proofErr w:type="gramEnd"/>
    <w:r w:rsidRPr="003C1B60">
      <w:rPr>
        <w:rFonts w:cs="Arial"/>
        <w:iCs/>
        <w:sz w:val="16"/>
        <w:szCs w:val="20"/>
      </w:rPr>
      <w:t xml:space="preserve"> lehetőségeinek </w:t>
    </w:r>
    <w:r>
      <w:rPr>
        <w:rFonts w:cs="Arial"/>
        <w:iCs/>
        <w:sz w:val="16"/>
        <w:szCs w:val="20"/>
      </w:rPr>
      <w:t>feltárása</w:t>
    </w:r>
  </w:p>
  <w:p w:rsidR="00D40475" w:rsidRDefault="00D40475" w:rsidP="003C1B60">
    <w:pPr>
      <w:tabs>
        <w:tab w:val="left" w:pos="1276"/>
      </w:tabs>
      <w:spacing w:after="0" w:line="240" w:lineRule="auto"/>
      <w:ind w:left="1276" w:firstLine="992"/>
      <w:rPr>
        <w:rFonts w:cs="Arial"/>
        <w:iCs/>
        <w:sz w:val="16"/>
        <w:szCs w:val="20"/>
      </w:rPr>
    </w:pPr>
    <w:r w:rsidRPr="00626835">
      <w:rPr>
        <w:rFonts w:cs="Arial"/>
        <w:b/>
        <w:iCs/>
        <w:sz w:val="16"/>
        <w:szCs w:val="20"/>
      </w:rPr>
      <w:t xml:space="preserve">Pályázati azonosító: </w:t>
    </w:r>
    <w:r w:rsidRPr="003C1B60">
      <w:rPr>
        <w:rFonts w:cs="Arial"/>
        <w:iCs/>
        <w:sz w:val="16"/>
        <w:szCs w:val="20"/>
      </w:rPr>
      <w:t>ÁROP-1.2.23-2014-2014-0001</w:t>
    </w:r>
  </w:p>
  <w:p w:rsidR="00D40475" w:rsidRPr="00AB4900" w:rsidRDefault="00D40475" w:rsidP="003C1B60">
    <w:pPr>
      <w:pStyle w:val="lfej"/>
      <w:ind w:firstLine="99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9D8"/>
    <w:rsid w:val="000B2CD5"/>
    <w:rsid w:val="000D6B33"/>
    <w:rsid w:val="000F4E96"/>
    <w:rsid w:val="00101C65"/>
    <w:rsid w:val="00111913"/>
    <w:rsid w:val="00113E8D"/>
    <w:rsid w:val="00146ACE"/>
    <w:rsid w:val="001666F1"/>
    <w:rsid w:val="001B2102"/>
    <w:rsid w:val="001C3934"/>
    <w:rsid w:val="001D1845"/>
    <w:rsid w:val="001E6A2A"/>
    <w:rsid w:val="002112C7"/>
    <w:rsid w:val="002160E8"/>
    <w:rsid w:val="00232166"/>
    <w:rsid w:val="002441AB"/>
    <w:rsid w:val="00244F73"/>
    <w:rsid w:val="00262C32"/>
    <w:rsid w:val="002A6DE9"/>
    <w:rsid w:val="002B0F36"/>
    <w:rsid w:val="002D426F"/>
    <w:rsid w:val="002E1FD1"/>
    <w:rsid w:val="002F678C"/>
    <w:rsid w:val="00315E37"/>
    <w:rsid w:val="00316890"/>
    <w:rsid w:val="00342EC5"/>
    <w:rsid w:val="00344C67"/>
    <w:rsid w:val="00353E8C"/>
    <w:rsid w:val="003709BA"/>
    <w:rsid w:val="00392B1A"/>
    <w:rsid w:val="003C1B60"/>
    <w:rsid w:val="003D5F77"/>
    <w:rsid w:val="003E48B6"/>
    <w:rsid w:val="00430A33"/>
    <w:rsid w:val="004370CA"/>
    <w:rsid w:val="0046597B"/>
    <w:rsid w:val="004C625A"/>
    <w:rsid w:val="00522599"/>
    <w:rsid w:val="005901CF"/>
    <w:rsid w:val="005964DF"/>
    <w:rsid w:val="005A64AD"/>
    <w:rsid w:val="005A6EEF"/>
    <w:rsid w:val="005D030D"/>
    <w:rsid w:val="005D3688"/>
    <w:rsid w:val="005E2EDE"/>
    <w:rsid w:val="005F37AC"/>
    <w:rsid w:val="006610E7"/>
    <w:rsid w:val="006734FC"/>
    <w:rsid w:val="006A1E4D"/>
    <w:rsid w:val="006C0217"/>
    <w:rsid w:val="006D0ADF"/>
    <w:rsid w:val="007670FD"/>
    <w:rsid w:val="0078269C"/>
    <w:rsid w:val="007A6928"/>
    <w:rsid w:val="00802813"/>
    <w:rsid w:val="00816521"/>
    <w:rsid w:val="00835564"/>
    <w:rsid w:val="008B5441"/>
    <w:rsid w:val="008F4B5C"/>
    <w:rsid w:val="009039F9"/>
    <w:rsid w:val="00922FBD"/>
    <w:rsid w:val="00925B43"/>
    <w:rsid w:val="00957906"/>
    <w:rsid w:val="009B38F5"/>
    <w:rsid w:val="009C486D"/>
    <w:rsid w:val="009D2C62"/>
    <w:rsid w:val="00A06EA7"/>
    <w:rsid w:val="00A422D2"/>
    <w:rsid w:val="00A46013"/>
    <w:rsid w:val="00A54B1C"/>
    <w:rsid w:val="00A63A25"/>
    <w:rsid w:val="00AB3E24"/>
    <w:rsid w:val="00AB4900"/>
    <w:rsid w:val="00AB5EAA"/>
    <w:rsid w:val="00AC5B21"/>
    <w:rsid w:val="00AE2160"/>
    <w:rsid w:val="00AF05C3"/>
    <w:rsid w:val="00B0435E"/>
    <w:rsid w:val="00B50ED9"/>
    <w:rsid w:val="00B7589E"/>
    <w:rsid w:val="00BC63BE"/>
    <w:rsid w:val="00C233DC"/>
    <w:rsid w:val="00C573C0"/>
    <w:rsid w:val="00C87FFB"/>
    <w:rsid w:val="00C90A5C"/>
    <w:rsid w:val="00C9125A"/>
    <w:rsid w:val="00C9496E"/>
    <w:rsid w:val="00CB133A"/>
    <w:rsid w:val="00CC0E55"/>
    <w:rsid w:val="00CC7EC9"/>
    <w:rsid w:val="00D0549E"/>
    <w:rsid w:val="00D1394C"/>
    <w:rsid w:val="00D15E97"/>
    <w:rsid w:val="00D40475"/>
    <w:rsid w:val="00D42BAB"/>
    <w:rsid w:val="00D50544"/>
    <w:rsid w:val="00D563EB"/>
    <w:rsid w:val="00D609B1"/>
    <w:rsid w:val="00DC0ECD"/>
    <w:rsid w:val="00E60289"/>
    <w:rsid w:val="00E766CA"/>
    <w:rsid w:val="00E824DA"/>
    <w:rsid w:val="00EA2F16"/>
    <w:rsid w:val="00ED3039"/>
    <w:rsid w:val="00EE3AC4"/>
    <w:rsid w:val="00EE6B89"/>
    <w:rsid w:val="00F22288"/>
    <w:rsid w:val="00F7138D"/>
    <w:rsid w:val="00FD397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1C393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48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48B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48B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48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48B6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1C393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48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48B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48B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48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48B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lyazat.gov.hu" TargetMode="External"/><Relationship Id="rId2" Type="http://schemas.openxmlformats.org/officeDocument/2006/relationships/hyperlink" Target="http://www.kormany.hu" TargetMode="External"/><Relationship Id="rId1" Type="http://schemas.openxmlformats.org/officeDocument/2006/relationships/hyperlink" Target="mailto:nybfo@ngm.go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3F8B-BA65-4A57-8036-7ECA141D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Pádár Zsuzsanna</cp:lastModifiedBy>
  <cp:revision>2</cp:revision>
  <dcterms:created xsi:type="dcterms:W3CDTF">2015-09-10T15:19:00Z</dcterms:created>
  <dcterms:modified xsi:type="dcterms:W3CDTF">2015-09-10T15:19:00Z</dcterms:modified>
</cp:coreProperties>
</file>