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20" w:rsidRPr="00984CBC" w:rsidRDefault="004D07F3" w:rsidP="00984CBC">
      <w:pPr>
        <w:shd w:val="clear" w:color="auto" w:fill="D9D9D9" w:themeFill="background1" w:themeFillShade="D9"/>
        <w:jc w:val="center"/>
        <w:rPr>
          <w:rFonts w:asciiTheme="majorHAnsi" w:hAnsiTheme="majorHAnsi"/>
          <w:b/>
        </w:rPr>
      </w:pPr>
      <w:bookmarkStart w:id="0" w:name="_GoBack"/>
      <w:bookmarkEnd w:id="0"/>
      <w:r w:rsidRPr="00984CBC">
        <w:rPr>
          <w:rFonts w:asciiTheme="majorHAnsi" w:hAnsiTheme="majorHAnsi"/>
          <w:b/>
        </w:rPr>
        <w:t>KSZDR - Indikatív ajánlatkérés tételei</w:t>
      </w:r>
    </w:p>
    <w:p w:rsidR="003053AF" w:rsidRDefault="003053AF" w:rsidP="004D07F3">
      <w:pPr>
        <w:rPr>
          <w:sz w:val="18"/>
          <w:szCs w:val="18"/>
        </w:rPr>
      </w:pPr>
    </w:p>
    <w:p w:rsidR="0002326C" w:rsidRDefault="0002326C" w:rsidP="004D07F3"/>
    <w:tbl>
      <w:tblPr>
        <w:tblW w:w="9430" w:type="dxa"/>
        <w:tblInd w:w="6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1890"/>
        <w:gridCol w:w="4064"/>
        <w:gridCol w:w="2080"/>
      </w:tblGrid>
      <w:tr w:rsidR="003053AF" w:rsidRPr="003053AF" w:rsidTr="00984CBC">
        <w:trPr>
          <w:trHeight w:val="234"/>
          <w:tblHeader/>
        </w:trPr>
        <w:tc>
          <w:tcPr>
            <w:tcW w:w="139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053AF" w:rsidRPr="003053AF" w:rsidRDefault="003053AF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Fázis</w:t>
            </w:r>
          </w:p>
        </w:tc>
        <w:tc>
          <w:tcPr>
            <w:tcW w:w="189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053AF" w:rsidRPr="003053AF" w:rsidRDefault="003053AF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Szakasz</w:t>
            </w:r>
          </w:p>
        </w:tc>
        <w:tc>
          <w:tcPr>
            <w:tcW w:w="40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053AF" w:rsidRPr="003053AF" w:rsidRDefault="003053AF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Feladat/Eredmény</w:t>
            </w:r>
          </w:p>
        </w:tc>
        <w:tc>
          <w:tcPr>
            <w:tcW w:w="20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053AF" w:rsidRPr="003053AF" w:rsidRDefault="003053AF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  <w:t>Nettó ár (Ft)</w:t>
            </w:r>
          </w:p>
        </w:tc>
      </w:tr>
      <w:tr w:rsidR="003053AF" w:rsidRPr="003053AF" w:rsidTr="00984CBC">
        <w:trPr>
          <w:trHeight w:val="234"/>
        </w:trPr>
        <w:tc>
          <w:tcPr>
            <w:tcW w:w="1396" w:type="dxa"/>
            <w:vMerge/>
            <w:shd w:val="clear" w:color="auto" w:fill="D9D9D9" w:themeFill="background1" w:themeFillShade="D9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90" w:type="dxa"/>
            <w:vMerge/>
            <w:shd w:val="clear" w:color="auto" w:fill="D9D9D9" w:themeFill="background1" w:themeFillShade="D9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064" w:type="dxa"/>
            <w:vMerge/>
            <w:shd w:val="clear" w:color="auto" w:fill="D9D9D9" w:themeFill="background1" w:themeFillShade="D9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80" w:type="dxa"/>
            <w:vMerge/>
            <w:shd w:val="clear" w:color="auto" w:fill="D9D9D9" w:themeFill="background1" w:themeFillShade="D9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tervezési fázis 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tervdokumentumok előállítása 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Projekt</w:t>
            </w: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alapító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dokumentum; Termék definíciós lapok; Részletes követelményspecifikáció; Szakterületi, vezetői egyeztetések, felmérés dokumentációja; Szakmai fogalomtár; Forrásrendszeri felmérési dokumentum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tervezési fázis 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tervdokumentumok előállítása 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Mutatószámigény specifikáció; Riportigény specifikáció; Üzleti adatszótár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tervezési fázis III.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tervdokumentumok előállítása 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Logikai rendszerterv; Fizikai Rendszerterv; Interfészspecifikációk; Tesztelési stratégia; Tesztelési terv; Migrációs stratégia; Migrációs terv; Oktatási stratégia; Oktatási terv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984CBC" w:rsidRDefault="003053AF">
            <w:pPr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984CBC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  <w:t>tervezési fázis IV.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984CBC" w:rsidRDefault="003053AF">
            <w:pPr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984CBC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  <w:t>Pilot, éles üzem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984CBC" w:rsidRDefault="003053AF">
            <w:pPr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984CBC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  <w:t>Pilotterv;</w:t>
            </w:r>
            <w:r w:rsidRPr="00984CBC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  <w:br/>
              <w:t>Éles átállási terv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984CBC" w:rsidRDefault="003053AF">
            <w:pPr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984CBC">
              <w:rPr>
                <w:rFonts w:asciiTheme="majorHAnsi" w:eastAsia="Times New Roman" w:hAnsiTheme="majorHAnsi" w:cs="Times New Roman"/>
                <w:color w:val="000000" w:themeColor="text1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KÖSZI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fejlesztés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Adatbázis létrehozása;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Interfészek elkészítése;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Adatbázis ősfeltöltés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KSZDR fejlesztés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Adattárház rétegek kialakítása;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</w: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logikai adatmodell és a forrásrendszeri adatok összerendelése; 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A forrásrendszeri interfészek fejlesztése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KÖSZI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fejlesztés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Adminisztrátori modulok fejlesztése;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Szervezeteket regisztráló/nyilvántartó modul;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 xml:space="preserve">Szervezettől érkező adatokat nyilvántartó modul; 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Szervezeti és személyi eseti adatgyűjtés - kérdőív-kitöltő modul;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Munkaköri Kataszter modul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KSZDR fejlesztés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Az adattárház ősfeltöltése;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</w: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KSZDR riporting réteg kialakítása;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Standard riportok elkészítése;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Önkiszolgáló eszköztár;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Vezetői információs felület kialakítása;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Intézményi tervező modul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Rendszertesztelések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Fejlesztői teszt;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Funkcionális teszt;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Migrációs tesztek;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Integrációs teszt;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Teljesítmény és terheléses teszt;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Mentés-visszaállítási teszt;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Elfogadói teszt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Dokumentumok elkészítése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Felhasználói kézikönyvek;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Telepítési leírás;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Forráskód;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Fejlesztői leírás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Oktatás</w:t>
            </w:r>
          </w:p>
        </w:tc>
        <w:tc>
          <w:tcPr>
            <w:tcW w:w="4064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Központi munkatársak oktatása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III.</w:t>
            </w:r>
          </w:p>
        </w:tc>
        <w:tc>
          <w:tcPr>
            <w:tcW w:w="1890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Pilot lebonyolítása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Rendszerek telepítése;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Alapadatok feltöltése;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Pilot eredményének elemzése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fejlesztési fázis III.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Éles üzem</w:t>
            </w:r>
          </w:p>
        </w:tc>
        <w:tc>
          <w:tcPr>
            <w:tcW w:w="4064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Éles beüzemelés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KSZDR licence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Fejlesztéshez szükséges licencek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Fejlesztői keretrendszer;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Beépített komponensek;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Egyéb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lastRenderedPageBreak/>
              <w:t>KSZDR licence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Üzemeltetéshez szükséges licencek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Operációs rendszerek;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Adatbázis kezelők;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Egyéb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KÖSZI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licence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Üzemeltetéshez szükséges licencek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Operációs rendszerek;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Adatbázis kezelők;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Egyéb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984CBC">
        <w:trPr>
          <w:trHeight w:val="20"/>
        </w:trPr>
        <w:tc>
          <w:tcPr>
            <w:tcW w:w="1396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KÖSZI</w:t>
            </w:r>
            <w:proofErr w:type="gramEnd"/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 xml:space="preserve"> licence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Fejlesztéshez szükséges licencek</w:t>
            </w:r>
          </w:p>
        </w:tc>
        <w:tc>
          <w:tcPr>
            <w:tcW w:w="4064" w:type="dxa"/>
            <w:shd w:val="clear" w:color="auto" w:fill="auto"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Fejlesztői keretrendszer;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Beépített komponensek;</w:t>
            </w: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br/>
              <w:t>Egyéb</w:t>
            </w:r>
          </w:p>
        </w:tc>
        <w:tc>
          <w:tcPr>
            <w:tcW w:w="2080" w:type="dxa"/>
            <w:shd w:val="clear" w:color="auto" w:fill="auto"/>
            <w:noWrap/>
            <w:hideMark/>
          </w:tcPr>
          <w:p w:rsidR="003053AF" w:rsidRPr="003053AF" w:rsidRDefault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 w:rsidRPr="003053AF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3053AF" w:rsidRPr="003053AF" w:rsidTr="003053AF">
        <w:trPr>
          <w:trHeight w:val="20"/>
        </w:trPr>
        <w:tc>
          <w:tcPr>
            <w:tcW w:w="7350" w:type="dxa"/>
            <w:gridSpan w:val="3"/>
            <w:shd w:val="clear" w:color="auto" w:fill="auto"/>
            <w:noWrap/>
          </w:tcPr>
          <w:p w:rsidR="003053AF" w:rsidRPr="003053AF" w:rsidRDefault="003053AF" w:rsidP="00984CBC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  <w:t>Mindösszesen:</w:t>
            </w:r>
          </w:p>
        </w:tc>
        <w:tc>
          <w:tcPr>
            <w:tcW w:w="2080" w:type="dxa"/>
            <w:shd w:val="clear" w:color="auto" w:fill="auto"/>
            <w:noWrap/>
          </w:tcPr>
          <w:p w:rsidR="003053AF" w:rsidRPr="003053AF" w:rsidRDefault="003053AF" w:rsidP="003053AF">
            <w:pP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3053AF" w:rsidRDefault="003053AF" w:rsidP="004D07F3"/>
    <w:p w:rsidR="004D07F3" w:rsidRDefault="004D07F3"/>
    <w:sectPr w:rsidR="004D07F3" w:rsidSect="00984CB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C17"/>
    <w:multiLevelType w:val="hybridMultilevel"/>
    <w:tmpl w:val="183C2A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B34D2"/>
    <w:multiLevelType w:val="hybridMultilevel"/>
    <w:tmpl w:val="CFEC340C"/>
    <w:lvl w:ilvl="0" w:tplc="257690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6271F"/>
    <w:multiLevelType w:val="hybridMultilevel"/>
    <w:tmpl w:val="183C2A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13B98"/>
    <w:multiLevelType w:val="hybridMultilevel"/>
    <w:tmpl w:val="183C2A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568D0"/>
    <w:multiLevelType w:val="hybridMultilevel"/>
    <w:tmpl w:val="713EC7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5334F"/>
    <w:multiLevelType w:val="hybridMultilevel"/>
    <w:tmpl w:val="4E58DA72"/>
    <w:lvl w:ilvl="0" w:tplc="EAD6D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F3"/>
    <w:rsid w:val="0002326C"/>
    <w:rsid w:val="0004116F"/>
    <w:rsid w:val="000F7673"/>
    <w:rsid w:val="0015097E"/>
    <w:rsid w:val="00226898"/>
    <w:rsid w:val="00237C7B"/>
    <w:rsid w:val="003053AF"/>
    <w:rsid w:val="00487895"/>
    <w:rsid w:val="004D06BD"/>
    <w:rsid w:val="004D07F3"/>
    <w:rsid w:val="004F0533"/>
    <w:rsid w:val="00540397"/>
    <w:rsid w:val="006024F5"/>
    <w:rsid w:val="006624BE"/>
    <w:rsid w:val="006C735E"/>
    <w:rsid w:val="00794641"/>
    <w:rsid w:val="00820A1D"/>
    <w:rsid w:val="00960361"/>
    <w:rsid w:val="00984CBC"/>
    <w:rsid w:val="009D1A69"/>
    <w:rsid w:val="00BC4AA0"/>
    <w:rsid w:val="00E92EAB"/>
    <w:rsid w:val="00EB3443"/>
    <w:rsid w:val="00EC482D"/>
    <w:rsid w:val="00ED6EDE"/>
    <w:rsid w:val="00F1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76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07F3"/>
    <w:pPr>
      <w:ind w:left="720"/>
      <w:contextualSpacing/>
    </w:pPr>
  </w:style>
  <w:style w:type="table" w:styleId="Rcsostblzat">
    <w:name w:val="Table Grid"/>
    <w:basedOn w:val="Normltblzat"/>
    <w:uiPriority w:val="59"/>
    <w:rsid w:val="004D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053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53A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984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76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07F3"/>
    <w:pPr>
      <w:ind w:left="720"/>
      <w:contextualSpacing/>
    </w:pPr>
  </w:style>
  <w:style w:type="table" w:styleId="Rcsostblzat">
    <w:name w:val="Table Grid"/>
    <w:basedOn w:val="Normltblzat"/>
    <w:uiPriority w:val="59"/>
    <w:rsid w:val="004D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053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53A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984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FB461-4E69-47CE-BFD0-56E474EF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brsoft</dc:creator>
  <cp:lastModifiedBy>Balogh Csaba</cp:lastModifiedBy>
  <cp:revision>2</cp:revision>
  <dcterms:created xsi:type="dcterms:W3CDTF">2018-04-16T11:38:00Z</dcterms:created>
  <dcterms:modified xsi:type="dcterms:W3CDTF">2018-04-16T11:38:00Z</dcterms:modified>
</cp:coreProperties>
</file>