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453" w:rsidRPr="00D936F2" w:rsidRDefault="00394453" w:rsidP="00D936F2">
      <w:pPr>
        <w:spacing w:after="0" w:line="240" w:lineRule="auto"/>
        <w:jc w:val="center"/>
        <w:rPr>
          <w:rFonts w:ascii="Times New Roman" w:hAnsi="Times New Roman" w:cs="Times New Roman"/>
          <w:b/>
          <w:sz w:val="24"/>
          <w:szCs w:val="24"/>
        </w:rPr>
      </w:pPr>
      <w:r w:rsidRPr="00D936F2">
        <w:rPr>
          <w:rFonts w:ascii="Times New Roman" w:hAnsi="Times New Roman" w:cs="Times New Roman"/>
          <w:b/>
          <w:sz w:val="24"/>
          <w:szCs w:val="24"/>
        </w:rPr>
        <w:t xml:space="preserve">TÁJÉKOZTATÓ </w:t>
      </w:r>
    </w:p>
    <w:p w:rsidR="003664CC" w:rsidRDefault="00357A98" w:rsidP="00D936F2">
      <w:pPr>
        <w:spacing w:after="0" w:line="240" w:lineRule="auto"/>
        <w:jc w:val="center"/>
        <w:rPr>
          <w:rFonts w:ascii="Times New Roman" w:hAnsi="Times New Roman" w:cs="Times New Roman"/>
          <w:b/>
          <w:sz w:val="24"/>
          <w:szCs w:val="24"/>
        </w:rPr>
      </w:pPr>
      <w:r w:rsidRPr="00D936F2">
        <w:rPr>
          <w:rFonts w:ascii="Times New Roman" w:hAnsi="Times New Roman" w:cs="Times New Roman"/>
          <w:b/>
          <w:sz w:val="24"/>
          <w:szCs w:val="24"/>
        </w:rPr>
        <w:t xml:space="preserve">A </w:t>
      </w:r>
      <w:r w:rsidRPr="002B11CA">
        <w:rPr>
          <w:rFonts w:ascii="Times New Roman" w:hAnsi="Times New Roman" w:cs="Times New Roman"/>
          <w:b/>
          <w:sz w:val="24"/>
          <w:szCs w:val="24"/>
        </w:rPr>
        <w:t xml:space="preserve">FELELŐS JÁTÉKSZERVEZÉSI TEVÉKENYSÉG TÁMOGATÁSA </w:t>
      </w:r>
    </w:p>
    <w:p w:rsidR="00357A98" w:rsidRDefault="00357A98" w:rsidP="00D936F2">
      <w:pPr>
        <w:spacing w:after="0" w:line="240" w:lineRule="auto"/>
        <w:jc w:val="center"/>
        <w:rPr>
          <w:rFonts w:ascii="Times New Roman" w:hAnsi="Times New Roman" w:cs="Times New Roman"/>
          <w:b/>
          <w:sz w:val="24"/>
          <w:szCs w:val="24"/>
        </w:rPr>
      </w:pPr>
      <w:r w:rsidRPr="002B11CA">
        <w:rPr>
          <w:rFonts w:ascii="Times New Roman" w:hAnsi="Times New Roman" w:cs="Times New Roman"/>
          <w:b/>
          <w:sz w:val="24"/>
          <w:szCs w:val="24"/>
        </w:rPr>
        <w:t>FEJEZETI KEZELÉSŰ ELŐIRÁNYZAT</w:t>
      </w:r>
    </w:p>
    <w:p w:rsidR="00545A16" w:rsidRPr="00D936F2" w:rsidRDefault="00357A98" w:rsidP="00D936F2">
      <w:pPr>
        <w:spacing w:after="0" w:line="240" w:lineRule="auto"/>
        <w:jc w:val="center"/>
        <w:rPr>
          <w:rFonts w:ascii="Times New Roman" w:hAnsi="Times New Roman" w:cs="Times New Roman"/>
          <w:b/>
          <w:sz w:val="24"/>
          <w:szCs w:val="24"/>
        </w:rPr>
      </w:pPr>
      <w:r w:rsidRPr="00D936F2">
        <w:rPr>
          <w:rFonts w:ascii="Times New Roman" w:hAnsi="Times New Roman" w:cs="Times New Roman"/>
          <w:b/>
          <w:sz w:val="24"/>
          <w:szCs w:val="24"/>
        </w:rPr>
        <w:t xml:space="preserve">2017. ÉVI </w:t>
      </w:r>
      <w:r w:rsidR="00394453" w:rsidRPr="00D936F2">
        <w:rPr>
          <w:rFonts w:ascii="Times New Roman" w:hAnsi="Times New Roman" w:cs="Times New Roman"/>
          <w:b/>
          <w:sz w:val="24"/>
          <w:szCs w:val="24"/>
        </w:rPr>
        <w:t>FELHASZNÁLÁSÁRÓL</w:t>
      </w:r>
    </w:p>
    <w:p w:rsidR="00162797" w:rsidRPr="00D936F2" w:rsidRDefault="00162797" w:rsidP="00D936F2">
      <w:pPr>
        <w:spacing w:line="240" w:lineRule="auto"/>
        <w:jc w:val="both"/>
        <w:rPr>
          <w:rFonts w:ascii="Times New Roman" w:hAnsi="Times New Roman" w:cs="Times New Roman"/>
          <w:sz w:val="24"/>
          <w:szCs w:val="24"/>
        </w:rPr>
      </w:pPr>
    </w:p>
    <w:p w:rsidR="007B51C7" w:rsidRPr="00D936F2" w:rsidRDefault="007B51C7" w:rsidP="00D936F2">
      <w:pPr>
        <w:spacing w:line="240" w:lineRule="auto"/>
        <w:jc w:val="both"/>
        <w:rPr>
          <w:rFonts w:ascii="Times New Roman" w:hAnsi="Times New Roman" w:cs="Times New Roman"/>
          <w:b/>
          <w:sz w:val="24"/>
          <w:szCs w:val="24"/>
          <w:u w:val="single"/>
        </w:rPr>
      </w:pPr>
      <w:r w:rsidRPr="00D936F2">
        <w:rPr>
          <w:rFonts w:ascii="Times New Roman" w:hAnsi="Times New Roman" w:cs="Times New Roman"/>
          <w:b/>
          <w:sz w:val="24"/>
          <w:szCs w:val="24"/>
          <w:u w:val="single"/>
        </w:rPr>
        <w:t xml:space="preserve">1. A </w:t>
      </w:r>
      <w:r w:rsidR="00357A98" w:rsidRPr="003664CC">
        <w:rPr>
          <w:rFonts w:ascii="Times New Roman" w:hAnsi="Times New Roman" w:cs="Times New Roman"/>
          <w:b/>
          <w:sz w:val="24"/>
          <w:szCs w:val="24"/>
          <w:u w:val="single"/>
        </w:rPr>
        <w:t>Felelős játékszervezési tevékenység támogatása fejezeti kezelésű előirányzat</w:t>
      </w:r>
      <w:r w:rsidR="00357A98">
        <w:rPr>
          <w:rFonts w:ascii="Times New Roman" w:hAnsi="Times New Roman" w:cs="Times New Roman"/>
          <w:b/>
          <w:sz w:val="24"/>
          <w:szCs w:val="24"/>
          <w:u w:val="single"/>
        </w:rPr>
        <w:t xml:space="preserve"> </w:t>
      </w:r>
      <w:r w:rsidRPr="00D936F2">
        <w:rPr>
          <w:rFonts w:ascii="Times New Roman" w:hAnsi="Times New Roman" w:cs="Times New Roman"/>
          <w:b/>
          <w:sz w:val="24"/>
          <w:szCs w:val="24"/>
          <w:u w:val="single"/>
        </w:rPr>
        <w:t xml:space="preserve">2017. évi felhasználásának jogszabályi háttere </w:t>
      </w:r>
    </w:p>
    <w:p w:rsidR="00394453" w:rsidRPr="00882B83" w:rsidRDefault="00394453" w:rsidP="00D936F2">
      <w:pPr>
        <w:spacing w:line="240" w:lineRule="auto"/>
        <w:jc w:val="both"/>
        <w:rPr>
          <w:rFonts w:ascii="Times New Roman" w:hAnsi="Times New Roman" w:cs="Times New Roman"/>
          <w:sz w:val="24"/>
          <w:szCs w:val="24"/>
        </w:rPr>
      </w:pPr>
      <w:r w:rsidRPr="00D936F2">
        <w:rPr>
          <w:rFonts w:ascii="Times New Roman" w:hAnsi="Times New Roman" w:cs="Times New Roman"/>
          <w:sz w:val="24"/>
          <w:szCs w:val="24"/>
        </w:rPr>
        <w:t>A szerencsejáték szervezéséről szóló 1991. évi XXXIV. törvény (</w:t>
      </w:r>
      <w:r w:rsidR="001C4F5B" w:rsidRPr="00D936F2">
        <w:rPr>
          <w:rFonts w:ascii="Times New Roman" w:hAnsi="Times New Roman" w:cs="Times New Roman"/>
          <w:sz w:val="24"/>
          <w:szCs w:val="24"/>
        </w:rPr>
        <w:t xml:space="preserve">a továbbiakban: </w:t>
      </w:r>
      <w:proofErr w:type="spellStart"/>
      <w:r w:rsidRPr="00882B83">
        <w:rPr>
          <w:rFonts w:ascii="Times New Roman" w:hAnsi="Times New Roman" w:cs="Times New Roman"/>
          <w:sz w:val="24"/>
          <w:szCs w:val="24"/>
        </w:rPr>
        <w:t>Szjtv</w:t>
      </w:r>
      <w:proofErr w:type="spellEnd"/>
      <w:r w:rsidRPr="00882B83">
        <w:rPr>
          <w:rFonts w:ascii="Times New Roman" w:hAnsi="Times New Roman" w:cs="Times New Roman"/>
          <w:sz w:val="24"/>
          <w:szCs w:val="24"/>
        </w:rPr>
        <w:t xml:space="preserve">.) 35. § (4) bekezdése alapján </w:t>
      </w:r>
      <w:r w:rsidRPr="00882B83">
        <w:rPr>
          <w:rFonts w:ascii="Times New Roman" w:hAnsi="Times New Roman" w:cs="Times New Roman"/>
          <w:b/>
          <w:sz w:val="24"/>
          <w:szCs w:val="24"/>
        </w:rPr>
        <w:t xml:space="preserve">a játékkaszinók, online kaszinók játékadója 3%-át 2016. január 1-től </w:t>
      </w:r>
      <w:proofErr w:type="spellStart"/>
      <w:r w:rsidRPr="00882B83">
        <w:rPr>
          <w:rFonts w:ascii="Times New Roman" w:hAnsi="Times New Roman" w:cs="Times New Roman"/>
          <w:b/>
          <w:sz w:val="24"/>
          <w:szCs w:val="24"/>
        </w:rPr>
        <w:t>játékosvédelmi</w:t>
      </w:r>
      <w:proofErr w:type="spellEnd"/>
      <w:r w:rsidRPr="00882B83">
        <w:rPr>
          <w:rFonts w:ascii="Times New Roman" w:hAnsi="Times New Roman" w:cs="Times New Roman"/>
          <w:b/>
          <w:sz w:val="24"/>
          <w:szCs w:val="24"/>
        </w:rPr>
        <w:t xml:space="preserve"> vagy karitatív célra kell fordítani</w:t>
      </w:r>
      <w:r w:rsidRPr="00882B83">
        <w:rPr>
          <w:rFonts w:ascii="Times New Roman" w:hAnsi="Times New Roman" w:cs="Times New Roman"/>
          <w:sz w:val="24"/>
          <w:szCs w:val="24"/>
        </w:rPr>
        <w:t xml:space="preserve">. A törvényi rendelkezés alkalmazásában </w:t>
      </w:r>
      <w:proofErr w:type="spellStart"/>
      <w:r w:rsidRPr="00882B83">
        <w:rPr>
          <w:rFonts w:ascii="Times New Roman" w:hAnsi="Times New Roman" w:cs="Times New Roman"/>
          <w:sz w:val="24"/>
          <w:szCs w:val="24"/>
        </w:rPr>
        <w:t>játékosvédelmi</w:t>
      </w:r>
      <w:proofErr w:type="spellEnd"/>
      <w:r w:rsidRPr="00882B83">
        <w:rPr>
          <w:rFonts w:ascii="Times New Roman" w:hAnsi="Times New Roman" w:cs="Times New Roman"/>
          <w:sz w:val="24"/>
          <w:szCs w:val="24"/>
        </w:rPr>
        <w:t xml:space="preserve"> célnak minősül különösen a játékosok által ingyenesen, 0-24 óra között hívható telefonos ügyfélszolgálat (zöld szám) fenntartása, a játékosok részére a szociális ellátórendszer keretében elérhető közösségi ellátásokról szóló figyelemfelhívó, illetve folyamatos tájékoztatás biztosítása, valamint a szerencsejátékkal kapcsolatos, esetleges káros mentális, pszichikai vagy szociális hatások megelőzése, kezelése.</w:t>
      </w:r>
    </w:p>
    <w:p w:rsidR="00394453" w:rsidRPr="00504619" w:rsidRDefault="00394453" w:rsidP="003664CC">
      <w:pPr>
        <w:spacing w:line="240" w:lineRule="auto"/>
        <w:jc w:val="both"/>
        <w:rPr>
          <w:b/>
          <w:sz w:val="24"/>
          <w:szCs w:val="24"/>
        </w:rPr>
      </w:pPr>
      <w:r w:rsidRPr="003664CC">
        <w:rPr>
          <w:rFonts w:ascii="Times New Roman" w:hAnsi="Times New Roman" w:cs="Times New Roman"/>
          <w:sz w:val="24"/>
          <w:szCs w:val="24"/>
        </w:rPr>
        <w:t xml:space="preserve">A Magyarország 2017. évi központi költségvetéséről szóló 2016. évi XC. törvény </w:t>
      </w:r>
      <w:r w:rsidR="0017480A" w:rsidRPr="003664CC">
        <w:rPr>
          <w:rFonts w:ascii="Times New Roman" w:hAnsi="Times New Roman" w:cs="Times New Roman"/>
          <w:sz w:val="24"/>
          <w:szCs w:val="24"/>
        </w:rPr>
        <w:t>(</w:t>
      </w:r>
      <w:r w:rsidR="001C4F5B" w:rsidRPr="003664CC">
        <w:rPr>
          <w:rFonts w:ascii="Times New Roman" w:hAnsi="Times New Roman" w:cs="Times New Roman"/>
          <w:sz w:val="24"/>
          <w:szCs w:val="24"/>
        </w:rPr>
        <w:t xml:space="preserve">a továbbiakban: </w:t>
      </w:r>
      <w:r w:rsidR="0017480A" w:rsidRPr="003664CC">
        <w:rPr>
          <w:rFonts w:ascii="Times New Roman" w:hAnsi="Times New Roman" w:cs="Times New Roman"/>
          <w:sz w:val="24"/>
          <w:szCs w:val="24"/>
        </w:rPr>
        <w:t xml:space="preserve">Ktv.) </w:t>
      </w:r>
      <w:r w:rsidRPr="003664CC">
        <w:rPr>
          <w:rFonts w:ascii="Times New Roman" w:hAnsi="Times New Roman" w:cs="Times New Roman"/>
          <w:sz w:val="24"/>
          <w:szCs w:val="24"/>
        </w:rPr>
        <w:t xml:space="preserve">25. § (2) bekezdése és az 1. melléklet XV. </w:t>
      </w:r>
      <w:r w:rsidR="00D936F2" w:rsidRPr="003664CC">
        <w:rPr>
          <w:rFonts w:ascii="Times New Roman" w:hAnsi="Times New Roman" w:cs="Times New Roman"/>
          <w:sz w:val="24"/>
          <w:szCs w:val="24"/>
        </w:rPr>
        <w:t>Nemzetgazdas</w:t>
      </w:r>
      <w:r w:rsidR="00D936F2" w:rsidRPr="003664CC">
        <w:rPr>
          <w:rFonts w:ascii="Times New Roman" w:hAnsi="Times New Roman" w:cs="Times New Roman" w:hint="eastAsia"/>
          <w:sz w:val="24"/>
          <w:szCs w:val="24"/>
        </w:rPr>
        <w:t>á</w:t>
      </w:r>
      <w:r w:rsidR="00D936F2" w:rsidRPr="003664CC">
        <w:rPr>
          <w:rFonts w:ascii="Times New Roman" w:hAnsi="Times New Roman" w:cs="Times New Roman"/>
          <w:sz w:val="24"/>
          <w:szCs w:val="24"/>
        </w:rPr>
        <w:t>gi Miniszt</w:t>
      </w:r>
      <w:r w:rsidR="00D936F2" w:rsidRPr="003664CC">
        <w:rPr>
          <w:rFonts w:ascii="Times New Roman" w:hAnsi="Times New Roman" w:cs="Times New Roman" w:hint="eastAsia"/>
          <w:sz w:val="24"/>
          <w:szCs w:val="24"/>
        </w:rPr>
        <w:t>é</w:t>
      </w:r>
      <w:r w:rsidR="00D936F2" w:rsidRPr="003664CC">
        <w:rPr>
          <w:rFonts w:ascii="Times New Roman" w:hAnsi="Times New Roman" w:cs="Times New Roman"/>
          <w:sz w:val="24"/>
          <w:szCs w:val="24"/>
        </w:rPr>
        <w:t xml:space="preserve">rium </w:t>
      </w:r>
      <w:r w:rsidRPr="003664CC">
        <w:rPr>
          <w:rFonts w:ascii="Times New Roman" w:hAnsi="Times New Roman" w:cs="Times New Roman"/>
          <w:sz w:val="24"/>
          <w:szCs w:val="24"/>
        </w:rPr>
        <w:t>fejezet</w:t>
      </w:r>
      <w:r w:rsidR="00D936F2" w:rsidRPr="003664CC">
        <w:rPr>
          <w:rFonts w:ascii="Times New Roman" w:hAnsi="Times New Roman" w:cs="Times New Roman"/>
          <w:sz w:val="24"/>
          <w:szCs w:val="24"/>
        </w:rPr>
        <w:t>,</w:t>
      </w:r>
      <w:r w:rsidRPr="003664CC">
        <w:rPr>
          <w:rFonts w:ascii="Times New Roman" w:hAnsi="Times New Roman" w:cs="Times New Roman"/>
          <w:sz w:val="24"/>
          <w:szCs w:val="24"/>
        </w:rPr>
        <w:t xml:space="preserve"> 25. cím</w:t>
      </w:r>
      <w:r w:rsidR="00D936F2" w:rsidRPr="003664CC">
        <w:rPr>
          <w:rFonts w:ascii="Times New Roman" w:hAnsi="Times New Roman" w:cs="Times New Roman"/>
          <w:sz w:val="24"/>
          <w:szCs w:val="24"/>
        </w:rPr>
        <w:t>, 2. alc</w:t>
      </w:r>
      <w:r w:rsidR="00D936F2" w:rsidRPr="003664CC">
        <w:rPr>
          <w:rFonts w:ascii="Times New Roman" w:hAnsi="Times New Roman" w:cs="Times New Roman" w:hint="eastAsia"/>
          <w:sz w:val="24"/>
          <w:szCs w:val="24"/>
        </w:rPr>
        <w:t>í</w:t>
      </w:r>
      <w:r w:rsidR="00D936F2" w:rsidRPr="003664CC">
        <w:rPr>
          <w:rFonts w:ascii="Times New Roman" w:hAnsi="Times New Roman" w:cs="Times New Roman"/>
          <w:sz w:val="24"/>
          <w:szCs w:val="24"/>
        </w:rPr>
        <w:t xml:space="preserve">m, 8. </w:t>
      </w:r>
      <w:r w:rsidR="00D936F2" w:rsidRPr="003664CC">
        <w:rPr>
          <w:rFonts w:ascii="Times New Roman" w:hAnsi="Times New Roman" w:cs="Times New Roman"/>
          <w:b/>
          <w:sz w:val="24"/>
          <w:szCs w:val="24"/>
        </w:rPr>
        <w:t>Felel</w:t>
      </w:r>
      <w:r w:rsidR="00D936F2" w:rsidRPr="003664CC">
        <w:rPr>
          <w:rFonts w:ascii="Times New Roman" w:hAnsi="Times New Roman" w:cs="Times New Roman" w:hint="eastAsia"/>
          <w:b/>
          <w:sz w:val="24"/>
          <w:szCs w:val="24"/>
        </w:rPr>
        <w:t>ő</w:t>
      </w:r>
      <w:r w:rsidR="00D936F2" w:rsidRPr="003664CC">
        <w:rPr>
          <w:rFonts w:ascii="Times New Roman" w:hAnsi="Times New Roman" w:cs="Times New Roman"/>
          <w:b/>
          <w:sz w:val="24"/>
          <w:szCs w:val="24"/>
        </w:rPr>
        <w:t>s j</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t</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kszervez</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si tev</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kenys</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g t</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mogat</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sa jogc</w:t>
      </w:r>
      <w:r w:rsidR="00D936F2" w:rsidRPr="003664CC">
        <w:rPr>
          <w:rFonts w:ascii="Times New Roman" w:hAnsi="Times New Roman" w:cs="Times New Roman" w:hint="eastAsia"/>
          <w:b/>
          <w:sz w:val="24"/>
          <w:szCs w:val="24"/>
        </w:rPr>
        <w:t>í</w:t>
      </w:r>
      <w:r w:rsidR="00D936F2" w:rsidRPr="003664CC">
        <w:rPr>
          <w:rFonts w:ascii="Times New Roman" w:hAnsi="Times New Roman" w:cs="Times New Roman"/>
          <w:b/>
          <w:sz w:val="24"/>
          <w:szCs w:val="24"/>
        </w:rPr>
        <w:t>mcsoport kiad</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si el</w:t>
      </w:r>
      <w:r w:rsidR="00D936F2" w:rsidRPr="003664CC">
        <w:rPr>
          <w:rFonts w:ascii="Times New Roman" w:hAnsi="Times New Roman" w:cs="Times New Roman" w:hint="eastAsia"/>
          <w:b/>
          <w:sz w:val="24"/>
          <w:szCs w:val="24"/>
        </w:rPr>
        <w:t>ő</w:t>
      </w:r>
      <w:r w:rsidR="00D936F2" w:rsidRPr="003664CC">
        <w:rPr>
          <w:rFonts w:ascii="Times New Roman" w:hAnsi="Times New Roman" w:cs="Times New Roman"/>
          <w:b/>
          <w:sz w:val="24"/>
          <w:szCs w:val="24"/>
        </w:rPr>
        <w:t>ir</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nyzata biztos</w:t>
      </w:r>
      <w:r w:rsidR="00D936F2" w:rsidRPr="003664CC">
        <w:rPr>
          <w:rFonts w:ascii="Times New Roman" w:hAnsi="Times New Roman" w:cs="Times New Roman" w:hint="eastAsia"/>
          <w:b/>
          <w:sz w:val="24"/>
          <w:szCs w:val="24"/>
        </w:rPr>
        <w:t>í</w:t>
      </w:r>
      <w:r w:rsidR="00D936F2" w:rsidRPr="003664CC">
        <w:rPr>
          <w:rFonts w:ascii="Times New Roman" w:hAnsi="Times New Roman" w:cs="Times New Roman"/>
          <w:b/>
          <w:sz w:val="24"/>
          <w:szCs w:val="24"/>
        </w:rPr>
        <w:t xml:space="preserve">tja az </w:t>
      </w:r>
      <w:proofErr w:type="spellStart"/>
      <w:r w:rsidR="00D936F2" w:rsidRPr="003664CC">
        <w:rPr>
          <w:rFonts w:ascii="Times New Roman" w:hAnsi="Times New Roman" w:cs="Times New Roman"/>
          <w:b/>
          <w:sz w:val="24"/>
          <w:szCs w:val="24"/>
        </w:rPr>
        <w:t>Szjtv</w:t>
      </w:r>
      <w:proofErr w:type="spellEnd"/>
      <w:r w:rsidR="00D936F2" w:rsidRPr="003664CC">
        <w:rPr>
          <w:rFonts w:ascii="Times New Roman" w:hAnsi="Times New Roman" w:cs="Times New Roman"/>
          <w:b/>
          <w:sz w:val="24"/>
          <w:szCs w:val="24"/>
        </w:rPr>
        <w:t xml:space="preserve">. 35. </w:t>
      </w:r>
      <w:r w:rsidR="00D936F2" w:rsidRPr="003664CC">
        <w:rPr>
          <w:rFonts w:ascii="Times New Roman" w:hAnsi="Times New Roman" w:cs="Times New Roman" w:hint="eastAsia"/>
          <w:b/>
          <w:sz w:val="24"/>
          <w:szCs w:val="24"/>
        </w:rPr>
        <w:t>§</w:t>
      </w:r>
      <w:r w:rsidR="00D936F2" w:rsidRPr="003664CC">
        <w:rPr>
          <w:rFonts w:ascii="Times New Roman" w:hAnsi="Times New Roman" w:cs="Times New Roman"/>
          <w:b/>
          <w:sz w:val="24"/>
          <w:szCs w:val="24"/>
        </w:rPr>
        <w:t xml:space="preserve"> (4) </w:t>
      </w:r>
      <w:proofErr w:type="gramStart"/>
      <w:r w:rsidR="00D936F2" w:rsidRPr="003664CC">
        <w:rPr>
          <w:rFonts w:ascii="Times New Roman" w:hAnsi="Times New Roman" w:cs="Times New Roman"/>
          <w:b/>
          <w:sz w:val="24"/>
          <w:szCs w:val="24"/>
        </w:rPr>
        <w:t>bekezd</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s</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ben</w:t>
      </w:r>
      <w:proofErr w:type="gramEnd"/>
      <w:r w:rsidR="00D936F2" w:rsidRPr="003664CC">
        <w:rPr>
          <w:rFonts w:ascii="Times New Roman" w:hAnsi="Times New Roman" w:cs="Times New Roman"/>
          <w:b/>
          <w:sz w:val="24"/>
          <w:szCs w:val="24"/>
        </w:rPr>
        <w:t xml:space="preserve"> meghat</w:t>
      </w:r>
      <w:r w:rsidR="00D936F2" w:rsidRPr="003664CC">
        <w:rPr>
          <w:rFonts w:ascii="Times New Roman" w:hAnsi="Times New Roman" w:cs="Times New Roman" w:hint="eastAsia"/>
          <w:b/>
          <w:sz w:val="24"/>
          <w:szCs w:val="24"/>
        </w:rPr>
        <w:t>á</w:t>
      </w:r>
      <w:r w:rsidR="00D936F2" w:rsidRPr="003664CC">
        <w:rPr>
          <w:rFonts w:ascii="Times New Roman" w:hAnsi="Times New Roman" w:cs="Times New Roman"/>
          <w:b/>
          <w:sz w:val="24"/>
          <w:szCs w:val="24"/>
        </w:rPr>
        <w:t>rozott c</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lok teljes</w:t>
      </w:r>
      <w:r w:rsidR="00D936F2" w:rsidRPr="003664CC">
        <w:rPr>
          <w:rFonts w:ascii="Times New Roman" w:hAnsi="Times New Roman" w:cs="Times New Roman" w:hint="eastAsia"/>
          <w:b/>
          <w:sz w:val="24"/>
          <w:szCs w:val="24"/>
        </w:rPr>
        <w:t>í</w:t>
      </w:r>
      <w:r w:rsidR="00D936F2" w:rsidRPr="003664CC">
        <w:rPr>
          <w:rFonts w:ascii="Times New Roman" w:hAnsi="Times New Roman" w:cs="Times New Roman"/>
          <w:b/>
          <w:sz w:val="24"/>
          <w:szCs w:val="24"/>
        </w:rPr>
        <w:t>t</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s</w:t>
      </w:r>
      <w:r w:rsidR="00D936F2" w:rsidRPr="003664CC">
        <w:rPr>
          <w:rFonts w:ascii="Times New Roman" w:hAnsi="Times New Roman" w:cs="Times New Roman" w:hint="eastAsia"/>
          <w:b/>
          <w:sz w:val="24"/>
          <w:szCs w:val="24"/>
        </w:rPr>
        <w:t>é</w:t>
      </w:r>
      <w:r w:rsidR="00D936F2" w:rsidRPr="003664CC">
        <w:rPr>
          <w:rFonts w:ascii="Times New Roman" w:hAnsi="Times New Roman" w:cs="Times New Roman"/>
          <w:b/>
          <w:sz w:val="24"/>
          <w:szCs w:val="24"/>
        </w:rPr>
        <w:t>t, amelyet</w:t>
      </w:r>
      <w:r w:rsidRPr="003664CC">
        <w:rPr>
          <w:rFonts w:ascii="Times New Roman" w:hAnsi="Times New Roman" w:cs="Times New Roman"/>
          <w:b/>
          <w:sz w:val="24"/>
          <w:szCs w:val="24"/>
        </w:rPr>
        <w:t xml:space="preserve"> a felelős játékszervezés részletes szabályairól szóló 329/2015. (XI. 10.) Korm. rendelet </w:t>
      </w:r>
      <w:r w:rsidR="00DE47BF" w:rsidRPr="003664CC">
        <w:rPr>
          <w:rFonts w:ascii="Times New Roman" w:hAnsi="Times New Roman" w:cs="Times New Roman"/>
          <w:b/>
          <w:sz w:val="24"/>
          <w:szCs w:val="24"/>
        </w:rPr>
        <w:t>(</w:t>
      </w:r>
      <w:r w:rsidR="00C17CE3" w:rsidRPr="003664CC">
        <w:rPr>
          <w:rFonts w:ascii="Times New Roman" w:hAnsi="Times New Roman" w:cs="Times New Roman"/>
          <w:b/>
          <w:sz w:val="24"/>
          <w:szCs w:val="24"/>
        </w:rPr>
        <w:t xml:space="preserve">a továbbiakban: </w:t>
      </w:r>
      <w:r w:rsidR="00DE47BF" w:rsidRPr="003664CC">
        <w:rPr>
          <w:rFonts w:ascii="Times New Roman" w:hAnsi="Times New Roman" w:cs="Times New Roman"/>
          <w:b/>
          <w:sz w:val="24"/>
          <w:szCs w:val="24"/>
        </w:rPr>
        <w:t>K</w:t>
      </w:r>
      <w:r w:rsidR="00303BB5">
        <w:rPr>
          <w:rFonts w:ascii="Times New Roman" w:hAnsi="Times New Roman" w:cs="Times New Roman"/>
          <w:b/>
          <w:sz w:val="24"/>
          <w:szCs w:val="24"/>
        </w:rPr>
        <w:t>o</w:t>
      </w:r>
      <w:r w:rsidR="00DE47BF" w:rsidRPr="003664CC">
        <w:rPr>
          <w:rFonts w:ascii="Times New Roman" w:hAnsi="Times New Roman" w:cs="Times New Roman"/>
          <w:b/>
          <w:sz w:val="24"/>
          <w:szCs w:val="24"/>
        </w:rPr>
        <w:t>r</w:t>
      </w:r>
      <w:r w:rsidR="00303BB5">
        <w:rPr>
          <w:rFonts w:ascii="Times New Roman" w:hAnsi="Times New Roman" w:cs="Times New Roman"/>
          <w:b/>
          <w:sz w:val="24"/>
          <w:szCs w:val="24"/>
        </w:rPr>
        <w:t>m</w:t>
      </w:r>
      <w:r w:rsidR="00DE47BF" w:rsidRPr="003664CC">
        <w:rPr>
          <w:rFonts w:ascii="Times New Roman" w:hAnsi="Times New Roman" w:cs="Times New Roman"/>
          <w:b/>
          <w:sz w:val="24"/>
          <w:szCs w:val="24"/>
        </w:rPr>
        <w:t>.</w:t>
      </w:r>
      <w:r w:rsidR="00303BB5">
        <w:rPr>
          <w:rFonts w:ascii="Times New Roman" w:hAnsi="Times New Roman" w:cs="Times New Roman"/>
          <w:b/>
          <w:sz w:val="24"/>
          <w:szCs w:val="24"/>
        </w:rPr>
        <w:t xml:space="preserve"> rendelet</w:t>
      </w:r>
      <w:r w:rsidR="00DE47BF" w:rsidRPr="003664CC">
        <w:rPr>
          <w:rFonts w:ascii="Times New Roman" w:hAnsi="Times New Roman" w:cs="Times New Roman"/>
          <w:b/>
          <w:sz w:val="24"/>
          <w:szCs w:val="24"/>
        </w:rPr>
        <w:t xml:space="preserve">) </w:t>
      </w:r>
      <w:r w:rsidRPr="003664CC">
        <w:rPr>
          <w:rFonts w:ascii="Times New Roman" w:hAnsi="Times New Roman" w:cs="Times New Roman"/>
          <w:b/>
          <w:sz w:val="24"/>
          <w:szCs w:val="24"/>
        </w:rPr>
        <w:t>vég</w:t>
      </w:r>
      <w:r w:rsidR="00DE47BF" w:rsidRPr="003664CC">
        <w:rPr>
          <w:rFonts w:ascii="Times New Roman" w:hAnsi="Times New Roman" w:cs="Times New Roman"/>
          <w:b/>
          <w:sz w:val="24"/>
          <w:szCs w:val="24"/>
        </w:rPr>
        <w:t>rehajtásához kell felhasználni.</w:t>
      </w:r>
    </w:p>
    <w:p w:rsidR="00C961F3" w:rsidRPr="00882B83" w:rsidRDefault="00C961F3" w:rsidP="00882B83">
      <w:pPr>
        <w:pStyle w:val="Lbjegyzetszveg"/>
        <w:jc w:val="both"/>
        <w:rPr>
          <w:sz w:val="24"/>
          <w:szCs w:val="24"/>
        </w:rPr>
      </w:pPr>
      <w:r w:rsidRPr="003664CC">
        <w:rPr>
          <w:rFonts w:eastAsiaTheme="minorHAnsi"/>
          <w:sz w:val="24"/>
          <w:szCs w:val="24"/>
          <w:lang w:eastAsia="en-US"/>
        </w:rPr>
        <w:t xml:space="preserve">A </w:t>
      </w:r>
      <w:r w:rsidR="00D936F2" w:rsidRPr="003664CC">
        <w:rPr>
          <w:rFonts w:eastAsiaTheme="minorHAnsi"/>
          <w:sz w:val="24"/>
          <w:szCs w:val="24"/>
          <w:lang w:eastAsia="en-US"/>
        </w:rPr>
        <w:t>Felel</w:t>
      </w:r>
      <w:r w:rsidR="00D936F2" w:rsidRPr="003664CC">
        <w:rPr>
          <w:rFonts w:eastAsiaTheme="minorHAnsi" w:hint="eastAsia"/>
          <w:sz w:val="24"/>
          <w:szCs w:val="24"/>
          <w:lang w:eastAsia="en-US"/>
        </w:rPr>
        <w:t>ő</w:t>
      </w:r>
      <w:r w:rsidR="00D936F2" w:rsidRPr="003664CC">
        <w:rPr>
          <w:rFonts w:eastAsiaTheme="minorHAnsi"/>
          <w:sz w:val="24"/>
          <w:szCs w:val="24"/>
          <w:lang w:eastAsia="en-US"/>
        </w:rPr>
        <w:t>s j</w:t>
      </w:r>
      <w:r w:rsidR="00D936F2" w:rsidRPr="003664CC">
        <w:rPr>
          <w:rFonts w:eastAsiaTheme="minorHAnsi" w:hint="eastAsia"/>
          <w:sz w:val="24"/>
          <w:szCs w:val="24"/>
          <w:lang w:eastAsia="en-US"/>
        </w:rPr>
        <w:t>á</w:t>
      </w:r>
      <w:r w:rsidR="00D936F2" w:rsidRPr="003664CC">
        <w:rPr>
          <w:rFonts w:eastAsiaTheme="minorHAnsi"/>
          <w:sz w:val="24"/>
          <w:szCs w:val="24"/>
          <w:lang w:eastAsia="en-US"/>
        </w:rPr>
        <w:t>t</w:t>
      </w:r>
      <w:r w:rsidR="00D936F2" w:rsidRPr="003664CC">
        <w:rPr>
          <w:rFonts w:eastAsiaTheme="minorHAnsi" w:hint="eastAsia"/>
          <w:sz w:val="24"/>
          <w:szCs w:val="24"/>
          <w:lang w:eastAsia="en-US"/>
        </w:rPr>
        <w:t>é</w:t>
      </w:r>
      <w:r w:rsidR="00D936F2" w:rsidRPr="003664CC">
        <w:rPr>
          <w:rFonts w:eastAsiaTheme="minorHAnsi"/>
          <w:sz w:val="24"/>
          <w:szCs w:val="24"/>
          <w:lang w:eastAsia="en-US"/>
        </w:rPr>
        <w:t>kszervez</w:t>
      </w:r>
      <w:r w:rsidR="00D936F2" w:rsidRPr="003664CC">
        <w:rPr>
          <w:rFonts w:eastAsiaTheme="minorHAnsi" w:hint="eastAsia"/>
          <w:sz w:val="24"/>
          <w:szCs w:val="24"/>
          <w:lang w:eastAsia="en-US"/>
        </w:rPr>
        <w:t>é</w:t>
      </w:r>
      <w:r w:rsidR="00D936F2" w:rsidRPr="003664CC">
        <w:rPr>
          <w:rFonts w:eastAsiaTheme="minorHAnsi"/>
          <w:sz w:val="24"/>
          <w:szCs w:val="24"/>
          <w:lang w:eastAsia="en-US"/>
        </w:rPr>
        <w:t>si tev</w:t>
      </w:r>
      <w:r w:rsidR="00D936F2" w:rsidRPr="003664CC">
        <w:rPr>
          <w:rFonts w:eastAsiaTheme="minorHAnsi" w:hint="eastAsia"/>
          <w:sz w:val="24"/>
          <w:szCs w:val="24"/>
          <w:lang w:eastAsia="en-US"/>
        </w:rPr>
        <w:t>é</w:t>
      </w:r>
      <w:r w:rsidR="00D936F2" w:rsidRPr="003664CC">
        <w:rPr>
          <w:rFonts w:eastAsiaTheme="minorHAnsi"/>
          <w:sz w:val="24"/>
          <w:szCs w:val="24"/>
          <w:lang w:eastAsia="en-US"/>
        </w:rPr>
        <w:t>kenys</w:t>
      </w:r>
      <w:r w:rsidR="00D936F2" w:rsidRPr="003664CC">
        <w:rPr>
          <w:rFonts w:eastAsiaTheme="minorHAnsi" w:hint="eastAsia"/>
          <w:sz w:val="24"/>
          <w:szCs w:val="24"/>
          <w:lang w:eastAsia="en-US"/>
        </w:rPr>
        <w:t>é</w:t>
      </w:r>
      <w:r w:rsidR="00D936F2" w:rsidRPr="003664CC">
        <w:rPr>
          <w:rFonts w:eastAsiaTheme="minorHAnsi"/>
          <w:sz w:val="24"/>
          <w:szCs w:val="24"/>
          <w:lang w:eastAsia="en-US"/>
        </w:rPr>
        <w:t>g t</w:t>
      </w:r>
      <w:r w:rsidR="00D936F2" w:rsidRPr="003664CC">
        <w:rPr>
          <w:rFonts w:eastAsiaTheme="minorHAnsi" w:hint="eastAsia"/>
          <w:sz w:val="24"/>
          <w:szCs w:val="24"/>
          <w:lang w:eastAsia="en-US"/>
        </w:rPr>
        <w:t>á</w:t>
      </w:r>
      <w:r w:rsidR="00D936F2" w:rsidRPr="003664CC">
        <w:rPr>
          <w:rFonts w:eastAsiaTheme="minorHAnsi"/>
          <w:sz w:val="24"/>
          <w:szCs w:val="24"/>
          <w:lang w:eastAsia="en-US"/>
        </w:rPr>
        <w:t>mogat</w:t>
      </w:r>
      <w:r w:rsidR="00D936F2" w:rsidRPr="003664CC">
        <w:rPr>
          <w:rFonts w:eastAsiaTheme="minorHAnsi" w:hint="eastAsia"/>
          <w:sz w:val="24"/>
          <w:szCs w:val="24"/>
          <w:lang w:eastAsia="en-US"/>
        </w:rPr>
        <w:t>á</w:t>
      </w:r>
      <w:r w:rsidR="00D936F2" w:rsidRPr="003664CC">
        <w:rPr>
          <w:rFonts w:eastAsiaTheme="minorHAnsi"/>
          <w:sz w:val="24"/>
          <w:szCs w:val="24"/>
          <w:lang w:eastAsia="en-US"/>
        </w:rPr>
        <w:t>sa fejezeti kezel</w:t>
      </w:r>
      <w:r w:rsidR="00D936F2" w:rsidRPr="003664CC">
        <w:rPr>
          <w:rFonts w:eastAsiaTheme="minorHAnsi" w:hint="eastAsia"/>
          <w:sz w:val="24"/>
          <w:szCs w:val="24"/>
          <w:lang w:eastAsia="en-US"/>
        </w:rPr>
        <w:t>é</w:t>
      </w:r>
      <w:r w:rsidR="00D936F2" w:rsidRPr="003664CC">
        <w:rPr>
          <w:rFonts w:eastAsiaTheme="minorHAnsi"/>
          <w:sz w:val="24"/>
          <w:szCs w:val="24"/>
          <w:lang w:eastAsia="en-US"/>
        </w:rPr>
        <w:t>s</w:t>
      </w:r>
      <w:r w:rsidR="00D936F2" w:rsidRPr="003664CC">
        <w:rPr>
          <w:rFonts w:eastAsiaTheme="minorHAnsi" w:hint="eastAsia"/>
          <w:sz w:val="24"/>
          <w:szCs w:val="24"/>
          <w:lang w:eastAsia="en-US"/>
        </w:rPr>
        <w:t>ű</w:t>
      </w:r>
      <w:r w:rsidR="00D936F2" w:rsidRPr="003664CC">
        <w:rPr>
          <w:rFonts w:eastAsiaTheme="minorHAnsi"/>
          <w:sz w:val="24"/>
          <w:szCs w:val="24"/>
          <w:lang w:eastAsia="en-US"/>
        </w:rPr>
        <w:t xml:space="preserve"> el</w:t>
      </w:r>
      <w:r w:rsidR="00D936F2" w:rsidRPr="003664CC">
        <w:rPr>
          <w:rFonts w:eastAsiaTheme="minorHAnsi" w:hint="eastAsia"/>
          <w:sz w:val="24"/>
          <w:szCs w:val="24"/>
          <w:lang w:eastAsia="en-US"/>
        </w:rPr>
        <w:t>ő</w:t>
      </w:r>
      <w:r w:rsidR="00D936F2" w:rsidRPr="003664CC">
        <w:rPr>
          <w:rFonts w:eastAsiaTheme="minorHAnsi"/>
          <w:sz w:val="24"/>
          <w:szCs w:val="24"/>
          <w:lang w:eastAsia="en-US"/>
        </w:rPr>
        <w:t>ir</w:t>
      </w:r>
      <w:r w:rsidR="00D936F2" w:rsidRPr="003664CC">
        <w:rPr>
          <w:rFonts w:eastAsiaTheme="minorHAnsi" w:hint="eastAsia"/>
          <w:sz w:val="24"/>
          <w:szCs w:val="24"/>
          <w:lang w:eastAsia="en-US"/>
        </w:rPr>
        <w:t>á</w:t>
      </w:r>
      <w:r w:rsidR="00D936F2" w:rsidRPr="003664CC">
        <w:rPr>
          <w:rFonts w:eastAsiaTheme="minorHAnsi"/>
          <w:sz w:val="24"/>
          <w:szCs w:val="24"/>
          <w:lang w:eastAsia="en-US"/>
        </w:rPr>
        <w:t>nyzat</w:t>
      </w:r>
      <w:r w:rsidRPr="00882B83">
        <w:rPr>
          <w:sz w:val="24"/>
          <w:szCs w:val="24"/>
        </w:rPr>
        <w:t xml:space="preserve"> </w:t>
      </w:r>
      <w:r w:rsidR="00100D96" w:rsidRPr="00882B83">
        <w:rPr>
          <w:sz w:val="24"/>
          <w:szCs w:val="24"/>
        </w:rPr>
        <w:t xml:space="preserve">pénzügyi </w:t>
      </w:r>
      <w:r w:rsidRPr="00882B83">
        <w:rPr>
          <w:sz w:val="24"/>
          <w:szCs w:val="24"/>
        </w:rPr>
        <w:t>kezelése a következő jogszabályok alapján történik:</w:t>
      </w:r>
    </w:p>
    <w:p w:rsidR="00C961F3" w:rsidRPr="00882B83" w:rsidRDefault="006F2C23" w:rsidP="00882B83">
      <w:pPr>
        <w:pStyle w:val="Lbjegyzetszveg"/>
        <w:numPr>
          <w:ilvl w:val="0"/>
          <w:numId w:val="1"/>
        </w:numPr>
        <w:jc w:val="both"/>
        <w:rPr>
          <w:sz w:val="24"/>
          <w:szCs w:val="24"/>
        </w:rPr>
      </w:pPr>
      <w:r w:rsidRPr="00882B83">
        <w:rPr>
          <w:sz w:val="24"/>
          <w:szCs w:val="24"/>
        </w:rPr>
        <w:t>az államháztartásról szóló 2011. évi CXCV. törvény (</w:t>
      </w:r>
      <w:r w:rsidR="00504619">
        <w:rPr>
          <w:sz w:val="24"/>
          <w:szCs w:val="24"/>
        </w:rPr>
        <w:t>a további</w:t>
      </w:r>
      <w:r w:rsidR="008E70F8">
        <w:rPr>
          <w:sz w:val="24"/>
          <w:szCs w:val="24"/>
        </w:rPr>
        <w:t>a</w:t>
      </w:r>
      <w:r w:rsidR="00504619">
        <w:rPr>
          <w:sz w:val="24"/>
          <w:szCs w:val="24"/>
        </w:rPr>
        <w:t xml:space="preserve">kban: </w:t>
      </w:r>
      <w:r w:rsidRPr="00882B83">
        <w:rPr>
          <w:sz w:val="24"/>
          <w:szCs w:val="24"/>
        </w:rPr>
        <w:t>Áht.) költségvetési támogatásra vonatkozó rendelkezései,</w:t>
      </w:r>
    </w:p>
    <w:p w:rsidR="006F2C23" w:rsidRPr="00882B83" w:rsidRDefault="006F2C23" w:rsidP="00882B83">
      <w:pPr>
        <w:pStyle w:val="Lbjegyzetszveg"/>
        <w:numPr>
          <w:ilvl w:val="0"/>
          <w:numId w:val="1"/>
        </w:numPr>
        <w:jc w:val="both"/>
        <w:rPr>
          <w:sz w:val="24"/>
          <w:szCs w:val="24"/>
        </w:rPr>
      </w:pPr>
      <w:r w:rsidRPr="00882B83">
        <w:rPr>
          <w:sz w:val="24"/>
          <w:szCs w:val="24"/>
        </w:rPr>
        <w:t xml:space="preserve">az államháztartásról szóló törvény végrehajtásáról szóló 368/2011. (XII. 31.) Korm. rendelet </w:t>
      </w:r>
      <w:r w:rsidR="008E70F8" w:rsidRPr="00882B83">
        <w:rPr>
          <w:sz w:val="24"/>
          <w:szCs w:val="24"/>
        </w:rPr>
        <w:t>(</w:t>
      </w:r>
      <w:r w:rsidR="008E70F8">
        <w:rPr>
          <w:sz w:val="24"/>
          <w:szCs w:val="24"/>
        </w:rPr>
        <w:t xml:space="preserve">a továbbiakban: </w:t>
      </w:r>
      <w:proofErr w:type="spellStart"/>
      <w:r w:rsidR="008E70F8" w:rsidRPr="00882B83">
        <w:rPr>
          <w:sz w:val="24"/>
          <w:szCs w:val="24"/>
        </w:rPr>
        <w:t>Á</w:t>
      </w:r>
      <w:r w:rsidR="008E70F8">
        <w:rPr>
          <w:sz w:val="24"/>
          <w:szCs w:val="24"/>
        </w:rPr>
        <w:t>vr</w:t>
      </w:r>
      <w:proofErr w:type="spellEnd"/>
      <w:r w:rsidR="008E70F8" w:rsidRPr="00882B83">
        <w:rPr>
          <w:sz w:val="24"/>
          <w:szCs w:val="24"/>
        </w:rPr>
        <w:t xml:space="preserve">.) </w:t>
      </w:r>
      <w:r w:rsidRPr="00882B83">
        <w:rPr>
          <w:sz w:val="24"/>
          <w:szCs w:val="24"/>
        </w:rPr>
        <w:t>támogatásokról szóló rendelkezései</w:t>
      </w:r>
      <w:r w:rsidR="001C05BB" w:rsidRPr="00882B83">
        <w:rPr>
          <w:sz w:val="24"/>
          <w:szCs w:val="24"/>
        </w:rPr>
        <w:t>,</w:t>
      </w:r>
    </w:p>
    <w:p w:rsidR="00D936F2" w:rsidRPr="00882B83" w:rsidRDefault="00D936F2" w:rsidP="00882B83">
      <w:pPr>
        <w:pStyle w:val="Lbjegyzetszveg"/>
        <w:numPr>
          <w:ilvl w:val="0"/>
          <w:numId w:val="1"/>
        </w:numPr>
        <w:jc w:val="both"/>
        <w:rPr>
          <w:sz w:val="24"/>
          <w:szCs w:val="24"/>
        </w:rPr>
      </w:pPr>
      <w:r w:rsidRPr="00882B83">
        <w:rPr>
          <w:sz w:val="24"/>
          <w:szCs w:val="24"/>
        </w:rPr>
        <w:t>a fejezeti kezelésű előirányzatok kezeléséről és felhasználásáról szóló 16/2015. (V. 29.) NGM rendelet,</w:t>
      </w:r>
    </w:p>
    <w:p w:rsidR="00C961F3" w:rsidRPr="00882B83" w:rsidRDefault="00565804" w:rsidP="00882B83">
      <w:pPr>
        <w:pStyle w:val="Lbjegyzetszveg"/>
        <w:numPr>
          <w:ilvl w:val="0"/>
          <w:numId w:val="1"/>
        </w:numPr>
        <w:jc w:val="both"/>
        <w:rPr>
          <w:sz w:val="24"/>
          <w:szCs w:val="24"/>
        </w:rPr>
      </w:pPr>
      <w:r w:rsidRPr="00882B83">
        <w:rPr>
          <w:sz w:val="24"/>
          <w:szCs w:val="24"/>
        </w:rPr>
        <w:t>a Nemzetgazdasági Minisztérium kötelezettségvállalási és utalványozási szabályzatáról szóló 23/2015. (XII.</w:t>
      </w:r>
      <w:r w:rsidR="001C05BB" w:rsidRPr="00882B83">
        <w:rPr>
          <w:sz w:val="24"/>
          <w:szCs w:val="24"/>
        </w:rPr>
        <w:t xml:space="preserve"> 4.) NGM utasítás.</w:t>
      </w:r>
    </w:p>
    <w:p w:rsidR="00DE47BF" w:rsidRPr="00882B83" w:rsidRDefault="00DE47BF" w:rsidP="00882B83">
      <w:pPr>
        <w:autoSpaceDE w:val="0"/>
        <w:autoSpaceDN w:val="0"/>
        <w:adjustRightInd w:val="0"/>
        <w:spacing w:after="0" w:line="240" w:lineRule="auto"/>
        <w:jc w:val="both"/>
        <w:rPr>
          <w:rFonts w:ascii="Times New Roman" w:hAnsi="Times New Roman" w:cs="Times New Roman"/>
          <w:b/>
          <w:sz w:val="24"/>
          <w:szCs w:val="24"/>
        </w:rPr>
      </w:pPr>
    </w:p>
    <w:p w:rsidR="007B51C7" w:rsidRPr="00882B83" w:rsidRDefault="007B51C7" w:rsidP="00882B83">
      <w:pPr>
        <w:autoSpaceDE w:val="0"/>
        <w:autoSpaceDN w:val="0"/>
        <w:adjustRightInd w:val="0"/>
        <w:spacing w:after="0" w:line="240" w:lineRule="auto"/>
        <w:jc w:val="both"/>
        <w:rPr>
          <w:rFonts w:ascii="Times New Roman" w:hAnsi="Times New Roman" w:cs="Times New Roman"/>
          <w:b/>
          <w:sz w:val="24"/>
          <w:szCs w:val="24"/>
          <w:u w:val="single"/>
        </w:rPr>
      </w:pPr>
      <w:r w:rsidRPr="00882B83">
        <w:rPr>
          <w:rFonts w:ascii="Times New Roman" w:hAnsi="Times New Roman" w:cs="Times New Roman"/>
          <w:b/>
          <w:sz w:val="24"/>
          <w:szCs w:val="24"/>
          <w:u w:val="single"/>
        </w:rPr>
        <w:t xml:space="preserve">2. Gyakorlati tudnivalók a </w:t>
      </w:r>
      <w:r w:rsidR="00357A98" w:rsidRPr="00640A16">
        <w:rPr>
          <w:rFonts w:ascii="Times New Roman" w:hAnsi="Times New Roman" w:cs="Times New Roman"/>
          <w:b/>
          <w:sz w:val="24"/>
          <w:szCs w:val="24"/>
          <w:u w:val="single"/>
        </w:rPr>
        <w:t>Felelős játékszervezési tevékenység támogatása fejezeti kezelésű előirányzat</w:t>
      </w:r>
      <w:r w:rsidR="00357A98">
        <w:rPr>
          <w:rFonts w:ascii="Times New Roman" w:hAnsi="Times New Roman" w:cs="Times New Roman"/>
          <w:b/>
          <w:sz w:val="24"/>
          <w:szCs w:val="24"/>
          <w:u w:val="single"/>
        </w:rPr>
        <w:t xml:space="preserve"> </w:t>
      </w:r>
      <w:r w:rsidR="00D24218" w:rsidRPr="00882B83">
        <w:rPr>
          <w:rFonts w:ascii="Times New Roman" w:hAnsi="Times New Roman" w:cs="Times New Roman"/>
          <w:b/>
          <w:sz w:val="24"/>
          <w:szCs w:val="24"/>
          <w:u w:val="single"/>
        </w:rPr>
        <w:t>2017. évi felhasználásáról</w:t>
      </w:r>
    </w:p>
    <w:p w:rsidR="007B51C7" w:rsidRPr="00882B83" w:rsidRDefault="007B51C7" w:rsidP="00882B83">
      <w:pPr>
        <w:autoSpaceDE w:val="0"/>
        <w:autoSpaceDN w:val="0"/>
        <w:adjustRightInd w:val="0"/>
        <w:spacing w:after="0" w:line="240" w:lineRule="auto"/>
        <w:jc w:val="both"/>
        <w:rPr>
          <w:rFonts w:ascii="Times New Roman" w:hAnsi="Times New Roman" w:cs="Times New Roman"/>
          <w:b/>
          <w:sz w:val="24"/>
          <w:szCs w:val="24"/>
        </w:rPr>
      </w:pPr>
    </w:p>
    <w:p w:rsidR="00162797" w:rsidRDefault="00DE47BF" w:rsidP="00882B83">
      <w:pPr>
        <w:autoSpaceDE w:val="0"/>
        <w:autoSpaceDN w:val="0"/>
        <w:adjustRightInd w:val="0"/>
        <w:spacing w:after="0" w:line="240" w:lineRule="auto"/>
        <w:jc w:val="both"/>
        <w:rPr>
          <w:rFonts w:ascii="Times New Roman" w:hAnsi="Times New Roman" w:cs="Times New Roman"/>
          <w:b/>
          <w:sz w:val="24"/>
          <w:szCs w:val="24"/>
        </w:rPr>
      </w:pPr>
      <w:r w:rsidRPr="00882B83">
        <w:rPr>
          <w:rFonts w:ascii="Times New Roman" w:hAnsi="Times New Roman" w:cs="Times New Roman"/>
          <w:b/>
          <w:sz w:val="24"/>
          <w:szCs w:val="24"/>
        </w:rPr>
        <w:t>2017</w:t>
      </w:r>
      <w:r w:rsidR="00303BB5">
        <w:rPr>
          <w:rFonts w:ascii="Times New Roman" w:hAnsi="Times New Roman" w:cs="Times New Roman"/>
          <w:b/>
          <w:sz w:val="24"/>
          <w:szCs w:val="24"/>
        </w:rPr>
        <w:t>-</w:t>
      </w:r>
      <w:r w:rsidRPr="00882B83">
        <w:rPr>
          <w:rFonts w:ascii="Times New Roman" w:hAnsi="Times New Roman" w:cs="Times New Roman"/>
          <w:b/>
          <w:sz w:val="24"/>
          <w:szCs w:val="24"/>
        </w:rPr>
        <w:t xml:space="preserve">ben a </w:t>
      </w:r>
      <w:r w:rsidR="00303BB5" w:rsidRPr="003664CC">
        <w:rPr>
          <w:rFonts w:ascii="Times New Roman" w:hAnsi="Times New Roman" w:cs="Times New Roman"/>
          <w:b/>
          <w:sz w:val="24"/>
          <w:szCs w:val="24"/>
        </w:rPr>
        <w:t>Felelős játékszervezési tevékenység támogatása fejezeti kezelésű előirányzat</w:t>
      </w:r>
      <w:r w:rsidR="0072103A" w:rsidRPr="003664CC">
        <w:rPr>
          <w:rFonts w:ascii="Times New Roman" w:hAnsi="Times New Roman" w:cs="Times New Roman"/>
          <w:b/>
          <w:sz w:val="24"/>
          <w:szCs w:val="24"/>
        </w:rPr>
        <w:t xml:space="preserve"> </w:t>
      </w:r>
      <w:r w:rsidRPr="00882B83">
        <w:rPr>
          <w:rFonts w:ascii="Times New Roman" w:hAnsi="Times New Roman" w:cs="Times New Roman"/>
          <w:b/>
          <w:sz w:val="24"/>
          <w:szCs w:val="24"/>
        </w:rPr>
        <w:t>150 M Ft</w:t>
      </w:r>
      <w:r w:rsidR="00697261">
        <w:rPr>
          <w:rFonts w:ascii="Times New Roman" w:hAnsi="Times New Roman" w:cs="Times New Roman"/>
          <w:b/>
          <w:sz w:val="24"/>
          <w:szCs w:val="24"/>
        </w:rPr>
        <w:t xml:space="preserve">. </w:t>
      </w:r>
      <w:r w:rsidRPr="00882B83">
        <w:rPr>
          <w:rFonts w:ascii="Times New Roman" w:hAnsi="Times New Roman" w:cs="Times New Roman"/>
          <w:b/>
          <w:sz w:val="24"/>
          <w:szCs w:val="24"/>
        </w:rPr>
        <w:t>Ebből 100 M Ft államháztartáson kívül, 50 M Ft államháztartáson belül használható fel.</w:t>
      </w:r>
    </w:p>
    <w:p w:rsidR="00162797" w:rsidRPr="00882B83" w:rsidRDefault="00162797" w:rsidP="00882B83">
      <w:pPr>
        <w:autoSpaceDE w:val="0"/>
        <w:autoSpaceDN w:val="0"/>
        <w:adjustRightInd w:val="0"/>
        <w:spacing w:after="0" w:line="240" w:lineRule="auto"/>
        <w:jc w:val="both"/>
        <w:rPr>
          <w:rFonts w:ascii="Times New Roman" w:hAnsi="Times New Roman" w:cs="Times New Roman"/>
          <w:b/>
          <w:sz w:val="24"/>
          <w:szCs w:val="24"/>
        </w:rPr>
      </w:pPr>
    </w:p>
    <w:p w:rsidR="00DE47BF" w:rsidRPr="00882B83" w:rsidRDefault="00162797" w:rsidP="00882B83">
      <w:pPr>
        <w:autoSpaceDE w:val="0"/>
        <w:autoSpaceDN w:val="0"/>
        <w:adjustRightInd w:val="0"/>
        <w:spacing w:after="0"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A támogatás </w:t>
      </w:r>
      <w:r w:rsidR="00882B83" w:rsidRPr="003664CC">
        <w:rPr>
          <w:rFonts w:ascii="Times New Roman" w:hAnsi="Times New Roman" w:cs="Times New Roman"/>
          <w:b/>
          <w:sz w:val="24"/>
          <w:szCs w:val="24"/>
        </w:rPr>
        <w:t>támogatási kérelem benyújtásával</w:t>
      </w:r>
      <w:r w:rsidR="00BE10EE">
        <w:rPr>
          <w:rFonts w:ascii="Times New Roman" w:hAnsi="Times New Roman" w:cs="Times New Roman"/>
          <w:b/>
          <w:sz w:val="24"/>
          <w:szCs w:val="24"/>
        </w:rPr>
        <w:t xml:space="preserve"> </w:t>
      </w:r>
      <w:r w:rsidR="00882B83">
        <w:rPr>
          <w:rFonts w:ascii="Times New Roman" w:hAnsi="Times New Roman" w:cs="Times New Roman"/>
          <w:sz w:val="24"/>
          <w:szCs w:val="24"/>
        </w:rPr>
        <w:t xml:space="preserve">a </w:t>
      </w:r>
      <w:r w:rsidR="00882B83" w:rsidRPr="003664CC">
        <w:rPr>
          <w:rFonts w:ascii="Times New Roman" w:hAnsi="Times New Roman" w:cs="Times New Roman"/>
          <w:b/>
          <w:sz w:val="24"/>
          <w:szCs w:val="24"/>
        </w:rPr>
        <w:t>támogató egyedi döntése alapján</w:t>
      </w:r>
      <w:r w:rsidR="00882B83">
        <w:rPr>
          <w:rFonts w:ascii="Times New Roman" w:hAnsi="Times New Roman" w:cs="Times New Roman"/>
          <w:sz w:val="24"/>
          <w:szCs w:val="24"/>
        </w:rPr>
        <w:t xml:space="preserve">, </w:t>
      </w:r>
      <w:r w:rsidRPr="00882B83">
        <w:rPr>
          <w:rFonts w:ascii="Times New Roman" w:hAnsi="Times New Roman" w:cs="Times New Roman"/>
          <w:sz w:val="24"/>
          <w:szCs w:val="24"/>
        </w:rPr>
        <w:t xml:space="preserve">a kedvezményezettel kötött </w:t>
      </w:r>
      <w:r w:rsidRPr="00882B83">
        <w:rPr>
          <w:rFonts w:ascii="Times New Roman" w:hAnsi="Times New Roman" w:cs="Times New Roman"/>
          <w:b/>
          <w:sz w:val="24"/>
          <w:szCs w:val="24"/>
        </w:rPr>
        <w:t>támogatási szerződés</w:t>
      </w:r>
      <w:r w:rsidR="007B51C7" w:rsidRPr="00882B83">
        <w:rPr>
          <w:rFonts w:ascii="Times New Roman" w:hAnsi="Times New Roman" w:cs="Times New Roman"/>
          <w:sz w:val="24"/>
          <w:szCs w:val="24"/>
        </w:rPr>
        <w:t xml:space="preserve"> útján biztosítható.</w:t>
      </w:r>
    </w:p>
    <w:p w:rsidR="00162797" w:rsidRPr="00882B83" w:rsidRDefault="00162797" w:rsidP="00882B83">
      <w:pPr>
        <w:autoSpaceDE w:val="0"/>
        <w:autoSpaceDN w:val="0"/>
        <w:adjustRightInd w:val="0"/>
        <w:spacing w:after="0" w:line="240" w:lineRule="auto"/>
        <w:jc w:val="both"/>
        <w:rPr>
          <w:rFonts w:ascii="Times New Roman" w:hAnsi="Times New Roman" w:cs="Times New Roman"/>
          <w:sz w:val="24"/>
          <w:szCs w:val="24"/>
        </w:rPr>
      </w:pPr>
    </w:p>
    <w:p w:rsidR="00162797" w:rsidRPr="00882B83" w:rsidRDefault="00162797" w:rsidP="003664CC">
      <w:pPr>
        <w:spacing w:line="240" w:lineRule="auto"/>
        <w:jc w:val="both"/>
        <w:rPr>
          <w:rFonts w:ascii="Times New Roman" w:hAnsi="Times New Roman" w:cs="Times New Roman"/>
          <w:sz w:val="24"/>
          <w:szCs w:val="24"/>
          <w:lang w:eastAsia="hu-HU"/>
        </w:rPr>
      </w:pPr>
      <w:r w:rsidRPr="00882B83">
        <w:rPr>
          <w:rFonts w:ascii="Times New Roman" w:hAnsi="Times New Roman" w:cs="Times New Roman"/>
          <w:b/>
          <w:sz w:val="24"/>
          <w:szCs w:val="24"/>
        </w:rPr>
        <w:t xml:space="preserve">Kérelem benyújtására a következő szervezetek jogosultak: </w:t>
      </w:r>
      <w:r w:rsidRPr="00882B83">
        <w:rPr>
          <w:rFonts w:ascii="Times New Roman" w:hAnsi="Times New Roman" w:cs="Times New Roman"/>
          <w:sz w:val="24"/>
          <w:szCs w:val="24"/>
          <w:lang w:eastAsia="hu-HU"/>
        </w:rPr>
        <w:t>gazdasági társaság, civil szervezet, szakszervezet, köztestület, költségvetési szerv, helyi önkormányzat</w:t>
      </w:r>
      <w:r w:rsidR="00F255FD" w:rsidRPr="00882B83">
        <w:rPr>
          <w:rFonts w:ascii="Times New Roman" w:hAnsi="Times New Roman" w:cs="Times New Roman"/>
          <w:sz w:val="24"/>
          <w:szCs w:val="24"/>
          <w:lang w:eastAsia="hu-HU"/>
        </w:rPr>
        <w:t>.</w:t>
      </w:r>
    </w:p>
    <w:p w:rsidR="007B51C7" w:rsidRPr="00882B83" w:rsidRDefault="007B51C7" w:rsidP="00882B83">
      <w:p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lastRenderedPageBreak/>
        <w:t>A kérelem benyújtásához a jelen tájékoztató 1. sz. mellék</w:t>
      </w:r>
      <w:r w:rsidR="00D24218" w:rsidRPr="00882B83">
        <w:rPr>
          <w:rFonts w:ascii="Times New Roman" w:hAnsi="Times New Roman" w:cs="Times New Roman"/>
          <w:sz w:val="24"/>
          <w:szCs w:val="24"/>
        </w:rPr>
        <w:t>l</w:t>
      </w:r>
      <w:r w:rsidRPr="00882B83">
        <w:rPr>
          <w:rFonts w:ascii="Times New Roman" w:hAnsi="Times New Roman" w:cs="Times New Roman"/>
          <w:sz w:val="24"/>
          <w:szCs w:val="24"/>
        </w:rPr>
        <w:t>e</w:t>
      </w:r>
      <w:r w:rsidR="00D24218" w:rsidRPr="00882B83">
        <w:rPr>
          <w:rFonts w:ascii="Times New Roman" w:hAnsi="Times New Roman" w:cs="Times New Roman"/>
          <w:sz w:val="24"/>
          <w:szCs w:val="24"/>
        </w:rPr>
        <w:t>t</w:t>
      </w:r>
      <w:r w:rsidRPr="00882B83">
        <w:rPr>
          <w:rFonts w:ascii="Times New Roman" w:hAnsi="Times New Roman" w:cs="Times New Roman"/>
          <w:sz w:val="24"/>
          <w:szCs w:val="24"/>
        </w:rPr>
        <w:t xml:space="preserve">e szerinti </w:t>
      </w:r>
      <w:r w:rsidRPr="00882B83">
        <w:rPr>
          <w:rFonts w:ascii="Times New Roman" w:hAnsi="Times New Roman" w:cs="Times New Roman"/>
          <w:b/>
          <w:sz w:val="24"/>
          <w:szCs w:val="24"/>
        </w:rPr>
        <w:t xml:space="preserve">támogatási kérelem mintát </w:t>
      </w:r>
      <w:r w:rsidRPr="00882B83">
        <w:rPr>
          <w:rFonts w:ascii="Times New Roman" w:hAnsi="Times New Roman" w:cs="Times New Roman"/>
          <w:sz w:val="24"/>
          <w:szCs w:val="24"/>
        </w:rPr>
        <w:t xml:space="preserve">kell felhasználni. A támogatási kérelmet </w:t>
      </w:r>
      <w:r w:rsidR="007A15EC" w:rsidRPr="00882B83">
        <w:rPr>
          <w:rFonts w:ascii="Times New Roman" w:hAnsi="Times New Roman" w:cs="Times New Roman"/>
          <w:sz w:val="24"/>
          <w:szCs w:val="24"/>
        </w:rPr>
        <w:t xml:space="preserve">a támogatási kérelem minta szerinti mellékletekkel együtt </w:t>
      </w:r>
      <w:r w:rsidRPr="00882B83">
        <w:rPr>
          <w:rFonts w:ascii="Times New Roman" w:hAnsi="Times New Roman" w:cs="Times New Roman"/>
          <w:b/>
          <w:sz w:val="24"/>
          <w:szCs w:val="24"/>
        </w:rPr>
        <w:t>1 eredeti példányban</w:t>
      </w:r>
      <w:r w:rsidRPr="00882B83">
        <w:rPr>
          <w:rFonts w:ascii="Times New Roman" w:hAnsi="Times New Roman" w:cs="Times New Roman"/>
          <w:sz w:val="24"/>
          <w:szCs w:val="24"/>
        </w:rPr>
        <w:t xml:space="preserve"> kell papír alapon személyesen a Nemzetgazdasági Minisztérium </w:t>
      </w:r>
      <w:r w:rsidR="007A15EC" w:rsidRPr="00882B83">
        <w:rPr>
          <w:rFonts w:ascii="Times New Roman" w:hAnsi="Times New Roman" w:cs="Times New Roman"/>
          <w:sz w:val="24"/>
          <w:szCs w:val="24"/>
        </w:rPr>
        <w:t xml:space="preserve">(NGM) </w:t>
      </w:r>
      <w:r w:rsidRPr="00882B83">
        <w:rPr>
          <w:rFonts w:ascii="Times New Roman" w:hAnsi="Times New Roman" w:cs="Times New Roman"/>
          <w:sz w:val="24"/>
          <w:szCs w:val="24"/>
        </w:rPr>
        <w:t>ügyfélszolgálatán (1051 Budapest, József nádor tér 2-4.) vagy postai úton (105</w:t>
      </w:r>
      <w:r w:rsidR="00504619">
        <w:rPr>
          <w:rFonts w:ascii="Times New Roman" w:hAnsi="Times New Roman" w:cs="Times New Roman"/>
          <w:sz w:val="24"/>
          <w:szCs w:val="24"/>
        </w:rPr>
        <w:t>1</w:t>
      </w:r>
      <w:r w:rsidRPr="00882B83">
        <w:rPr>
          <w:rFonts w:ascii="Times New Roman" w:hAnsi="Times New Roman" w:cs="Times New Roman"/>
          <w:sz w:val="24"/>
          <w:szCs w:val="24"/>
        </w:rPr>
        <w:t xml:space="preserve"> Budapest, József nádor tér 2-4. vagy a Postafiók 1369 Budapest, Pf. 481.) </w:t>
      </w:r>
      <w:r w:rsidR="000B75C7" w:rsidRPr="00882B83">
        <w:rPr>
          <w:rFonts w:ascii="Times New Roman" w:hAnsi="Times New Roman" w:cs="Times New Roman"/>
          <w:sz w:val="24"/>
          <w:szCs w:val="24"/>
        </w:rPr>
        <w:t xml:space="preserve">az </w:t>
      </w:r>
      <w:r w:rsidR="000B75C7" w:rsidRPr="00882B83">
        <w:rPr>
          <w:rFonts w:ascii="Times New Roman" w:hAnsi="Times New Roman" w:cs="Times New Roman"/>
          <w:b/>
          <w:sz w:val="24"/>
          <w:szCs w:val="24"/>
        </w:rPr>
        <w:t>NGM adószabályozásért és számvitelért felelős helyettes államtitkárságához címezve</w:t>
      </w:r>
      <w:r w:rsidR="000B75C7" w:rsidRPr="00882B83">
        <w:rPr>
          <w:rFonts w:ascii="Times New Roman" w:hAnsi="Times New Roman" w:cs="Times New Roman"/>
          <w:sz w:val="24"/>
          <w:szCs w:val="24"/>
        </w:rPr>
        <w:t xml:space="preserve"> </w:t>
      </w:r>
      <w:r w:rsidRPr="00882B83">
        <w:rPr>
          <w:rFonts w:ascii="Times New Roman" w:hAnsi="Times New Roman" w:cs="Times New Roman"/>
          <w:sz w:val="24"/>
          <w:szCs w:val="24"/>
        </w:rPr>
        <w:t>előterjeszteni.</w:t>
      </w:r>
    </w:p>
    <w:p w:rsidR="00644016" w:rsidRPr="00882B83" w:rsidRDefault="00644016" w:rsidP="00882B83">
      <w:pPr>
        <w:spacing w:line="240" w:lineRule="auto"/>
        <w:jc w:val="both"/>
        <w:rPr>
          <w:rFonts w:ascii="Times New Roman" w:hAnsi="Times New Roman" w:cs="Times New Roman"/>
          <w:b/>
          <w:sz w:val="24"/>
          <w:szCs w:val="24"/>
        </w:rPr>
      </w:pPr>
      <w:r w:rsidRPr="00882B83">
        <w:rPr>
          <w:rFonts w:ascii="Times New Roman" w:hAnsi="Times New Roman" w:cs="Times New Roman"/>
          <w:sz w:val="24"/>
          <w:szCs w:val="24"/>
        </w:rPr>
        <w:t>A K</w:t>
      </w:r>
      <w:r w:rsidR="00303BB5">
        <w:rPr>
          <w:rFonts w:ascii="Times New Roman" w:hAnsi="Times New Roman" w:cs="Times New Roman"/>
          <w:sz w:val="24"/>
          <w:szCs w:val="24"/>
        </w:rPr>
        <w:t>o</w:t>
      </w:r>
      <w:r w:rsidRPr="00882B83">
        <w:rPr>
          <w:rFonts w:ascii="Times New Roman" w:hAnsi="Times New Roman" w:cs="Times New Roman"/>
          <w:sz w:val="24"/>
          <w:szCs w:val="24"/>
        </w:rPr>
        <w:t>r</w:t>
      </w:r>
      <w:r w:rsidR="00303BB5">
        <w:rPr>
          <w:rFonts w:ascii="Times New Roman" w:hAnsi="Times New Roman" w:cs="Times New Roman"/>
          <w:sz w:val="24"/>
          <w:szCs w:val="24"/>
        </w:rPr>
        <w:t>m</w:t>
      </w:r>
      <w:r w:rsidRPr="00882B83">
        <w:rPr>
          <w:rFonts w:ascii="Times New Roman" w:hAnsi="Times New Roman" w:cs="Times New Roman"/>
          <w:sz w:val="24"/>
          <w:szCs w:val="24"/>
        </w:rPr>
        <w:t xml:space="preserve">. </w:t>
      </w:r>
      <w:r w:rsidR="00303BB5">
        <w:rPr>
          <w:rFonts w:ascii="Times New Roman" w:hAnsi="Times New Roman" w:cs="Times New Roman"/>
          <w:sz w:val="24"/>
          <w:szCs w:val="24"/>
        </w:rPr>
        <w:t xml:space="preserve">rendelet </w:t>
      </w:r>
      <w:r w:rsidRPr="00882B83">
        <w:rPr>
          <w:rFonts w:ascii="Times New Roman" w:hAnsi="Times New Roman" w:cs="Times New Roman"/>
          <w:sz w:val="24"/>
          <w:szCs w:val="24"/>
        </w:rPr>
        <w:t xml:space="preserve">végrehajtásához kapcsolódóan </w:t>
      </w:r>
      <w:r w:rsidRPr="00882B83">
        <w:rPr>
          <w:rFonts w:ascii="Times New Roman" w:hAnsi="Times New Roman" w:cs="Times New Roman"/>
          <w:b/>
          <w:sz w:val="24"/>
          <w:szCs w:val="24"/>
        </w:rPr>
        <w:t>a 2017. évben kiemelt témakörként az alábbi témakörök támogathatók:</w:t>
      </w:r>
    </w:p>
    <w:p w:rsidR="006208D0" w:rsidRPr="00882B83" w:rsidRDefault="006208D0" w:rsidP="00882B83">
      <w:pPr>
        <w:pStyle w:val="Lbjegyzetszveg"/>
        <w:ind w:left="720"/>
        <w:jc w:val="both"/>
        <w:rPr>
          <w:bCs/>
          <w:sz w:val="24"/>
          <w:szCs w:val="24"/>
        </w:rPr>
      </w:pPr>
    </w:p>
    <w:p w:rsidR="006208D0" w:rsidRPr="00882B83" w:rsidRDefault="006208D0" w:rsidP="00882B83">
      <w:pPr>
        <w:pStyle w:val="Lbjegyzetszveg"/>
        <w:numPr>
          <w:ilvl w:val="0"/>
          <w:numId w:val="3"/>
        </w:numPr>
        <w:jc w:val="both"/>
        <w:rPr>
          <w:bCs/>
          <w:i/>
          <w:sz w:val="24"/>
          <w:szCs w:val="24"/>
        </w:rPr>
      </w:pPr>
      <w:r w:rsidRPr="00882B83">
        <w:rPr>
          <w:bCs/>
          <w:i/>
          <w:sz w:val="24"/>
          <w:szCs w:val="24"/>
        </w:rPr>
        <w:t>a K</w:t>
      </w:r>
      <w:r w:rsidR="00303BB5">
        <w:rPr>
          <w:bCs/>
          <w:i/>
          <w:sz w:val="24"/>
          <w:szCs w:val="24"/>
        </w:rPr>
        <w:t>o</w:t>
      </w:r>
      <w:r w:rsidRPr="00882B83">
        <w:rPr>
          <w:bCs/>
          <w:i/>
          <w:sz w:val="24"/>
          <w:szCs w:val="24"/>
        </w:rPr>
        <w:t>r</w:t>
      </w:r>
      <w:r w:rsidR="00303BB5">
        <w:rPr>
          <w:bCs/>
          <w:i/>
          <w:sz w:val="24"/>
          <w:szCs w:val="24"/>
        </w:rPr>
        <w:t>m</w:t>
      </w:r>
      <w:r w:rsidRPr="00882B83">
        <w:rPr>
          <w:bCs/>
          <w:i/>
          <w:sz w:val="24"/>
          <w:szCs w:val="24"/>
        </w:rPr>
        <w:t>.</w:t>
      </w:r>
      <w:r w:rsidR="00303BB5">
        <w:rPr>
          <w:bCs/>
          <w:i/>
          <w:sz w:val="24"/>
          <w:szCs w:val="24"/>
        </w:rPr>
        <w:t xml:space="preserve"> rendelet</w:t>
      </w:r>
      <w:r w:rsidRPr="00882B83">
        <w:rPr>
          <w:bCs/>
          <w:i/>
          <w:sz w:val="24"/>
          <w:szCs w:val="24"/>
        </w:rPr>
        <w:t xml:space="preserve">hez kapcsolódó </w:t>
      </w:r>
      <w:proofErr w:type="spellStart"/>
      <w:r w:rsidRPr="00882B83">
        <w:rPr>
          <w:bCs/>
          <w:i/>
          <w:sz w:val="24"/>
          <w:szCs w:val="24"/>
        </w:rPr>
        <w:t>játékosvédelmi</w:t>
      </w:r>
      <w:proofErr w:type="spellEnd"/>
      <w:r w:rsidRPr="00882B83">
        <w:rPr>
          <w:bCs/>
          <w:i/>
          <w:sz w:val="24"/>
          <w:szCs w:val="24"/>
        </w:rPr>
        <w:t xml:space="preserve"> tájékoztatás intenzívebbé tétele (pl. tájékoztató kampány szervezése, tájékoztató füzetek kiadása a szervezői tájékoztatási kötelezettség támogatására),</w:t>
      </w:r>
    </w:p>
    <w:p w:rsidR="006208D0" w:rsidRPr="00882B83" w:rsidRDefault="006208D0" w:rsidP="00882B83">
      <w:pPr>
        <w:pStyle w:val="Lbjegyzetszveg"/>
        <w:ind w:left="720"/>
        <w:jc w:val="both"/>
        <w:rPr>
          <w:bCs/>
          <w:i/>
          <w:sz w:val="24"/>
          <w:szCs w:val="24"/>
        </w:rPr>
      </w:pPr>
    </w:p>
    <w:p w:rsidR="006208D0" w:rsidRPr="00882B83" w:rsidRDefault="006208D0" w:rsidP="00882B83">
      <w:pPr>
        <w:pStyle w:val="Lbjegyzetszveg"/>
        <w:numPr>
          <w:ilvl w:val="0"/>
          <w:numId w:val="3"/>
        </w:numPr>
        <w:jc w:val="both"/>
        <w:rPr>
          <w:bCs/>
          <w:i/>
          <w:sz w:val="24"/>
          <w:szCs w:val="24"/>
        </w:rPr>
      </w:pPr>
      <w:proofErr w:type="spellStart"/>
      <w:r w:rsidRPr="00882B83">
        <w:rPr>
          <w:bCs/>
          <w:i/>
          <w:sz w:val="24"/>
          <w:szCs w:val="24"/>
        </w:rPr>
        <w:t>addiktológiai</w:t>
      </w:r>
      <w:proofErr w:type="spellEnd"/>
      <w:r w:rsidRPr="00882B83">
        <w:rPr>
          <w:bCs/>
          <w:i/>
          <w:sz w:val="24"/>
          <w:szCs w:val="24"/>
        </w:rPr>
        <w:t xml:space="preserve">, </w:t>
      </w:r>
      <w:proofErr w:type="spellStart"/>
      <w:r w:rsidRPr="00882B83">
        <w:rPr>
          <w:bCs/>
          <w:i/>
          <w:sz w:val="24"/>
          <w:szCs w:val="24"/>
        </w:rPr>
        <w:t>játékosvédelmi</w:t>
      </w:r>
      <w:proofErr w:type="spellEnd"/>
      <w:r w:rsidRPr="00882B83">
        <w:rPr>
          <w:bCs/>
          <w:i/>
          <w:sz w:val="24"/>
          <w:szCs w:val="24"/>
        </w:rPr>
        <w:t>, családvédelmi szervezetek K</w:t>
      </w:r>
      <w:r w:rsidR="00303BB5">
        <w:rPr>
          <w:bCs/>
          <w:i/>
          <w:sz w:val="24"/>
          <w:szCs w:val="24"/>
        </w:rPr>
        <w:t>orm. rendelet</w:t>
      </w:r>
      <w:r w:rsidRPr="00882B83">
        <w:rPr>
          <w:bCs/>
          <w:i/>
          <w:sz w:val="24"/>
          <w:szCs w:val="24"/>
        </w:rPr>
        <w:t xml:space="preserve"> végrehajtásához kapcsolódó tevékenységéhez kiegészítő forrás biztosítása,</w:t>
      </w:r>
    </w:p>
    <w:p w:rsidR="006208D0" w:rsidRPr="00882B83" w:rsidRDefault="006208D0" w:rsidP="00882B83">
      <w:pPr>
        <w:pStyle w:val="Lbjegyzetszveg"/>
        <w:ind w:left="720"/>
        <w:jc w:val="both"/>
        <w:rPr>
          <w:bCs/>
          <w:i/>
          <w:sz w:val="24"/>
          <w:szCs w:val="24"/>
        </w:rPr>
      </w:pPr>
    </w:p>
    <w:p w:rsidR="006208D0" w:rsidRPr="00882B83" w:rsidRDefault="006208D0" w:rsidP="00882B83">
      <w:pPr>
        <w:pStyle w:val="Lbjegyzetszveg"/>
        <w:numPr>
          <w:ilvl w:val="0"/>
          <w:numId w:val="3"/>
        </w:numPr>
        <w:jc w:val="both"/>
        <w:rPr>
          <w:bCs/>
          <w:i/>
          <w:sz w:val="24"/>
          <w:szCs w:val="24"/>
        </w:rPr>
      </w:pPr>
      <w:r w:rsidRPr="00882B83">
        <w:rPr>
          <w:bCs/>
          <w:i/>
          <w:sz w:val="24"/>
          <w:szCs w:val="24"/>
        </w:rPr>
        <w:t xml:space="preserve">játékszervezők és </w:t>
      </w:r>
      <w:proofErr w:type="spellStart"/>
      <w:r w:rsidRPr="00882B83">
        <w:rPr>
          <w:bCs/>
          <w:i/>
          <w:sz w:val="24"/>
          <w:szCs w:val="24"/>
        </w:rPr>
        <w:t>addiktológiai</w:t>
      </w:r>
      <w:proofErr w:type="spellEnd"/>
      <w:r w:rsidRPr="00882B83">
        <w:rPr>
          <w:bCs/>
          <w:i/>
          <w:sz w:val="24"/>
          <w:szCs w:val="24"/>
        </w:rPr>
        <w:t xml:space="preserve">, </w:t>
      </w:r>
      <w:proofErr w:type="spellStart"/>
      <w:r w:rsidRPr="00882B83">
        <w:rPr>
          <w:bCs/>
          <w:i/>
          <w:sz w:val="24"/>
          <w:szCs w:val="24"/>
        </w:rPr>
        <w:t>játékosvédelmi</w:t>
      </w:r>
      <w:proofErr w:type="spellEnd"/>
      <w:r w:rsidRPr="00882B83">
        <w:rPr>
          <w:bCs/>
          <w:i/>
          <w:sz w:val="24"/>
          <w:szCs w:val="24"/>
        </w:rPr>
        <w:t>, családvédelmi szervezetek K</w:t>
      </w:r>
      <w:r w:rsidR="00303BB5">
        <w:rPr>
          <w:bCs/>
          <w:i/>
          <w:sz w:val="24"/>
          <w:szCs w:val="24"/>
        </w:rPr>
        <w:t>orm. rendelet</w:t>
      </w:r>
      <w:r w:rsidRPr="00882B83">
        <w:rPr>
          <w:bCs/>
          <w:i/>
          <w:sz w:val="24"/>
          <w:szCs w:val="24"/>
        </w:rPr>
        <w:t xml:space="preserve"> szerinti együttműködésének, illetve a </w:t>
      </w:r>
      <w:proofErr w:type="spellStart"/>
      <w:r w:rsidRPr="00882B83">
        <w:rPr>
          <w:bCs/>
          <w:i/>
          <w:sz w:val="24"/>
          <w:szCs w:val="24"/>
        </w:rPr>
        <w:t>játékosvédelmi</w:t>
      </w:r>
      <w:proofErr w:type="spellEnd"/>
      <w:r w:rsidRPr="00882B83">
        <w:rPr>
          <w:bCs/>
          <w:i/>
          <w:sz w:val="24"/>
          <w:szCs w:val="24"/>
        </w:rPr>
        <w:t>, családvédelmi szervezetek és az egészségügyi ellátórendszerbe tartozó szolgáltatók együttműködésének ösztönzése (pl. a kóros játékfüggőséggel érintett játékosok „beterelése” az egészségügyi vagy szociális ellátórendszerbe),</w:t>
      </w:r>
    </w:p>
    <w:p w:rsidR="006208D0" w:rsidRPr="00882B83" w:rsidRDefault="006208D0" w:rsidP="00882B83">
      <w:pPr>
        <w:pStyle w:val="Lbjegyzetszveg"/>
        <w:ind w:left="720"/>
        <w:jc w:val="both"/>
        <w:rPr>
          <w:bCs/>
          <w:i/>
          <w:sz w:val="24"/>
          <w:szCs w:val="24"/>
        </w:rPr>
      </w:pPr>
    </w:p>
    <w:p w:rsidR="006208D0" w:rsidRPr="00882B83" w:rsidRDefault="006208D0" w:rsidP="00882B83">
      <w:pPr>
        <w:pStyle w:val="Lbjegyzetszveg"/>
        <w:numPr>
          <w:ilvl w:val="0"/>
          <w:numId w:val="3"/>
        </w:numPr>
        <w:jc w:val="both"/>
        <w:rPr>
          <w:bCs/>
          <w:i/>
          <w:sz w:val="24"/>
          <w:szCs w:val="24"/>
        </w:rPr>
      </w:pPr>
      <w:r w:rsidRPr="00882B83">
        <w:rPr>
          <w:bCs/>
          <w:i/>
          <w:sz w:val="24"/>
          <w:szCs w:val="24"/>
        </w:rPr>
        <w:t>a K</w:t>
      </w:r>
      <w:r w:rsidR="00303BB5">
        <w:rPr>
          <w:bCs/>
          <w:i/>
          <w:sz w:val="24"/>
          <w:szCs w:val="24"/>
        </w:rPr>
        <w:t>orm. rendelet</w:t>
      </w:r>
      <w:r w:rsidRPr="00882B83">
        <w:rPr>
          <w:bCs/>
          <w:i/>
          <w:sz w:val="24"/>
          <w:szCs w:val="24"/>
        </w:rPr>
        <w:t xml:space="preserve"> szerinti </w:t>
      </w:r>
      <w:proofErr w:type="spellStart"/>
      <w:r w:rsidRPr="00882B83">
        <w:rPr>
          <w:bCs/>
          <w:i/>
          <w:sz w:val="24"/>
          <w:szCs w:val="24"/>
        </w:rPr>
        <w:t>játékosvédelmi</w:t>
      </w:r>
      <w:proofErr w:type="spellEnd"/>
      <w:r w:rsidRPr="00882B83">
        <w:rPr>
          <w:bCs/>
          <w:i/>
          <w:sz w:val="24"/>
          <w:szCs w:val="24"/>
        </w:rPr>
        <w:t xml:space="preserve"> eszközök, különösen a K</w:t>
      </w:r>
      <w:r w:rsidR="00303BB5">
        <w:rPr>
          <w:bCs/>
          <w:i/>
          <w:sz w:val="24"/>
          <w:szCs w:val="24"/>
        </w:rPr>
        <w:t>o</w:t>
      </w:r>
      <w:r w:rsidRPr="00882B83">
        <w:rPr>
          <w:bCs/>
          <w:i/>
          <w:sz w:val="24"/>
          <w:szCs w:val="24"/>
        </w:rPr>
        <w:t>r</w:t>
      </w:r>
      <w:r w:rsidR="00303BB5">
        <w:rPr>
          <w:bCs/>
          <w:i/>
          <w:sz w:val="24"/>
          <w:szCs w:val="24"/>
        </w:rPr>
        <w:t>m</w:t>
      </w:r>
      <w:r w:rsidRPr="00882B83">
        <w:rPr>
          <w:bCs/>
          <w:i/>
          <w:sz w:val="24"/>
          <w:szCs w:val="24"/>
        </w:rPr>
        <w:t>.</w:t>
      </w:r>
      <w:r w:rsidR="00303BB5">
        <w:rPr>
          <w:bCs/>
          <w:i/>
          <w:sz w:val="24"/>
          <w:szCs w:val="24"/>
        </w:rPr>
        <w:t xml:space="preserve"> rendelet</w:t>
      </w:r>
      <w:r w:rsidRPr="00882B83">
        <w:rPr>
          <w:bCs/>
          <w:i/>
          <w:sz w:val="24"/>
          <w:szCs w:val="24"/>
        </w:rPr>
        <w:t xml:space="preserve"> 22-24. § szerinti emelt szintű ösztönző eszközök szervezői alkalmazásának intenzívebbé tétele (pl. egyéni tétmaximum technikai feltételeinek megteremtéséhez támogatás, szerencsejáték eszközön </w:t>
      </w:r>
      <w:proofErr w:type="spellStart"/>
      <w:r w:rsidRPr="00882B83">
        <w:rPr>
          <w:bCs/>
          <w:i/>
          <w:sz w:val="24"/>
          <w:szCs w:val="24"/>
        </w:rPr>
        <w:t>játékosvédelmi</w:t>
      </w:r>
      <w:proofErr w:type="spellEnd"/>
      <w:r w:rsidRPr="00882B83">
        <w:rPr>
          <w:bCs/>
          <w:i/>
          <w:sz w:val="24"/>
          <w:szCs w:val="24"/>
        </w:rPr>
        <w:t xml:space="preserve"> programok, figyelmeztető jelzések telepítésének támogatása).</w:t>
      </w:r>
    </w:p>
    <w:p w:rsidR="006208D0" w:rsidRPr="003664CC" w:rsidRDefault="006208D0" w:rsidP="00882B83">
      <w:pPr>
        <w:pStyle w:val="Lbjegyzetszveg"/>
        <w:jc w:val="both"/>
        <w:rPr>
          <w:bCs/>
          <w:sz w:val="24"/>
          <w:szCs w:val="24"/>
        </w:rPr>
      </w:pPr>
    </w:p>
    <w:p w:rsidR="000B75C7" w:rsidRDefault="006E6CD6" w:rsidP="00882B83">
      <w:p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A </w:t>
      </w:r>
      <w:r w:rsidRPr="00882B83">
        <w:rPr>
          <w:rFonts w:ascii="Times New Roman" w:hAnsi="Times New Roman" w:cs="Times New Roman"/>
          <w:b/>
          <w:sz w:val="24"/>
          <w:szCs w:val="24"/>
        </w:rPr>
        <w:t xml:space="preserve">kérelem érdemi ügyintézésre befogadásáról vagy érdemi vizsgálat nélküli </w:t>
      </w:r>
      <w:r w:rsidR="00303BB5" w:rsidRPr="00882B83">
        <w:rPr>
          <w:rFonts w:ascii="Times New Roman" w:hAnsi="Times New Roman" w:cs="Times New Roman"/>
          <w:b/>
          <w:sz w:val="24"/>
          <w:szCs w:val="24"/>
        </w:rPr>
        <w:t>elutasításá</w:t>
      </w:r>
      <w:r w:rsidR="00303BB5">
        <w:rPr>
          <w:rFonts w:ascii="Times New Roman" w:hAnsi="Times New Roman" w:cs="Times New Roman"/>
          <w:b/>
          <w:sz w:val="24"/>
          <w:szCs w:val="24"/>
        </w:rPr>
        <w:t>r</w:t>
      </w:r>
      <w:r w:rsidR="00303BB5" w:rsidRPr="00882B83">
        <w:rPr>
          <w:rFonts w:ascii="Times New Roman" w:hAnsi="Times New Roman" w:cs="Times New Roman"/>
          <w:b/>
          <w:sz w:val="24"/>
          <w:szCs w:val="24"/>
        </w:rPr>
        <w:t>ól</w:t>
      </w:r>
      <w:r w:rsidR="00303BB5" w:rsidRPr="00882B83">
        <w:rPr>
          <w:rFonts w:ascii="Times New Roman" w:hAnsi="Times New Roman" w:cs="Times New Roman"/>
          <w:sz w:val="24"/>
          <w:szCs w:val="24"/>
        </w:rPr>
        <w:t xml:space="preserve"> </w:t>
      </w:r>
      <w:r w:rsidR="00BE0689" w:rsidRPr="00882B83">
        <w:rPr>
          <w:rFonts w:ascii="Times New Roman" w:hAnsi="Times New Roman" w:cs="Times New Roman"/>
          <w:sz w:val="24"/>
          <w:szCs w:val="24"/>
        </w:rPr>
        <w:t>a</w:t>
      </w:r>
      <w:r w:rsidR="000B75C7" w:rsidRPr="00882B83">
        <w:rPr>
          <w:rFonts w:ascii="Times New Roman" w:hAnsi="Times New Roman" w:cs="Times New Roman"/>
          <w:sz w:val="24"/>
          <w:szCs w:val="24"/>
        </w:rPr>
        <w:t xml:space="preserve"> kérelem beérkezésétől számított </w:t>
      </w:r>
      <w:r w:rsidR="000B75C7" w:rsidRPr="00882B83">
        <w:rPr>
          <w:rFonts w:ascii="Times New Roman" w:hAnsi="Times New Roman" w:cs="Times New Roman"/>
          <w:b/>
          <w:sz w:val="24"/>
          <w:szCs w:val="24"/>
        </w:rPr>
        <w:t>7 napon belül</w:t>
      </w:r>
      <w:r w:rsidR="000B75C7" w:rsidRPr="00882B83">
        <w:rPr>
          <w:rFonts w:ascii="Times New Roman" w:hAnsi="Times New Roman" w:cs="Times New Roman"/>
          <w:sz w:val="24"/>
          <w:szCs w:val="24"/>
        </w:rPr>
        <w:t xml:space="preserve"> </w:t>
      </w:r>
      <w:r w:rsidR="0045460C" w:rsidRPr="00882B83">
        <w:rPr>
          <w:rFonts w:ascii="Times New Roman" w:hAnsi="Times New Roman" w:cs="Times New Roman"/>
          <w:b/>
          <w:sz w:val="24"/>
          <w:szCs w:val="24"/>
        </w:rPr>
        <w:t xml:space="preserve">tájékoztató </w:t>
      </w:r>
      <w:r w:rsidR="000B75C7" w:rsidRPr="00882B83">
        <w:rPr>
          <w:rFonts w:ascii="Times New Roman" w:hAnsi="Times New Roman" w:cs="Times New Roman"/>
          <w:b/>
          <w:sz w:val="24"/>
          <w:szCs w:val="24"/>
        </w:rPr>
        <w:t>levél</w:t>
      </w:r>
      <w:r w:rsidR="000B75C7" w:rsidRPr="00882B83">
        <w:rPr>
          <w:rFonts w:ascii="Times New Roman" w:hAnsi="Times New Roman" w:cs="Times New Roman"/>
          <w:sz w:val="24"/>
          <w:szCs w:val="24"/>
        </w:rPr>
        <w:t xml:space="preserve"> készül. A</w:t>
      </w:r>
      <w:r w:rsidR="009151A6">
        <w:rPr>
          <w:rFonts w:ascii="Times New Roman" w:hAnsi="Times New Roman" w:cs="Times New Roman"/>
          <w:sz w:val="24"/>
          <w:szCs w:val="24"/>
        </w:rPr>
        <w:t xml:space="preserve">z érdemi ügyintézésre befogadásról </w:t>
      </w:r>
      <w:r w:rsidR="0045460C" w:rsidRPr="00882B83">
        <w:rPr>
          <w:rFonts w:ascii="Times New Roman" w:hAnsi="Times New Roman" w:cs="Times New Roman"/>
          <w:sz w:val="24"/>
          <w:szCs w:val="24"/>
        </w:rPr>
        <w:t xml:space="preserve">tájékoztató </w:t>
      </w:r>
      <w:r w:rsidR="000B75C7" w:rsidRPr="00882B83">
        <w:rPr>
          <w:rFonts w:ascii="Times New Roman" w:hAnsi="Times New Roman" w:cs="Times New Roman"/>
          <w:sz w:val="24"/>
          <w:szCs w:val="24"/>
        </w:rPr>
        <w:t>levél kiadása nem jelenti a kérelem elfogadását, az kizárólag a kérelem érdemi vizsgálata megkezdésének igazolására szolgál.</w:t>
      </w:r>
    </w:p>
    <w:p w:rsidR="00504619" w:rsidRPr="00504619" w:rsidRDefault="00504619" w:rsidP="00504619">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Ha a kérelmező a támogatási kérelmet hibásan, hiányosan nyújtotta be, és ezek a hibák olyan jellegűek, hogy azok a hiánypótlás során pótolhatóak, </w:t>
      </w:r>
      <w:r>
        <w:rPr>
          <w:rFonts w:ascii="Times New Roman" w:eastAsia="Times New Roman" w:hAnsi="Times New Roman" w:cs="Times New Roman"/>
          <w:sz w:val="24"/>
          <w:szCs w:val="24"/>
          <w:lang w:eastAsia="hu-HU"/>
        </w:rPr>
        <w:t xml:space="preserve">az </w:t>
      </w:r>
      <w:r w:rsidRPr="00882B83">
        <w:rPr>
          <w:rFonts w:ascii="Times New Roman" w:hAnsi="Times New Roman" w:cs="Times New Roman"/>
          <w:b/>
          <w:sz w:val="24"/>
          <w:szCs w:val="24"/>
        </w:rPr>
        <w:t>adószabályozásért és számvitelért felelős helyettes államtitkárság</w:t>
      </w:r>
      <w:r>
        <w:rPr>
          <w:rFonts w:ascii="Times New Roman" w:hAnsi="Times New Roman" w:cs="Times New Roman"/>
          <w:b/>
          <w:sz w:val="24"/>
          <w:szCs w:val="24"/>
        </w:rPr>
        <w:t xml:space="preserve"> </w:t>
      </w:r>
      <w:r w:rsidRPr="00504619">
        <w:rPr>
          <w:rFonts w:ascii="Times New Roman" w:eastAsia="Times New Roman" w:hAnsi="Times New Roman" w:cs="Times New Roman"/>
          <w:b/>
          <w:sz w:val="24"/>
          <w:szCs w:val="24"/>
          <w:lang w:eastAsia="hu-HU"/>
        </w:rPr>
        <w:t>hiánypót</w:t>
      </w:r>
      <w:r w:rsidR="009151A6">
        <w:rPr>
          <w:rFonts w:ascii="Times New Roman" w:eastAsia="Times New Roman" w:hAnsi="Times New Roman" w:cs="Times New Roman"/>
          <w:b/>
          <w:sz w:val="24"/>
          <w:szCs w:val="24"/>
          <w:lang w:eastAsia="hu-HU"/>
        </w:rPr>
        <w:t xml:space="preserve">lásra </w:t>
      </w:r>
      <w:proofErr w:type="spellStart"/>
      <w:r w:rsidR="009151A6">
        <w:rPr>
          <w:rFonts w:ascii="Times New Roman" w:eastAsia="Times New Roman" w:hAnsi="Times New Roman" w:cs="Times New Roman"/>
          <w:b/>
          <w:sz w:val="24"/>
          <w:szCs w:val="24"/>
          <w:lang w:eastAsia="hu-HU"/>
        </w:rPr>
        <w:t>felhívó</w:t>
      </w:r>
      <w:r w:rsidRPr="00504619">
        <w:rPr>
          <w:rFonts w:ascii="Times New Roman" w:eastAsia="Times New Roman" w:hAnsi="Times New Roman" w:cs="Times New Roman"/>
          <w:b/>
          <w:sz w:val="24"/>
          <w:szCs w:val="24"/>
          <w:lang w:eastAsia="hu-HU"/>
        </w:rPr>
        <w:t>levelet</w:t>
      </w:r>
      <w:proofErr w:type="spellEnd"/>
      <w:r w:rsidRPr="00504619">
        <w:rPr>
          <w:rFonts w:ascii="Times New Roman" w:eastAsia="Times New Roman" w:hAnsi="Times New Roman" w:cs="Times New Roman"/>
          <w:b/>
          <w:sz w:val="24"/>
          <w:szCs w:val="24"/>
          <w:lang w:eastAsia="hu-HU"/>
        </w:rPr>
        <w:t xml:space="preserve"> küld</w:t>
      </w:r>
      <w:r w:rsidRPr="00504619">
        <w:rPr>
          <w:rFonts w:ascii="Times New Roman" w:eastAsia="Times New Roman" w:hAnsi="Times New Roman" w:cs="Times New Roman"/>
          <w:sz w:val="24"/>
          <w:szCs w:val="24"/>
          <w:lang w:eastAsia="hu-HU"/>
        </w:rPr>
        <w:t xml:space="preserve"> a kérelmező részére. A kérelmező a </w:t>
      </w:r>
      <w:r w:rsidRPr="00504619">
        <w:rPr>
          <w:rFonts w:ascii="Times New Roman" w:eastAsia="Times New Roman" w:hAnsi="Times New Roman" w:cs="Times New Roman"/>
          <w:b/>
          <w:sz w:val="24"/>
          <w:szCs w:val="24"/>
          <w:lang w:eastAsia="hu-HU"/>
        </w:rPr>
        <w:t>levélben megjelölt hiánypótlást 8 napon belül megküldi</w:t>
      </w:r>
      <w:r w:rsidRPr="00504619">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az </w:t>
      </w:r>
      <w:r w:rsidRPr="00882B83">
        <w:rPr>
          <w:rFonts w:ascii="Times New Roman" w:hAnsi="Times New Roman" w:cs="Times New Roman"/>
          <w:b/>
          <w:sz w:val="24"/>
          <w:szCs w:val="24"/>
        </w:rPr>
        <w:t>adószabályozásért és számvitelért felelős helyettes államtitkárság</w:t>
      </w:r>
      <w:r w:rsidRPr="00504619">
        <w:rPr>
          <w:rFonts w:ascii="Times New Roman" w:eastAsia="Times New Roman" w:hAnsi="Times New Roman" w:cs="Times New Roman"/>
          <w:sz w:val="24"/>
          <w:szCs w:val="24"/>
          <w:lang w:eastAsia="hu-HU"/>
        </w:rPr>
        <w:t xml:space="preserve"> részére. A kérelem </w:t>
      </w:r>
      <w:r w:rsidRPr="00504619">
        <w:rPr>
          <w:rFonts w:ascii="Times New Roman" w:eastAsia="Times New Roman" w:hAnsi="Times New Roman" w:cs="Times New Roman"/>
          <w:b/>
          <w:sz w:val="24"/>
          <w:szCs w:val="24"/>
          <w:lang w:eastAsia="hu-HU"/>
        </w:rPr>
        <w:t>kijavítására egy alkalommal</w:t>
      </w:r>
      <w:r w:rsidRPr="00504619">
        <w:rPr>
          <w:rFonts w:ascii="Times New Roman" w:eastAsia="Times New Roman" w:hAnsi="Times New Roman" w:cs="Times New Roman"/>
          <w:sz w:val="24"/>
          <w:szCs w:val="24"/>
          <w:lang w:eastAsia="hu-HU"/>
        </w:rPr>
        <w:t xml:space="preserve"> van lehetőség.</w:t>
      </w:r>
    </w:p>
    <w:p w:rsidR="000B75C7" w:rsidRPr="00882B83" w:rsidRDefault="000B75C7" w:rsidP="00882B83">
      <w:p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A </w:t>
      </w:r>
      <w:r w:rsidRPr="00882B83">
        <w:rPr>
          <w:rFonts w:ascii="Times New Roman" w:hAnsi="Times New Roman" w:cs="Times New Roman"/>
          <w:b/>
          <w:sz w:val="24"/>
          <w:szCs w:val="24"/>
        </w:rPr>
        <w:t>kérelem érdemi vizsgálata alapján a kérelem elfogadásra vagy elutasításra kerül</w:t>
      </w:r>
      <w:r w:rsidRPr="00882B83">
        <w:rPr>
          <w:rFonts w:ascii="Times New Roman" w:hAnsi="Times New Roman" w:cs="Times New Roman"/>
          <w:sz w:val="24"/>
          <w:szCs w:val="24"/>
        </w:rPr>
        <w:t xml:space="preserve">, az érdemi döntésről a kérelem előterjesztőjét az NGM </w:t>
      </w:r>
      <w:r w:rsidRPr="00882B83">
        <w:rPr>
          <w:rFonts w:ascii="Times New Roman" w:hAnsi="Times New Roman" w:cs="Times New Roman"/>
          <w:b/>
          <w:sz w:val="24"/>
          <w:szCs w:val="24"/>
        </w:rPr>
        <w:t>írásban értesíti.</w:t>
      </w:r>
      <w:r w:rsidR="002B4611" w:rsidRPr="00882B83">
        <w:rPr>
          <w:rFonts w:ascii="Times New Roman" w:hAnsi="Times New Roman" w:cs="Times New Roman"/>
          <w:b/>
          <w:sz w:val="24"/>
          <w:szCs w:val="24"/>
        </w:rPr>
        <w:t xml:space="preserve"> </w:t>
      </w:r>
    </w:p>
    <w:p w:rsidR="00504619" w:rsidRPr="00504619" w:rsidRDefault="00504619" w:rsidP="00504619">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A kérelmező a </w:t>
      </w:r>
      <w:r w:rsidR="009151A6" w:rsidRPr="00A71793">
        <w:rPr>
          <w:rFonts w:ascii="Times New Roman" w:eastAsia="Times New Roman" w:hAnsi="Times New Roman" w:cs="Times New Roman"/>
          <w:b/>
          <w:sz w:val="24"/>
          <w:szCs w:val="24"/>
          <w:lang w:eastAsia="hu-HU"/>
        </w:rPr>
        <w:t>kérelmet támogató döntésről szóló</w:t>
      </w:r>
      <w:r w:rsidR="009151A6">
        <w:rPr>
          <w:rFonts w:ascii="Times New Roman" w:eastAsia="Times New Roman" w:hAnsi="Times New Roman" w:cs="Times New Roman"/>
          <w:sz w:val="24"/>
          <w:szCs w:val="24"/>
          <w:lang w:eastAsia="hu-HU"/>
        </w:rPr>
        <w:t xml:space="preserve"> </w:t>
      </w:r>
      <w:r w:rsidRPr="00504619">
        <w:rPr>
          <w:rFonts w:ascii="Times New Roman" w:eastAsia="Times New Roman" w:hAnsi="Times New Roman" w:cs="Times New Roman"/>
          <w:b/>
          <w:sz w:val="24"/>
          <w:szCs w:val="24"/>
          <w:lang w:eastAsia="hu-HU"/>
        </w:rPr>
        <w:t>tájékoztató kézhezvételét követő 5 napon belül</w:t>
      </w:r>
      <w:r w:rsidRPr="00504619">
        <w:rPr>
          <w:rFonts w:ascii="Times New Roman" w:eastAsia="Times New Roman" w:hAnsi="Times New Roman" w:cs="Times New Roman"/>
          <w:sz w:val="24"/>
          <w:szCs w:val="24"/>
          <w:lang w:eastAsia="hu-HU"/>
        </w:rPr>
        <w:t xml:space="preserve">, a támogatási szerződés megkötéséhez szükséges alábbi dokumentumokat küldi meg </w:t>
      </w:r>
      <w:r>
        <w:rPr>
          <w:rFonts w:ascii="Times New Roman" w:eastAsia="Times New Roman" w:hAnsi="Times New Roman" w:cs="Times New Roman"/>
          <w:sz w:val="24"/>
          <w:szCs w:val="24"/>
          <w:lang w:eastAsia="hu-HU"/>
        </w:rPr>
        <w:t xml:space="preserve">az </w:t>
      </w:r>
      <w:r w:rsidRPr="00882B83">
        <w:rPr>
          <w:rFonts w:ascii="Times New Roman" w:hAnsi="Times New Roman" w:cs="Times New Roman"/>
          <w:b/>
          <w:sz w:val="24"/>
          <w:szCs w:val="24"/>
        </w:rPr>
        <w:t>adószabályozásért és számvitelért felelős helyettes államtitkárság</w:t>
      </w:r>
      <w:r w:rsidR="00C6247F">
        <w:rPr>
          <w:rFonts w:ascii="Times New Roman" w:eastAsia="Times New Roman" w:hAnsi="Times New Roman" w:cs="Times New Roman"/>
          <w:sz w:val="24"/>
          <w:szCs w:val="24"/>
          <w:lang w:eastAsia="hu-HU"/>
        </w:rPr>
        <w:t xml:space="preserve"> részére:</w:t>
      </w:r>
    </w:p>
    <w:p w:rsidR="00504619" w:rsidRPr="00504619" w:rsidRDefault="00504619" w:rsidP="00504619">
      <w:pPr>
        <w:numPr>
          <w:ilvl w:val="0"/>
          <w:numId w:val="6"/>
        </w:numPr>
        <w:tabs>
          <w:tab w:val="left" w:pos="397"/>
          <w:tab w:val="left" w:pos="426"/>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lastRenderedPageBreak/>
        <w:t>A Kedvezményezett 30 napnál nem régebbi cégkivonatának vagy hatályos létesítő okiratának vagy nyilvántartásba vételét igazoló dokumentumának eredeti vagy közjegyzővel hitelesített másolati példánya.</w:t>
      </w:r>
    </w:p>
    <w:p w:rsidR="00504619" w:rsidRPr="00504619" w:rsidRDefault="00504619" w:rsidP="00504619">
      <w:pPr>
        <w:numPr>
          <w:ilvl w:val="0"/>
          <w:numId w:val="6"/>
        </w:numPr>
        <w:tabs>
          <w:tab w:val="left" w:pos="397"/>
          <w:tab w:val="left" w:pos="426"/>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Kedvezményezett nevében aláírásra jogosult személy vagy személyek pénzügyi intézmény által igazolt, ügyvéd által ellenjegyzett vagy közjegyző által hitelesített 30 napnál nem régebbi aláírás mintája vagy az aláírás minta közjegyző által hitelesített másolata.</w:t>
      </w:r>
    </w:p>
    <w:p w:rsidR="00504619" w:rsidRPr="00504619" w:rsidRDefault="00504619" w:rsidP="00504619">
      <w:pPr>
        <w:numPr>
          <w:ilvl w:val="0"/>
          <w:numId w:val="6"/>
        </w:numPr>
        <w:tabs>
          <w:tab w:val="left" w:pos="397"/>
          <w:tab w:val="left" w:pos="426"/>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Átláthatósági nyilatkozat.</w:t>
      </w:r>
    </w:p>
    <w:p w:rsidR="00504619" w:rsidRPr="00504619" w:rsidRDefault="00504619" w:rsidP="00504619">
      <w:pPr>
        <w:numPr>
          <w:ilvl w:val="0"/>
          <w:numId w:val="6"/>
        </w:numPr>
        <w:tabs>
          <w:tab w:val="left" w:pos="397"/>
          <w:tab w:val="left" w:pos="426"/>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Költségterv, amennyiben a támogatási összeg eltér a támogatási kérelemben foglalttól.</w:t>
      </w:r>
    </w:p>
    <w:p w:rsidR="00504619" w:rsidRPr="00A71793" w:rsidRDefault="00504619" w:rsidP="00504619">
      <w:pPr>
        <w:numPr>
          <w:ilvl w:val="0"/>
          <w:numId w:val="6"/>
        </w:numPr>
        <w:tabs>
          <w:tab w:val="left" w:pos="397"/>
          <w:tab w:val="left" w:pos="426"/>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A71793">
        <w:rPr>
          <w:rFonts w:ascii="Times New Roman" w:eastAsia="Times New Roman" w:hAnsi="Times New Roman" w:cs="Times New Roman"/>
          <w:sz w:val="24"/>
          <w:szCs w:val="24"/>
          <w:lang w:eastAsia="hu-HU"/>
        </w:rPr>
        <w:t>Gazdasági társaság Kedvezményezett esetén: Nyilatkozat az európai uniós társfinanszírozású projektek megvalósítási helyzetéről.</w:t>
      </w:r>
    </w:p>
    <w:p w:rsidR="00504619" w:rsidRPr="00504619" w:rsidRDefault="00504619" w:rsidP="00504619">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Az Áht. 50. §</w:t>
      </w:r>
      <w:proofErr w:type="spellStart"/>
      <w:r w:rsidRPr="00504619">
        <w:rPr>
          <w:rFonts w:ascii="Times New Roman" w:eastAsia="Times New Roman" w:hAnsi="Times New Roman" w:cs="Times New Roman"/>
          <w:sz w:val="24"/>
          <w:szCs w:val="24"/>
          <w:lang w:eastAsia="hu-HU"/>
        </w:rPr>
        <w:t>-</w:t>
      </w:r>
      <w:proofErr w:type="gramStart"/>
      <w:r w:rsidRPr="00504619">
        <w:rPr>
          <w:rFonts w:ascii="Times New Roman" w:eastAsia="Times New Roman" w:hAnsi="Times New Roman" w:cs="Times New Roman"/>
          <w:sz w:val="24"/>
          <w:szCs w:val="24"/>
          <w:lang w:eastAsia="hu-HU"/>
        </w:rPr>
        <w:t>a</w:t>
      </w:r>
      <w:proofErr w:type="spellEnd"/>
      <w:proofErr w:type="gramEnd"/>
      <w:r w:rsidRPr="00504619">
        <w:rPr>
          <w:rFonts w:ascii="Times New Roman" w:eastAsia="Times New Roman" w:hAnsi="Times New Roman" w:cs="Times New Roman"/>
          <w:sz w:val="24"/>
          <w:szCs w:val="24"/>
          <w:lang w:eastAsia="hu-HU"/>
        </w:rPr>
        <w:t xml:space="preserve"> és az </w:t>
      </w:r>
      <w:proofErr w:type="spellStart"/>
      <w:r w:rsidRPr="00504619">
        <w:rPr>
          <w:rFonts w:ascii="Times New Roman" w:eastAsia="Times New Roman" w:hAnsi="Times New Roman" w:cs="Times New Roman"/>
          <w:sz w:val="24"/>
          <w:szCs w:val="24"/>
          <w:lang w:eastAsia="hu-HU"/>
        </w:rPr>
        <w:t>Ávr</w:t>
      </w:r>
      <w:proofErr w:type="spellEnd"/>
      <w:r w:rsidRPr="00504619">
        <w:rPr>
          <w:rFonts w:ascii="Times New Roman" w:eastAsia="Times New Roman" w:hAnsi="Times New Roman" w:cs="Times New Roman"/>
          <w:sz w:val="24"/>
          <w:szCs w:val="24"/>
          <w:lang w:eastAsia="hu-HU"/>
        </w:rPr>
        <w:t>. 81. §</w:t>
      </w:r>
      <w:proofErr w:type="spellStart"/>
      <w:r w:rsidRPr="00504619">
        <w:rPr>
          <w:rFonts w:ascii="Times New Roman" w:eastAsia="Times New Roman" w:hAnsi="Times New Roman" w:cs="Times New Roman"/>
          <w:sz w:val="24"/>
          <w:szCs w:val="24"/>
          <w:lang w:eastAsia="hu-HU"/>
        </w:rPr>
        <w:t>-</w:t>
      </w:r>
      <w:proofErr w:type="gramStart"/>
      <w:r w:rsidRPr="00504619">
        <w:rPr>
          <w:rFonts w:ascii="Times New Roman" w:eastAsia="Times New Roman" w:hAnsi="Times New Roman" w:cs="Times New Roman"/>
          <w:sz w:val="24"/>
          <w:szCs w:val="24"/>
          <w:lang w:eastAsia="hu-HU"/>
        </w:rPr>
        <w:t>a</w:t>
      </w:r>
      <w:proofErr w:type="spellEnd"/>
      <w:proofErr w:type="gramEnd"/>
      <w:r w:rsidRPr="00504619">
        <w:rPr>
          <w:rFonts w:ascii="Times New Roman" w:eastAsia="Times New Roman" w:hAnsi="Times New Roman" w:cs="Times New Roman"/>
          <w:sz w:val="24"/>
          <w:szCs w:val="24"/>
          <w:lang w:eastAsia="hu-HU"/>
        </w:rPr>
        <w:t xml:space="preserve"> alapján </w:t>
      </w:r>
      <w:r w:rsidRPr="00504619">
        <w:rPr>
          <w:rFonts w:ascii="Times New Roman" w:eastAsia="Times New Roman" w:hAnsi="Times New Roman" w:cs="Times New Roman"/>
          <w:b/>
          <w:sz w:val="24"/>
          <w:szCs w:val="24"/>
          <w:lang w:eastAsia="hu-HU"/>
        </w:rPr>
        <w:t>nem köthető</w:t>
      </w:r>
      <w:r w:rsidRPr="00504619">
        <w:rPr>
          <w:rFonts w:ascii="Times New Roman" w:eastAsia="Times New Roman" w:hAnsi="Times New Roman" w:cs="Times New Roman"/>
          <w:sz w:val="24"/>
          <w:szCs w:val="24"/>
          <w:lang w:eastAsia="hu-HU"/>
        </w:rPr>
        <w:t xml:space="preserve"> </w:t>
      </w:r>
      <w:r w:rsidRPr="00504619">
        <w:rPr>
          <w:rFonts w:ascii="Times New Roman" w:eastAsia="Times New Roman" w:hAnsi="Times New Roman" w:cs="Times New Roman"/>
          <w:b/>
          <w:sz w:val="24"/>
          <w:szCs w:val="24"/>
          <w:lang w:eastAsia="hu-HU"/>
        </w:rPr>
        <w:t>támogatási szerződés</w:t>
      </w:r>
      <w:r w:rsidRPr="00504619">
        <w:rPr>
          <w:rFonts w:ascii="Times New Roman" w:eastAsia="Times New Roman" w:hAnsi="Times New Roman" w:cs="Times New Roman"/>
          <w:sz w:val="24"/>
          <w:szCs w:val="24"/>
          <w:lang w:eastAsia="hu-HU"/>
        </w:rPr>
        <w:t xml:space="preserve"> azzal és nem részesülhet költségvetési támogatásban, aki</w:t>
      </w:r>
    </w:p>
    <w:p w:rsidR="00504619" w:rsidRPr="00504619" w:rsidRDefault="00504619" w:rsidP="00130939">
      <w:pPr>
        <w:numPr>
          <w:ilvl w:val="0"/>
          <w:numId w:val="5"/>
        </w:numPr>
        <w:tabs>
          <w:tab w:val="left" w:pos="397"/>
          <w:tab w:val="left" w:pos="426"/>
          <w:tab w:val="left" w:pos="794"/>
          <w:tab w:val="left" w:pos="1191"/>
          <w:tab w:val="left" w:pos="1588"/>
          <w:tab w:val="left" w:pos="1985"/>
        </w:tabs>
        <w:spacing w:after="120" w:line="240" w:lineRule="auto"/>
        <w:ind w:left="425" w:hanging="425"/>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nem felel meg az </w:t>
      </w:r>
      <w:proofErr w:type="spellStart"/>
      <w:r w:rsidRPr="00504619">
        <w:rPr>
          <w:rFonts w:ascii="Times New Roman" w:eastAsia="Times New Roman" w:hAnsi="Times New Roman" w:cs="Times New Roman"/>
          <w:sz w:val="24"/>
          <w:szCs w:val="24"/>
          <w:lang w:eastAsia="hu-HU"/>
        </w:rPr>
        <w:t>Ávr</w:t>
      </w:r>
      <w:proofErr w:type="spellEnd"/>
      <w:r w:rsidRPr="00504619">
        <w:rPr>
          <w:rFonts w:ascii="Times New Roman" w:eastAsia="Times New Roman" w:hAnsi="Times New Roman" w:cs="Times New Roman"/>
          <w:sz w:val="24"/>
          <w:szCs w:val="24"/>
          <w:lang w:eastAsia="hu-HU"/>
        </w:rPr>
        <w:t>. 82. §</w:t>
      </w:r>
      <w:proofErr w:type="spellStart"/>
      <w:r w:rsidRPr="00504619">
        <w:rPr>
          <w:rFonts w:ascii="Times New Roman" w:eastAsia="Times New Roman" w:hAnsi="Times New Roman" w:cs="Times New Roman"/>
          <w:sz w:val="24"/>
          <w:szCs w:val="24"/>
          <w:lang w:eastAsia="hu-HU"/>
        </w:rPr>
        <w:t>-a</w:t>
      </w:r>
      <w:proofErr w:type="spellEnd"/>
      <w:r w:rsidRPr="00504619">
        <w:rPr>
          <w:rFonts w:ascii="Times New Roman" w:eastAsia="Times New Roman" w:hAnsi="Times New Roman" w:cs="Times New Roman"/>
          <w:sz w:val="24"/>
          <w:szCs w:val="24"/>
          <w:lang w:eastAsia="hu-HU"/>
        </w:rPr>
        <w:t xml:space="preserve"> szerinti rendezett munkaügyi kapcsolatok követelményének,</w:t>
      </w:r>
    </w:p>
    <w:p w:rsidR="00504619" w:rsidRPr="00504619" w:rsidRDefault="00504619" w:rsidP="00130939">
      <w:pPr>
        <w:numPr>
          <w:ilvl w:val="0"/>
          <w:numId w:val="5"/>
        </w:numPr>
        <w:tabs>
          <w:tab w:val="left" w:pos="397"/>
          <w:tab w:val="left" w:pos="426"/>
          <w:tab w:val="left" w:pos="794"/>
          <w:tab w:val="left" w:pos="1191"/>
          <w:tab w:val="left" w:pos="1588"/>
          <w:tab w:val="left" w:pos="1985"/>
        </w:tabs>
        <w:spacing w:after="120" w:line="240" w:lineRule="auto"/>
        <w:ind w:left="425" w:hanging="425"/>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jogerős végzéssel elrendelt felszámolási, csőd-, végelszámolási vagy egyéb - a megszüntetésére irányuló, jogszabályban meghatározott - eljárás alatt áll,</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támogatási döntés tartalmát érdemben befolyásoló valótlan, hamis vagy megtévesztő adatot szolgáltatott vagy ilyen nyilatkozatot tett,</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a támogató által vagy jogszabályban meghatározott mértékű saját forrás nem áll rendelkezésére, továbbá azt nem igazolja, vagy arról nem nyilatkozik, </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a támogatási szerződés megkötésének feltételeként jogszabályban meghatározott nyilatkozatokat nem teszi meg, dokumentumokat nem nyújtja be, vagy a megtett nyilatkozatát visszavonja, </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köztulajdonban álló gazdasági társaságok takarékosabb működéséről szóló törvényben foglalt közzétételi kötelezettségének nem tett eleget,</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jogi személy vagy jogi személyiséggel nem rendelkező más szervezet esetén nem minősül az Áht. 55. §</w:t>
      </w:r>
      <w:proofErr w:type="spellStart"/>
      <w:r w:rsidRPr="00504619">
        <w:rPr>
          <w:rFonts w:ascii="Times New Roman" w:eastAsia="Times New Roman" w:hAnsi="Times New Roman" w:cs="Times New Roman"/>
          <w:sz w:val="24"/>
          <w:szCs w:val="24"/>
          <w:lang w:eastAsia="hu-HU"/>
        </w:rPr>
        <w:t>-a</w:t>
      </w:r>
      <w:proofErr w:type="spellEnd"/>
      <w:r w:rsidRPr="00504619">
        <w:rPr>
          <w:rFonts w:ascii="Times New Roman" w:eastAsia="Times New Roman" w:hAnsi="Times New Roman" w:cs="Times New Roman"/>
          <w:sz w:val="24"/>
          <w:szCs w:val="24"/>
          <w:lang w:eastAsia="hu-HU"/>
        </w:rPr>
        <w:t xml:space="preserve"> szerint átlátható szervezetnek,</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támogatási döntést meghozta, vagy aki a támogatási döntés meghozatalában döntés-előkészítőként részt vett,</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a támogatási döntés időpontjában a Kormány tagja, államtitkár, közigazgatási államtitkár, helyettes államtitkár, megyei közgyűlés elnöke, főpolgármester, polgármester, regionális fejlesztési </w:t>
      </w:r>
      <w:proofErr w:type="gramStart"/>
      <w:r w:rsidRPr="00504619">
        <w:rPr>
          <w:rFonts w:ascii="Times New Roman" w:eastAsia="Times New Roman" w:hAnsi="Times New Roman" w:cs="Times New Roman"/>
          <w:sz w:val="24"/>
          <w:szCs w:val="24"/>
          <w:lang w:eastAsia="hu-HU"/>
        </w:rPr>
        <w:t>ügynökség vezető</w:t>
      </w:r>
      <w:proofErr w:type="gramEnd"/>
      <w:r w:rsidRPr="00504619">
        <w:rPr>
          <w:rFonts w:ascii="Times New Roman" w:eastAsia="Times New Roman" w:hAnsi="Times New Roman" w:cs="Times New Roman"/>
          <w:sz w:val="24"/>
          <w:szCs w:val="24"/>
          <w:lang w:eastAsia="hu-HU"/>
        </w:rPr>
        <w:t xml:space="preserve"> tisztségviselője,</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h) és az i) pont szerinti személlyel közös háztartásban élő hozzátartozó,</w:t>
      </w:r>
    </w:p>
    <w:p w:rsidR="00504619" w:rsidRPr="00504619" w:rsidRDefault="00504619" w:rsidP="00504619">
      <w:pPr>
        <w:numPr>
          <w:ilvl w:val="0"/>
          <w:numId w:val="5"/>
        </w:numPr>
        <w:tabs>
          <w:tab w:val="left" w:pos="0"/>
          <w:tab w:val="left" w:pos="397"/>
          <w:tab w:val="left" w:pos="794"/>
          <w:tab w:val="left" w:pos="1191"/>
          <w:tab w:val="left" w:pos="1588"/>
          <w:tab w:val="left" w:pos="1985"/>
        </w:tabs>
        <w:spacing w:after="120" w:line="240" w:lineRule="auto"/>
        <w:ind w:left="357" w:hanging="357"/>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a nyilvánosan működő részvénytársaság kivételével - a h) és i) pont szerinti személy tulajdonában álló gazdasági társaság,</w:t>
      </w:r>
    </w:p>
    <w:p w:rsidR="00271A27" w:rsidRDefault="00504619" w:rsidP="00271A27">
      <w:pPr>
        <w:numPr>
          <w:ilvl w:val="0"/>
          <w:numId w:val="5"/>
        </w:numPr>
        <w:tabs>
          <w:tab w:val="left" w:pos="0"/>
          <w:tab w:val="left" w:pos="397"/>
          <w:tab w:val="left" w:pos="794"/>
          <w:tab w:val="left" w:pos="1191"/>
          <w:tab w:val="left" w:pos="1588"/>
          <w:tab w:val="left" w:pos="1985"/>
        </w:tabs>
        <w:spacing w:after="0" w:line="240" w:lineRule="auto"/>
        <w:ind w:left="357" w:hanging="357"/>
        <w:jc w:val="both"/>
        <w:rPr>
          <w:rFonts w:ascii="Times New Roman" w:eastAsia="Times New Roman" w:hAnsi="Times New Roman" w:cs="Times New Roman"/>
          <w:sz w:val="24"/>
          <w:szCs w:val="24"/>
          <w:lang w:eastAsia="hu-HU"/>
        </w:rPr>
      </w:pPr>
      <w:proofErr w:type="gramStart"/>
      <w:r w:rsidRPr="00504619">
        <w:rPr>
          <w:rFonts w:ascii="Times New Roman" w:eastAsia="Times New Roman" w:hAnsi="Times New Roman" w:cs="Times New Roman"/>
          <w:sz w:val="24"/>
          <w:szCs w:val="24"/>
          <w:lang w:eastAsia="hu-HU"/>
        </w:rPr>
        <w:t>az állam, helyi önkormányzat, illetve a köztestület legalább 50%-os közvetlen vagy közvetett tulajdonában lévő gazdasági társaság, valamint sportegyesület és a sportszövetség kivételével - az olyan gazdasági társaság, alapítvány, egyesület, egyházi jogi személy vagy szakszervezet, illetve ezek önálló jogi személyiséggel rendelkező olyan szervezeti egysége, amelyben a h) - j) pont szerinti személy vezető tisztségviselő, az alapítvány kezelő szervének, szervezetének tagja, tisztségviselője, az egyesület, az egyházi jogi személy vagy a szakszervezet ügyintéző v</w:t>
      </w:r>
      <w:r w:rsidR="00271A27">
        <w:rPr>
          <w:rFonts w:ascii="Times New Roman" w:eastAsia="Times New Roman" w:hAnsi="Times New Roman" w:cs="Times New Roman"/>
          <w:sz w:val="24"/>
          <w:szCs w:val="24"/>
          <w:lang w:eastAsia="hu-HU"/>
        </w:rPr>
        <w:t>agy képviseleti szervének tagja,</w:t>
      </w:r>
      <w:proofErr w:type="gramEnd"/>
    </w:p>
    <w:p w:rsidR="00305C46" w:rsidRPr="00271A27" w:rsidRDefault="004550F4" w:rsidP="00271A27">
      <w:pPr>
        <w:numPr>
          <w:ilvl w:val="0"/>
          <w:numId w:val="5"/>
        </w:numPr>
        <w:tabs>
          <w:tab w:val="left" w:pos="0"/>
          <w:tab w:val="left" w:pos="397"/>
          <w:tab w:val="left" w:pos="794"/>
          <w:tab w:val="left" w:pos="1191"/>
          <w:tab w:val="left" w:pos="1588"/>
          <w:tab w:val="left" w:pos="1985"/>
        </w:tabs>
        <w:spacing w:after="0" w:line="240" w:lineRule="auto"/>
        <w:ind w:left="357" w:hanging="357"/>
        <w:jc w:val="both"/>
        <w:rPr>
          <w:rFonts w:ascii="Times New Roman" w:eastAsia="Times New Roman" w:hAnsi="Times New Roman" w:cs="Times New Roman"/>
          <w:sz w:val="24"/>
          <w:szCs w:val="24"/>
          <w:lang w:eastAsia="hu-HU"/>
        </w:rPr>
      </w:pPr>
      <w:r w:rsidRPr="00271A27">
        <w:rPr>
          <w:rFonts w:ascii="Times New Roman" w:eastAsia="Times New Roman" w:hAnsi="Times New Roman" w:cs="Times New Roman"/>
          <w:sz w:val="24"/>
          <w:szCs w:val="24"/>
          <w:lang w:eastAsia="hu-HU"/>
        </w:rPr>
        <w:lastRenderedPageBreak/>
        <w:t xml:space="preserve">a </w:t>
      </w:r>
      <w:r w:rsidR="009B523C" w:rsidRPr="00271A27">
        <w:rPr>
          <w:rFonts w:ascii="Times New Roman" w:eastAsia="Times New Roman" w:hAnsi="Times New Roman" w:cs="Times New Roman"/>
          <w:sz w:val="24"/>
          <w:szCs w:val="24"/>
          <w:lang w:eastAsia="hu-HU"/>
        </w:rPr>
        <w:t xml:space="preserve">kérelem benyújtásakor, illetve a </w:t>
      </w:r>
      <w:r w:rsidRPr="00271A27">
        <w:rPr>
          <w:rFonts w:ascii="Times New Roman" w:eastAsia="Times New Roman" w:hAnsi="Times New Roman" w:cs="Times New Roman"/>
          <w:sz w:val="24"/>
          <w:szCs w:val="24"/>
          <w:lang w:eastAsia="hu-HU"/>
        </w:rPr>
        <w:t>támogatási szer</w:t>
      </w:r>
      <w:r w:rsidR="00A71793" w:rsidRPr="00271A27">
        <w:rPr>
          <w:rFonts w:ascii="Times New Roman" w:eastAsia="Times New Roman" w:hAnsi="Times New Roman" w:cs="Times New Roman"/>
          <w:sz w:val="24"/>
          <w:szCs w:val="24"/>
          <w:lang w:eastAsia="hu-HU"/>
        </w:rPr>
        <w:t>ződés megkötésekor az állami adó</w:t>
      </w:r>
      <w:r w:rsidRPr="00271A27">
        <w:rPr>
          <w:rFonts w:ascii="Times New Roman" w:eastAsia="Times New Roman" w:hAnsi="Times New Roman" w:cs="Times New Roman"/>
          <w:sz w:val="24"/>
          <w:szCs w:val="24"/>
          <w:lang w:eastAsia="hu-HU"/>
        </w:rPr>
        <w:t xml:space="preserve">hatóságnál nyilvántartott, esedékessé vált és meg nem fizetett adó-, illeték-, vám-, illetve </w:t>
      </w:r>
      <w:proofErr w:type="gramStart"/>
      <w:r w:rsidRPr="00271A27">
        <w:rPr>
          <w:rFonts w:ascii="Times New Roman" w:eastAsia="Times New Roman" w:hAnsi="Times New Roman" w:cs="Times New Roman"/>
          <w:sz w:val="24"/>
          <w:szCs w:val="24"/>
          <w:lang w:eastAsia="hu-HU"/>
        </w:rPr>
        <w:t xml:space="preserve">járulék </w:t>
      </w:r>
      <w:r w:rsidR="00A71793" w:rsidRPr="00271A27">
        <w:rPr>
          <w:rFonts w:ascii="Times New Roman" w:eastAsia="Times New Roman" w:hAnsi="Times New Roman" w:cs="Times New Roman"/>
          <w:sz w:val="24"/>
          <w:szCs w:val="24"/>
          <w:lang w:eastAsia="hu-HU"/>
        </w:rPr>
        <w:t>tartozással</w:t>
      </w:r>
      <w:proofErr w:type="gramEnd"/>
      <w:r w:rsidR="00A71793" w:rsidRPr="00271A27">
        <w:rPr>
          <w:rFonts w:ascii="Times New Roman" w:eastAsia="Times New Roman" w:hAnsi="Times New Roman" w:cs="Times New Roman"/>
          <w:sz w:val="24"/>
          <w:szCs w:val="24"/>
          <w:lang w:eastAsia="hu-HU"/>
        </w:rPr>
        <w:t xml:space="preserve"> rendelkezik.</w:t>
      </w:r>
    </w:p>
    <w:p w:rsidR="00C6247F" w:rsidRDefault="00C6247F" w:rsidP="00882B83">
      <w:pPr>
        <w:spacing w:line="240" w:lineRule="auto"/>
        <w:jc w:val="both"/>
        <w:rPr>
          <w:rFonts w:ascii="Times New Roman" w:hAnsi="Times New Roman" w:cs="Times New Roman"/>
          <w:sz w:val="24"/>
          <w:szCs w:val="24"/>
        </w:rPr>
      </w:pPr>
    </w:p>
    <w:p w:rsidR="00357A98" w:rsidRDefault="000B75C7" w:rsidP="00882B83">
      <w:p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A kérelem elfogadása esetén a támogatás felhasználásához </w:t>
      </w:r>
      <w:r w:rsidRPr="00882B83">
        <w:rPr>
          <w:rFonts w:ascii="Times New Roman" w:hAnsi="Times New Roman" w:cs="Times New Roman"/>
          <w:b/>
          <w:sz w:val="24"/>
          <w:szCs w:val="24"/>
        </w:rPr>
        <w:t>támogat</w:t>
      </w:r>
      <w:r w:rsidR="00C17182" w:rsidRPr="00882B83">
        <w:rPr>
          <w:rFonts w:ascii="Times New Roman" w:hAnsi="Times New Roman" w:cs="Times New Roman"/>
          <w:b/>
          <w:sz w:val="24"/>
          <w:szCs w:val="24"/>
        </w:rPr>
        <w:t>ási</w:t>
      </w:r>
      <w:r w:rsidRPr="00882B83">
        <w:rPr>
          <w:rFonts w:ascii="Times New Roman" w:hAnsi="Times New Roman" w:cs="Times New Roman"/>
          <w:b/>
          <w:sz w:val="24"/>
          <w:szCs w:val="24"/>
        </w:rPr>
        <w:t xml:space="preserve"> szerződés megkötése</w:t>
      </w:r>
      <w:r w:rsidRPr="00882B83">
        <w:rPr>
          <w:rFonts w:ascii="Times New Roman" w:hAnsi="Times New Roman" w:cs="Times New Roman"/>
          <w:sz w:val="24"/>
          <w:szCs w:val="24"/>
        </w:rPr>
        <w:t xml:space="preserve"> szükséges. </w:t>
      </w:r>
      <w:r w:rsidR="00357A98">
        <w:rPr>
          <w:rFonts w:ascii="Times New Roman" w:hAnsi="Times New Roman" w:cs="Times New Roman"/>
          <w:sz w:val="24"/>
          <w:szCs w:val="24"/>
        </w:rPr>
        <w:t xml:space="preserve">Amennyiben </w:t>
      </w:r>
      <w:r w:rsidR="00E52054">
        <w:rPr>
          <w:rFonts w:ascii="Times New Roman" w:hAnsi="Times New Roman" w:cs="Times New Roman"/>
          <w:sz w:val="24"/>
          <w:szCs w:val="24"/>
        </w:rPr>
        <w:t xml:space="preserve">a </w:t>
      </w:r>
      <w:bookmarkStart w:id="0" w:name="_GoBack"/>
      <w:bookmarkEnd w:id="0"/>
      <w:r w:rsidR="00357A98">
        <w:rPr>
          <w:rFonts w:ascii="Times New Roman" w:hAnsi="Times New Roman" w:cs="Times New Roman"/>
          <w:sz w:val="24"/>
          <w:szCs w:val="24"/>
        </w:rPr>
        <w:t>kérelmező mulasztásából a támogató által meghatározott határidőtől számított további harminc napon belül nem kerül sor a szerződéskötésre, a támogatási döntés hatályát veszti.</w:t>
      </w:r>
    </w:p>
    <w:p w:rsidR="000B75C7" w:rsidRPr="00882B83" w:rsidRDefault="00644016" w:rsidP="00882B83">
      <w:p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A támogatási szerződés tervezetét az NGM készíti elő.</w:t>
      </w:r>
      <w:r w:rsidR="00357A98">
        <w:rPr>
          <w:rFonts w:ascii="Times New Roman" w:hAnsi="Times New Roman" w:cs="Times New Roman"/>
          <w:sz w:val="24"/>
          <w:szCs w:val="24"/>
        </w:rPr>
        <w:t xml:space="preserve"> </w:t>
      </w:r>
      <w:r w:rsidR="000B75C7" w:rsidRPr="00882B83">
        <w:rPr>
          <w:rFonts w:ascii="Times New Roman" w:hAnsi="Times New Roman" w:cs="Times New Roman"/>
          <w:sz w:val="24"/>
          <w:szCs w:val="24"/>
        </w:rPr>
        <w:t>A támogatási szerződés</w:t>
      </w:r>
      <w:r w:rsidR="003C1310" w:rsidRPr="00882B83">
        <w:rPr>
          <w:rFonts w:ascii="Times New Roman" w:hAnsi="Times New Roman" w:cs="Times New Roman"/>
          <w:sz w:val="24"/>
          <w:szCs w:val="24"/>
        </w:rPr>
        <w:t xml:space="preserve">ben </w:t>
      </w:r>
    </w:p>
    <w:p w:rsidR="000B75C7" w:rsidRPr="00882B83" w:rsidRDefault="000B75C7" w:rsidP="00882B83">
      <w:pPr>
        <w:pStyle w:val="Listaszerbekezds"/>
        <w:numPr>
          <w:ilvl w:val="0"/>
          <w:numId w:val="2"/>
        </w:num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előlegre vonatkozó rendelkezés előírható, </w:t>
      </w:r>
    </w:p>
    <w:p w:rsidR="000B75C7" w:rsidRPr="00882B83" w:rsidRDefault="000B75C7" w:rsidP="00882B83">
      <w:pPr>
        <w:pStyle w:val="Listaszerbekezds"/>
        <w:numPr>
          <w:ilvl w:val="0"/>
          <w:numId w:val="2"/>
        </w:numPr>
        <w:spacing w:line="240" w:lineRule="auto"/>
        <w:jc w:val="both"/>
        <w:rPr>
          <w:rFonts w:ascii="Times New Roman" w:hAnsi="Times New Roman" w:cs="Times New Roman"/>
          <w:sz w:val="24"/>
          <w:szCs w:val="24"/>
        </w:rPr>
      </w:pPr>
      <w:r w:rsidRPr="00882B83">
        <w:rPr>
          <w:rFonts w:ascii="Times New Roman" w:hAnsi="Times New Roman" w:cs="Times New Roman"/>
          <w:sz w:val="24"/>
          <w:szCs w:val="24"/>
          <w:lang w:eastAsia="hu-HU"/>
        </w:rPr>
        <w:t>a támogatás rendelkezésre-bocsátása történhet egyösszegű kifizetéssel, részletekben történő kifizetéssel</w:t>
      </w:r>
      <w:r w:rsidR="00F03EB2">
        <w:rPr>
          <w:rFonts w:ascii="Times New Roman" w:hAnsi="Times New Roman" w:cs="Times New Roman"/>
          <w:sz w:val="24"/>
          <w:szCs w:val="24"/>
          <w:lang w:eastAsia="hu-HU"/>
        </w:rPr>
        <w:t>,</w:t>
      </w:r>
      <w:r w:rsidRPr="00882B83">
        <w:rPr>
          <w:rFonts w:ascii="Times New Roman" w:hAnsi="Times New Roman" w:cs="Times New Roman"/>
          <w:sz w:val="24"/>
          <w:szCs w:val="24"/>
          <w:lang w:eastAsia="hu-HU"/>
        </w:rPr>
        <w:t xml:space="preserve"> idő</w:t>
      </w:r>
      <w:r w:rsidR="00303BB5">
        <w:rPr>
          <w:rFonts w:ascii="Times New Roman" w:hAnsi="Times New Roman" w:cs="Times New Roman"/>
          <w:sz w:val="24"/>
          <w:szCs w:val="24"/>
          <w:lang w:eastAsia="hu-HU"/>
        </w:rPr>
        <w:t>-</w:t>
      </w:r>
      <w:r w:rsidRPr="00882B83">
        <w:rPr>
          <w:rFonts w:ascii="Times New Roman" w:hAnsi="Times New Roman" w:cs="Times New Roman"/>
          <w:sz w:val="24"/>
          <w:szCs w:val="24"/>
          <w:lang w:eastAsia="hu-HU"/>
        </w:rPr>
        <w:t xml:space="preserve"> vagy teljesítményarányosan, </w:t>
      </w:r>
    </w:p>
    <w:p w:rsidR="000B75C7" w:rsidRPr="00882B83" w:rsidRDefault="000B75C7" w:rsidP="00882B83">
      <w:pPr>
        <w:pStyle w:val="Listaszerbekezds"/>
        <w:numPr>
          <w:ilvl w:val="0"/>
          <w:numId w:val="2"/>
        </w:numPr>
        <w:spacing w:line="240" w:lineRule="auto"/>
        <w:jc w:val="both"/>
        <w:rPr>
          <w:rFonts w:ascii="Times New Roman" w:hAnsi="Times New Roman" w:cs="Times New Roman"/>
          <w:sz w:val="24"/>
          <w:szCs w:val="24"/>
        </w:rPr>
      </w:pPr>
      <w:r w:rsidRPr="00882B83">
        <w:rPr>
          <w:rFonts w:ascii="Times New Roman" w:hAnsi="Times New Roman" w:cs="Times New Roman"/>
          <w:sz w:val="24"/>
          <w:szCs w:val="24"/>
        </w:rPr>
        <w:t xml:space="preserve">biztosítékként a </w:t>
      </w:r>
      <w:r w:rsidRPr="00882B83">
        <w:rPr>
          <w:rFonts w:ascii="Times New Roman" w:hAnsi="Times New Roman" w:cs="Times New Roman"/>
          <w:sz w:val="24"/>
          <w:szCs w:val="24"/>
          <w:lang w:eastAsia="hu-HU"/>
        </w:rPr>
        <w:t>kedvezményezett valamennyi – jogszabály alapján beszedési megbízással megterhelhető – fizetési számlájára vonatkozó, a támogató javára szóló beszedési megbízás benyújtására vonatkozó felha</w:t>
      </w:r>
      <w:r w:rsidR="00644016" w:rsidRPr="00882B83">
        <w:rPr>
          <w:rFonts w:ascii="Times New Roman" w:hAnsi="Times New Roman" w:cs="Times New Roman"/>
          <w:sz w:val="24"/>
          <w:szCs w:val="24"/>
          <w:lang w:eastAsia="hu-HU"/>
        </w:rPr>
        <w:t>talmazó nyilatkozata szükséges.</w:t>
      </w:r>
    </w:p>
    <w:p w:rsidR="00A2243E" w:rsidRPr="003664CC" w:rsidRDefault="00A2243E" w:rsidP="00882B83">
      <w:pPr>
        <w:spacing w:line="240" w:lineRule="auto"/>
        <w:jc w:val="both"/>
        <w:rPr>
          <w:rFonts w:ascii="Times New Roman" w:hAnsi="Times New Roman" w:cs="Times New Roman"/>
          <w:b/>
          <w:sz w:val="24"/>
          <w:szCs w:val="24"/>
        </w:rPr>
      </w:pPr>
      <w:r w:rsidRPr="00882B83">
        <w:rPr>
          <w:rFonts w:ascii="Times New Roman" w:hAnsi="Times New Roman" w:cs="Times New Roman"/>
          <w:b/>
          <w:sz w:val="24"/>
          <w:szCs w:val="24"/>
        </w:rPr>
        <w:t xml:space="preserve">A </w:t>
      </w:r>
      <w:r w:rsidR="00F03EB2" w:rsidRPr="003664CC">
        <w:rPr>
          <w:rFonts w:ascii="Times New Roman" w:hAnsi="Times New Roman" w:cs="Times New Roman"/>
          <w:b/>
          <w:sz w:val="24"/>
          <w:szCs w:val="24"/>
        </w:rPr>
        <w:t>Felelős játékszervezési tevékenység támogatása fejezeti kezelésű előirányzat</w:t>
      </w:r>
      <w:r w:rsidRPr="00882B83">
        <w:rPr>
          <w:rFonts w:ascii="Times New Roman" w:hAnsi="Times New Roman" w:cs="Times New Roman"/>
          <w:b/>
          <w:sz w:val="24"/>
          <w:szCs w:val="24"/>
        </w:rPr>
        <w:t xml:space="preserve"> terhére támogatás kizárólag megkötött és jóváhagyott támogat</w:t>
      </w:r>
      <w:r w:rsidR="00C17182" w:rsidRPr="00882B83">
        <w:rPr>
          <w:rFonts w:ascii="Times New Roman" w:hAnsi="Times New Roman" w:cs="Times New Roman"/>
          <w:b/>
          <w:sz w:val="24"/>
          <w:szCs w:val="24"/>
        </w:rPr>
        <w:t>ási</w:t>
      </w:r>
      <w:r w:rsidRPr="00882B83">
        <w:rPr>
          <w:rFonts w:ascii="Times New Roman" w:hAnsi="Times New Roman" w:cs="Times New Roman"/>
          <w:b/>
          <w:sz w:val="24"/>
          <w:szCs w:val="24"/>
        </w:rPr>
        <w:t xml:space="preserve"> szerződés alapján folyósítható</w:t>
      </w:r>
      <w:r w:rsidRPr="003664CC">
        <w:rPr>
          <w:rFonts w:ascii="Times New Roman" w:hAnsi="Times New Roman" w:cs="Times New Roman"/>
          <w:b/>
          <w:sz w:val="24"/>
          <w:szCs w:val="24"/>
        </w:rPr>
        <w:t>.</w:t>
      </w:r>
    </w:p>
    <w:p w:rsidR="004550F4" w:rsidRPr="00961A4E" w:rsidRDefault="004550F4" w:rsidP="00504619">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b/>
          <w:sz w:val="24"/>
          <w:szCs w:val="24"/>
          <w:u w:val="single"/>
          <w:lang w:eastAsia="hu-HU"/>
        </w:rPr>
      </w:pPr>
      <w:r w:rsidRPr="00961A4E">
        <w:rPr>
          <w:rFonts w:ascii="Times New Roman" w:eastAsia="Times New Roman" w:hAnsi="Times New Roman" w:cs="Times New Roman"/>
          <w:b/>
          <w:sz w:val="24"/>
          <w:szCs w:val="24"/>
          <w:u w:val="single"/>
          <w:lang w:eastAsia="hu-HU"/>
        </w:rPr>
        <w:t xml:space="preserve">3. A támogatási szerződés végrehajtása során teljesítendő monitoring kötelezettségek </w:t>
      </w:r>
    </w:p>
    <w:p w:rsidR="00504619" w:rsidRPr="00504619" w:rsidRDefault="00504619" w:rsidP="00504619">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04619">
        <w:rPr>
          <w:rFonts w:ascii="Times New Roman" w:eastAsia="Times New Roman" w:hAnsi="Times New Roman" w:cs="Times New Roman"/>
          <w:sz w:val="24"/>
          <w:szCs w:val="24"/>
          <w:lang w:eastAsia="hu-HU"/>
        </w:rPr>
        <w:t xml:space="preserve">A Kedvezményezett elszámolási kötelezettsége teljesítése érdekében köteles a támogatási szerződésben meghatározott időpontra egy </w:t>
      </w:r>
      <w:r w:rsidRPr="00504619">
        <w:rPr>
          <w:rFonts w:ascii="Times New Roman" w:eastAsia="Times New Roman" w:hAnsi="Times New Roman" w:cs="Times New Roman"/>
          <w:b/>
          <w:sz w:val="24"/>
          <w:szCs w:val="24"/>
          <w:lang w:eastAsia="hu-HU"/>
        </w:rPr>
        <w:t>szakmai és pénzügyi beszámolót</w:t>
      </w:r>
      <w:r w:rsidRPr="00504619">
        <w:rPr>
          <w:rFonts w:ascii="Times New Roman" w:eastAsia="Times New Roman" w:hAnsi="Times New Roman" w:cs="Times New Roman"/>
          <w:sz w:val="24"/>
          <w:szCs w:val="24"/>
          <w:lang w:eastAsia="hu-HU"/>
        </w:rPr>
        <w:t xml:space="preserve"> benyújtani a költségvetési támogatás felhasználásáról. A szakmai beszámoló jelentésben a Kedvezményezett köteles számot adni a támogatási szerződés céljának megvalósulásáról.</w:t>
      </w:r>
    </w:p>
    <w:p w:rsidR="00582946" w:rsidRPr="00582946" w:rsidRDefault="00582946" w:rsidP="003664CC">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sidRPr="00582946">
        <w:rPr>
          <w:rFonts w:ascii="Times New Roman" w:eastAsia="Times New Roman" w:hAnsi="Times New Roman" w:cs="Times New Roman"/>
          <w:sz w:val="24"/>
          <w:szCs w:val="24"/>
          <w:lang w:eastAsia="hu-HU"/>
        </w:rPr>
        <w:t>A szakmai és pénzügyi beszámoló jelentés Támogatóhoz történő beérkezését követő 60 napon belül Támogató írásban nyilatkozik a teljesítés elfogadásáról. Amennyiben a szakmai és pénzügyi beszámoló jelentés nem felel meg a fentiekben foglaltaknak, vagy egyéb okból nem alkalmas a támogatás szerződésszerű felhasználásának ellenőrzésére, Támogató Kedvezményezettet hiánypótlásra hívja fel</w:t>
      </w:r>
      <w:r>
        <w:rPr>
          <w:rFonts w:ascii="Times New Roman" w:eastAsia="Times New Roman" w:hAnsi="Times New Roman" w:cs="Times New Roman"/>
          <w:sz w:val="24"/>
          <w:szCs w:val="24"/>
          <w:lang w:eastAsia="hu-HU"/>
        </w:rPr>
        <w:t>,</w:t>
      </w:r>
      <w:r w:rsidRPr="00582946">
        <w:rPr>
          <w:rFonts w:ascii="Times New Roman" w:eastAsia="Times New Roman" w:hAnsi="Times New Roman" w:cs="Times New Roman"/>
          <w:sz w:val="24"/>
          <w:szCs w:val="24"/>
          <w:lang w:eastAsia="hu-HU"/>
        </w:rPr>
        <w:t xml:space="preserve"> a hiányokat a </w:t>
      </w:r>
      <w:r w:rsidRPr="00582946">
        <w:rPr>
          <w:rFonts w:ascii="Times New Roman" w:eastAsia="Times New Roman" w:hAnsi="Times New Roman" w:cs="Times New Roman"/>
          <w:b/>
          <w:sz w:val="24"/>
          <w:szCs w:val="24"/>
          <w:lang w:eastAsia="hu-HU"/>
        </w:rPr>
        <w:t>hiánypótlási felhívás</w:t>
      </w:r>
      <w:r w:rsidRPr="00582946">
        <w:rPr>
          <w:rFonts w:ascii="Times New Roman" w:eastAsia="Times New Roman" w:hAnsi="Times New Roman" w:cs="Times New Roman"/>
          <w:sz w:val="24"/>
          <w:szCs w:val="24"/>
          <w:lang w:eastAsia="hu-HU"/>
        </w:rPr>
        <w:t xml:space="preserve"> kézhezvételét követő 8 napon belül pótolni szükséges. Hiánypótlásra legfeljebb két alkalommal van lehetőség, mely során a teljesítés elfogadására meghatározott határidő a hiánypótlás Támogatóhoz történő beérkezésének napjától újrakezdődik. A szakmai és pénzügyi beszámoló megfelelősége esetén Támogató teljesítésigazolást állít ki. A pénzügyi és szakmai beszámoló elfogadására, és ez alapján a teljesítésigazolás kiállítására </w:t>
      </w:r>
      <w:r>
        <w:rPr>
          <w:rFonts w:ascii="Times New Roman" w:eastAsia="Times New Roman" w:hAnsi="Times New Roman" w:cs="Times New Roman"/>
          <w:sz w:val="24"/>
          <w:szCs w:val="24"/>
          <w:lang w:eastAsia="hu-HU"/>
        </w:rPr>
        <w:t xml:space="preserve">az </w:t>
      </w:r>
      <w:r w:rsidRPr="00882B83">
        <w:rPr>
          <w:rFonts w:ascii="Times New Roman" w:hAnsi="Times New Roman" w:cs="Times New Roman"/>
          <w:b/>
          <w:sz w:val="24"/>
          <w:szCs w:val="24"/>
        </w:rPr>
        <w:t xml:space="preserve">adószabályozásért és számvitelért felelős helyettes </w:t>
      </w:r>
      <w:r w:rsidRPr="00582946">
        <w:rPr>
          <w:rFonts w:ascii="Times New Roman" w:hAnsi="Times New Roman" w:cs="Times New Roman"/>
          <w:b/>
          <w:sz w:val="24"/>
          <w:szCs w:val="24"/>
        </w:rPr>
        <w:t>államtitkárság</w:t>
      </w:r>
      <w:r w:rsidRPr="003664CC">
        <w:rPr>
          <w:rFonts w:ascii="Times New Roman" w:eastAsia="Times New Roman" w:hAnsi="Times New Roman" w:cs="Times New Roman"/>
          <w:sz w:val="24"/>
          <w:szCs w:val="24"/>
          <w:lang w:eastAsia="hu-HU"/>
        </w:rPr>
        <w:t xml:space="preserve"> jogosult</w:t>
      </w:r>
      <w:r w:rsidRPr="00582946">
        <w:rPr>
          <w:rFonts w:ascii="Times New Roman" w:eastAsia="Times New Roman" w:hAnsi="Times New Roman" w:cs="Times New Roman"/>
          <w:sz w:val="24"/>
          <w:szCs w:val="24"/>
          <w:lang w:eastAsia="hu-HU"/>
        </w:rPr>
        <w:t>.</w:t>
      </w:r>
    </w:p>
    <w:p w:rsidR="008E70F8" w:rsidRPr="008E70F8" w:rsidRDefault="008E70F8" w:rsidP="008E70F8">
      <w:pPr>
        <w:tabs>
          <w:tab w:val="left" w:pos="397"/>
          <w:tab w:val="left" w:pos="794"/>
          <w:tab w:val="left" w:pos="1191"/>
          <w:tab w:val="left" w:pos="1588"/>
          <w:tab w:val="left" w:pos="1985"/>
        </w:tabs>
        <w:spacing w:after="1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Utólagos finanszírozás esetén: </w:t>
      </w:r>
      <w:r w:rsidR="004550F4">
        <w:rPr>
          <w:rFonts w:ascii="Times New Roman" w:eastAsia="Times New Roman" w:hAnsi="Times New Roman" w:cs="Times New Roman"/>
          <w:sz w:val="24"/>
          <w:szCs w:val="24"/>
          <w:lang w:eastAsia="hu-HU"/>
        </w:rPr>
        <w:t>a</w:t>
      </w:r>
      <w:r w:rsidRPr="008E70F8">
        <w:rPr>
          <w:rFonts w:ascii="Times New Roman" w:eastAsia="Times New Roman" w:hAnsi="Times New Roman" w:cs="Times New Roman"/>
          <w:sz w:val="24"/>
          <w:szCs w:val="24"/>
          <w:lang w:eastAsia="hu-HU"/>
        </w:rPr>
        <w:t xml:space="preserve"> pénzügyi és szakmai beszámoló elfogadását követően a</w:t>
      </w:r>
      <w:r>
        <w:rPr>
          <w:rFonts w:ascii="Times New Roman" w:eastAsia="Times New Roman" w:hAnsi="Times New Roman" w:cs="Times New Roman"/>
          <w:sz w:val="24"/>
          <w:szCs w:val="24"/>
          <w:lang w:eastAsia="hu-HU"/>
        </w:rPr>
        <w:t>z</w:t>
      </w:r>
      <w:r w:rsidRPr="008E70F8">
        <w:rPr>
          <w:rFonts w:ascii="Times New Roman" w:eastAsia="Times New Roman" w:hAnsi="Times New Roman" w:cs="Times New Roman"/>
          <w:sz w:val="24"/>
          <w:szCs w:val="24"/>
          <w:lang w:eastAsia="hu-HU"/>
        </w:rPr>
        <w:t xml:space="preserve"> </w:t>
      </w:r>
      <w:r w:rsidRPr="00882B83">
        <w:rPr>
          <w:rFonts w:ascii="Times New Roman" w:hAnsi="Times New Roman" w:cs="Times New Roman"/>
          <w:b/>
          <w:sz w:val="24"/>
          <w:szCs w:val="24"/>
        </w:rPr>
        <w:t xml:space="preserve">adószabályozásért és számvitelért felelős helyettes </w:t>
      </w:r>
      <w:r w:rsidRPr="00582946">
        <w:rPr>
          <w:rFonts w:ascii="Times New Roman" w:hAnsi="Times New Roman" w:cs="Times New Roman"/>
          <w:b/>
          <w:sz w:val="24"/>
          <w:szCs w:val="24"/>
        </w:rPr>
        <w:t>államtitkárság</w:t>
      </w:r>
      <w:r w:rsidRPr="008E70F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a </w:t>
      </w:r>
      <w:r w:rsidRPr="008E70F8">
        <w:rPr>
          <w:rFonts w:ascii="Times New Roman" w:eastAsia="Times New Roman" w:hAnsi="Times New Roman" w:cs="Times New Roman"/>
          <w:b/>
          <w:sz w:val="24"/>
          <w:szCs w:val="24"/>
          <w:lang w:eastAsia="hu-HU"/>
        </w:rPr>
        <w:t>teljesítésigazolás</w:t>
      </w:r>
      <w:r w:rsidRPr="008E70F8">
        <w:rPr>
          <w:rFonts w:ascii="Times New Roman" w:eastAsia="Times New Roman" w:hAnsi="Times New Roman" w:cs="Times New Roman"/>
          <w:sz w:val="24"/>
          <w:szCs w:val="24"/>
          <w:lang w:eastAsia="hu-HU"/>
        </w:rPr>
        <w:t xml:space="preserve"> és </w:t>
      </w:r>
      <w:r w:rsidRPr="008E70F8">
        <w:rPr>
          <w:rFonts w:ascii="Times New Roman" w:eastAsia="Times New Roman" w:hAnsi="Times New Roman" w:cs="Times New Roman"/>
          <w:b/>
          <w:sz w:val="24"/>
          <w:szCs w:val="24"/>
          <w:lang w:eastAsia="hu-HU"/>
        </w:rPr>
        <w:t>kifizetés engedélyezése</w:t>
      </w:r>
      <w:r w:rsidRPr="008E70F8">
        <w:rPr>
          <w:rFonts w:ascii="Times New Roman" w:eastAsia="Times New Roman" w:hAnsi="Times New Roman" w:cs="Times New Roman"/>
          <w:sz w:val="24"/>
          <w:szCs w:val="24"/>
          <w:lang w:eastAsia="hu-HU"/>
        </w:rPr>
        <w:t xml:space="preserve"> adatlap megküldésével kezdeményezi a kifizetést.</w:t>
      </w:r>
    </w:p>
    <w:p w:rsidR="00582946" w:rsidRDefault="00582946" w:rsidP="00582946">
      <w:pPr>
        <w:spacing w:after="0" w:line="240" w:lineRule="auto"/>
        <w:jc w:val="both"/>
        <w:rPr>
          <w:rFonts w:ascii="Times New Roman" w:eastAsia="Times New Roman" w:hAnsi="Times New Roman" w:cs="Times New Roman"/>
          <w:sz w:val="24"/>
          <w:szCs w:val="24"/>
          <w:lang w:eastAsia="hu-HU"/>
        </w:rPr>
      </w:pPr>
    </w:p>
    <w:p w:rsidR="00582946" w:rsidRPr="00582946" w:rsidRDefault="008E70F8" w:rsidP="00582946">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Előlegnyújtás esetén: </w:t>
      </w:r>
      <w:r w:rsidR="004550F4">
        <w:rPr>
          <w:rFonts w:ascii="Times New Roman" w:eastAsia="Times New Roman" w:hAnsi="Times New Roman" w:cs="Times New Roman"/>
          <w:sz w:val="24"/>
          <w:szCs w:val="24"/>
          <w:lang w:eastAsia="hu-HU"/>
        </w:rPr>
        <w:t>a</w:t>
      </w:r>
      <w:r w:rsidR="00582946" w:rsidRPr="00582946">
        <w:rPr>
          <w:rFonts w:ascii="Times New Roman" w:eastAsia="Times New Roman" w:hAnsi="Times New Roman" w:cs="Times New Roman"/>
          <w:sz w:val="24"/>
          <w:szCs w:val="24"/>
          <w:lang w:eastAsia="hu-HU"/>
        </w:rPr>
        <w:t xml:space="preserve">mennyiben a szakmai és pénzügyi beszámoló alapján a Kedvezményezettnek visszafizetési kötelezettsége keletkezik, a Kedvezményezett a fizetési felszólítás kézhezvételét követő 30 munkanapon belül az </w:t>
      </w:r>
      <w:proofErr w:type="spellStart"/>
      <w:r w:rsidR="00582946" w:rsidRPr="00582946">
        <w:rPr>
          <w:rFonts w:ascii="Times New Roman" w:eastAsia="Times New Roman" w:hAnsi="Times New Roman" w:cs="Times New Roman"/>
          <w:sz w:val="24"/>
          <w:szCs w:val="24"/>
          <w:lang w:eastAsia="hu-HU"/>
        </w:rPr>
        <w:t>Ávr</w:t>
      </w:r>
      <w:proofErr w:type="spellEnd"/>
      <w:r w:rsidR="00582946" w:rsidRPr="00582946">
        <w:rPr>
          <w:rFonts w:ascii="Times New Roman" w:eastAsia="Times New Roman" w:hAnsi="Times New Roman" w:cs="Times New Roman"/>
          <w:sz w:val="24"/>
          <w:szCs w:val="24"/>
          <w:lang w:eastAsia="hu-HU"/>
        </w:rPr>
        <w:t>. 94. § (1) bekezdése szerinti értesítőben megjelölt fizetési számlára köteles a visszafizetési kötelezettségét teljesíteni.</w:t>
      </w:r>
    </w:p>
    <w:p w:rsidR="00C6247F" w:rsidRDefault="00C6247F" w:rsidP="00882B83">
      <w:pPr>
        <w:spacing w:line="240" w:lineRule="auto"/>
        <w:jc w:val="both"/>
        <w:rPr>
          <w:rFonts w:ascii="Times New Roman" w:hAnsi="Times New Roman" w:cs="Times New Roman"/>
          <w:sz w:val="24"/>
          <w:szCs w:val="24"/>
        </w:rPr>
      </w:pPr>
    </w:p>
    <w:p w:rsidR="00390372" w:rsidRPr="00882B83" w:rsidRDefault="00E23E87" w:rsidP="00882B83">
      <w:pPr>
        <w:spacing w:line="240" w:lineRule="auto"/>
        <w:jc w:val="both"/>
        <w:rPr>
          <w:rFonts w:ascii="Times New Roman" w:hAnsi="Times New Roman" w:cs="Times New Roman"/>
          <w:sz w:val="24"/>
          <w:szCs w:val="24"/>
        </w:rPr>
      </w:pPr>
      <w:r>
        <w:rPr>
          <w:rFonts w:ascii="Times New Roman" w:hAnsi="Times New Roman" w:cs="Times New Roman"/>
          <w:sz w:val="24"/>
          <w:szCs w:val="24"/>
        </w:rPr>
        <w:t>B</w:t>
      </w:r>
      <w:r w:rsidR="006208D0" w:rsidRPr="00882B83">
        <w:rPr>
          <w:rFonts w:ascii="Times New Roman" w:hAnsi="Times New Roman" w:cs="Times New Roman"/>
          <w:sz w:val="24"/>
          <w:szCs w:val="24"/>
        </w:rPr>
        <w:t xml:space="preserve">udapest, 2017. március </w:t>
      </w:r>
      <w:r w:rsidR="009452AB">
        <w:rPr>
          <w:rFonts w:ascii="Times New Roman" w:hAnsi="Times New Roman" w:cs="Times New Roman"/>
          <w:sz w:val="24"/>
          <w:szCs w:val="24"/>
        </w:rPr>
        <w:t>17.</w:t>
      </w:r>
    </w:p>
    <w:sectPr w:rsidR="00390372" w:rsidRPr="00882B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A36" w:rsidRDefault="008C0A36" w:rsidP="00E71FB7">
      <w:pPr>
        <w:spacing w:after="0" w:line="240" w:lineRule="auto"/>
      </w:pPr>
      <w:r>
        <w:separator/>
      </w:r>
    </w:p>
  </w:endnote>
  <w:endnote w:type="continuationSeparator" w:id="0">
    <w:p w:rsidR="008C0A36" w:rsidRDefault="008C0A36" w:rsidP="00E71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A36" w:rsidRDefault="008C0A36" w:rsidP="00E71FB7">
      <w:pPr>
        <w:spacing w:after="0" w:line="240" w:lineRule="auto"/>
      </w:pPr>
      <w:r>
        <w:separator/>
      </w:r>
    </w:p>
  </w:footnote>
  <w:footnote w:type="continuationSeparator" w:id="0">
    <w:p w:rsidR="008C0A36" w:rsidRDefault="008C0A36" w:rsidP="00E71F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F617C"/>
    <w:multiLevelType w:val="hybridMultilevel"/>
    <w:tmpl w:val="3A6C8FD0"/>
    <w:lvl w:ilvl="0" w:tplc="F986365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87206BE"/>
    <w:multiLevelType w:val="hybridMultilevel"/>
    <w:tmpl w:val="31A8458E"/>
    <w:lvl w:ilvl="0" w:tplc="040E000F">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AEA316F"/>
    <w:multiLevelType w:val="hybridMultilevel"/>
    <w:tmpl w:val="7E7E1712"/>
    <w:lvl w:ilvl="0" w:tplc="B8808E68">
      <w:start w:val="1"/>
      <w:numFmt w:val="lowerLetter"/>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F30214E"/>
    <w:multiLevelType w:val="hybridMultilevel"/>
    <w:tmpl w:val="5E72928E"/>
    <w:lvl w:ilvl="0" w:tplc="49CA1CE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60945C50"/>
    <w:multiLevelType w:val="hybridMultilevel"/>
    <w:tmpl w:val="5E428D4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nsid w:val="67980663"/>
    <w:multiLevelType w:val="hybridMultilevel"/>
    <w:tmpl w:val="ECA4DA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453"/>
    <w:rsid w:val="0000424C"/>
    <w:rsid w:val="00022AF6"/>
    <w:rsid w:val="000729CF"/>
    <w:rsid w:val="000A0FEF"/>
    <w:rsid w:val="000B75C7"/>
    <w:rsid w:val="000E75D4"/>
    <w:rsid w:val="00100D96"/>
    <w:rsid w:val="00103813"/>
    <w:rsid w:val="00130939"/>
    <w:rsid w:val="00130A9D"/>
    <w:rsid w:val="00162797"/>
    <w:rsid w:val="0017480A"/>
    <w:rsid w:val="00187E9A"/>
    <w:rsid w:val="001C05BB"/>
    <w:rsid w:val="001C4F5B"/>
    <w:rsid w:val="001C7CB7"/>
    <w:rsid w:val="00211714"/>
    <w:rsid w:val="0021492C"/>
    <w:rsid w:val="00271A27"/>
    <w:rsid w:val="002A0AFB"/>
    <w:rsid w:val="002B4611"/>
    <w:rsid w:val="002B7B6E"/>
    <w:rsid w:val="00303BB5"/>
    <w:rsid w:val="00305C46"/>
    <w:rsid w:val="003278D1"/>
    <w:rsid w:val="00357A98"/>
    <w:rsid w:val="003664CC"/>
    <w:rsid w:val="0038345C"/>
    <w:rsid w:val="00390372"/>
    <w:rsid w:val="00394453"/>
    <w:rsid w:val="003B5EB0"/>
    <w:rsid w:val="003C1310"/>
    <w:rsid w:val="00430899"/>
    <w:rsid w:val="00440D5E"/>
    <w:rsid w:val="0045460C"/>
    <w:rsid w:val="004550F4"/>
    <w:rsid w:val="004A4A8D"/>
    <w:rsid w:val="00504619"/>
    <w:rsid w:val="00517720"/>
    <w:rsid w:val="00525533"/>
    <w:rsid w:val="00565804"/>
    <w:rsid w:val="00582946"/>
    <w:rsid w:val="005D74EA"/>
    <w:rsid w:val="006208D0"/>
    <w:rsid w:val="006439E2"/>
    <w:rsid w:val="00644016"/>
    <w:rsid w:val="006758F1"/>
    <w:rsid w:val="006876D0"/>
    <w:rsid w:val="00697261"/>
    <w:rsid w:val="006A5A81"/>
    <w:rsid w:val="006B2DB0"/>
    <w:rsid w:val="006E6CD6"/>
    <w:rsid w:val="006F2C23"/>
    <w:rsid w:val="006F3A3C"/>
    <w:rsid w:val="0072103A"/>
    <w:rsid w:val="007313F7"/>
    <w:rsid w:val="00731EE5"/>
    <w:rsid w:val="00752526"/>
    <w:rsid w:val="007A15EC"/>
    <w:rsid w:val="007B51C7"/>
    <w:rsid w:val="007D4C2B"/>
    <w:rsid w:val="007F75D5"/>
    <w:rsid w:val="00847C24"/>
    <w:rsid w:val="00882B83"/>
    <w:rsid w:val="008A2094"/>
    <w:rsid w:val="008A2156"/>
    <w:rsid w:val="008C0A36"/>
    <w:rsid w:val="008C5FDA"/>
    <w:rsid w:val="008D5516"/>
    <w:rsid w:val="008E70F8"/>
    <w:rsid w:val="008F1717"/>
    <w:rsid w:val="009014C4"/>
    <w:rsid w:val="009151A6"/>
    <w:rsid w:val="009452AB"/>
    <w:rsid w:val="00961A4E"/>
    <w:rsid w:val="009B523C"/>
    <w:rsid w:val="00A033BB"/>
    <w:rsid w:val="00A2243E"/>
    <w:rsid w:val="00A51539"/>
    <w:rsid w:val="00A66BB6"/>
    <w:rsid w:val="00A71793"/>
    <w:rsid w:val="00AE5D09"/>
    <w:rsid w:val="00B85F4B"/>
    <w:rsid w:val="00B96744"/>
    <w:rsid w:val="00BB396E"/>
    <w:rsid w:val="00BD078D"/>
    <w:rsid w:val="00BE0689"/>
    <w:rsid w:val="00BE10EE"/>
    <w:rsid w:val="00C17182"/>
    <w:rsid w:val="00C17CE3"/>
    <w:rsid w:val="00C61FE3"/>
    <w:rsid w:val="00C6247F"/>
    <w:rsid w:val="00C639C5"/>
    <w:rsid w:val="00C961F3"/>
    <w:rsid w:val="00CC2A7E"/>
    <w:rsid w:val="00D24218"/>
    <w:rsid w:val="00D936F2"/>
    <w:rsid w:val="00D96E40"/>
    <w:rsid w:val="00DE47BF"/>
    <w:rsid w:val="00E23E87"/>
    <w:rsid w:val="00E52054"/>
    <w:rsid w:val="00E65C34"/>
    <w:rsid w:val="00E71FB7"/>
    <w:rsid w:val="00ED4AC7"/>
    <w:rsid w:val="00EE0AA6"/>
    <w:rsid w:val="00F03EB2"/>
    <w:rsid w:val="00F255FD"/>
    <w:rsid w:val="00F74AF8"/>
    <w:rsid w:val="00F929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394453"/>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rsid w:val="00394453"/>
    <w:rPr>
      <w:rFonts w:ascii="Times New Roman" w:eastAsia="Times New Roman" w:hAnsi="Times New Roman" w:cs="Times New Roman"/>
      <w:sz w:val="20"/>
      <w:szCs w:val="20"/>
      <w:lang w:eastAsia="hu-HU"/>
    </w:rPr>
  </w:style>
  <w:style w:type="paragraph" w:styleId="Listaszerbekezds">
    <w:name w:val="List Paragraph"/>
    <w:basedOn w:val="Norml"/>
    <w:uiPriority w:val="34"/>
    <w:qFormat/>
    <w:rsid w:val="007B51C7"/>
    <w:pPr>
      <w:ind w:left="720"/>
      <w:contextualSpacing/>
    </w:pPr>
  </w:style>
  <w:style w:type="character" w:styleId="Lbjegyzet-hivatkozs">
    <w:name w:val="footnote reference"/>
    <w:basedOn w:val="Bekezdsalapbettpusa"/>
    <w:uiPriority w:val="99"/>
    <w:semiHidden/>
    <w:unhideWhenUsed/>
    <w:rsid w:val="00E71FB7"/>
    <w:rPr>
      <w:vertAlign w:val="superscript"/>
    </w:rPr>
  </w:style>
  <w:style w:type="paragraph" w:styleId="Buborkszveg">
    <w:name w:val="Balloon Text"/>
    <w:basedOn w:val="Norml"/>
    <w:link w:val="BuborkszvegChar"/>
    <w:uiPriority w:val="99"/>
    <w:semiHidden/>
    <w:unhideWhenUsed/>
    <w:rsid w:val="001C4F5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C4F5B"/>
    <w:rPr>
      <w:rFonts w:ascii="Tahoma" w:hAnsi="Tahoma" w:cs="Tahoma"/>
      <w:sz w:val="16"/>
      <w:szCs w:val="16"/>
    </w:rPr>
  </w:style>
  <w:style w:type="character" w:styleId="Jegyzethivatkozs">
    <w:name w:val="annotation reference"/>
    <w:basedOn w:val="Bekezdsalapbettpusa"/>
    <w:uiPriority w:val="99"/>
    <w:semiHidden/>
    <w:unhideWhenUsed/>
    <w:rsid w:val="00882B83"/>
    <w:rPr>
      <w:sz w:val="16"/>
      <w:szCs w:val="16"/>
    </w:rPr>
  </w:style>
  <w:style w:type="paragraph" w:styleId="Jegyzetszveg">
    <w:name w:val="annotation text"/>
    <w:basedOn w:val="Norml"/>
    <w:link w:val="JegyzetszvegChar"/>
    <w:uiPriority w:val="99"/>
    <w:semiHidden/>
    <w:unhideWhenUsed/>
    <w:rsid w:val="00882B83"/>
    <w:pPr>
      <w:spacing w:line="240" w:lineRule="auto"/>
    </w:pPr>
    <w:rPr>
      <w:sz w:val="20"/>
      <w:szCs w:val="20"/>
    </w:rPr>
  </w:style>
  <w:style w:type="character" w:customStyle="1" w:styleId="JegyzetszvegChar">
    <w:name w:val="Jegyzetszöveg Char"/>
    <w:basedOn w:val="Bekezdsalapbettpusa"/>
    <w:link w:val="Jegyzetszveg"/>
    <w:uiPriority w:val="99"/>
    <w:semiHidden/>
    <w:rsid w:val="00882B83"/>
    <w:rPr>
      <w:sz w:val="20"/>
      <w:szCs w:val="20"/>
    </w:rPr>
  </w:style>
  <w:style w:type="paragraph" w:styleId="Megjegyzstrgya">
    <w:name w:val="annotation subject"/>
    <w:basedOn w:val="Jegyzetszveg"/>
    <w:next w:val="Jegyzetszveg"/>
    <w:link w:val="MegjegyzstrgyaChar"/>
    <w:uiPriority w:val="99"/>
    <w:semiHidden/>
    <w:unhideWhenUsed/>
    <w:rsid w:val="00882B83"/>
    <w:rPr>
      <w:b/>
      <w:bCs/>
    </w:rPr>
  </w:style>
  <w:style w:type="character" w:customStyle="1" w:styleId="MegjegyzstrgyaChar">
    <w:name w:val="Megjegyzés tárgya Char"/>
    <w:basedOn w:val="JegyzetszvegChar"/>
    <w:link w:val="Megjegyzstrgya"/>
    <w:uiPriority w:val="99"/>
    <w:semiHidden/>
    <w:rsid w:val="00882B83"/>
    <w:rPr>
      <w:b/>
      <w:bCs/>
      <w:sz w:val="20"/>
      <w:szCs w:val="20"/>
    </w:rPr>
  </w:style>
  <w:style w:type="paragraph" w:styleId="Vltozat">
    <w:name w:val="Revision"/>
    <w:hidden/>
    <w:uiPriority w:val="99"/>
    <w:semiHidden/>
    <w:rsid w:val="00882B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394453"/>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rsid w:val="00394453"/>
    <w:rPr>
      <w:rFonts w:ascii="Times New Roman" w:eastAsia="Times New Roman" w:hAnsi="Times New Roman" w:cs="Times New Roman"/>
      <w:sz w:val="20"/>
      <w:szCs w:val="20"/>
      <w:lang w:eastAsia="hu-HU"/>
    </w:rPr>
  </w:style>
  <w:style w:type="paragraph" w:styleId="Listaszerbekezds">
    <w:name w:val="List Paragraph"/>
    <w:basedOn w:val="Norml"/>
    <w:uiPriority w:val="34"/>
    <w:qFormat/>
    <w:rsid w:val="007B51C7"/>
    <w:pPr>
      <w:ind w:left="720"/>
      <w:contextualSpacing/>
    </w:pPr>
  </w:style>
  <w:style w:type="character" w:styleId="Lbjegyzet-hivatkozs">
    <w:name w:val="footnote reference"/>
    <w:basedOn w:val="Bekezdsalapbettpusa"/>
    <w:uiPriority w:val="99"/>
    <w:semiHidden/>
    <w:unhideWhenUsed/>
    <w:rsid w:val="00E71FB7"/>
    <w:rPr>
      <w:vertAlign w:val="superscript"/>
    </w:rPr>
  </w:style>
  <w:style w:type="paragraph" w:styleId="Buborkszveg">
    <w:name w:val="Balloon Text"/>
    <w:basedOn w:val="Norml"/>
    <w:link w:val="BuborkszvegChar"/>
    <w:uiPriority w:val="99"/>
    <w:semiHidden/>
    <w:unhideWhenUsed/>
    <w:rsid w:val="001C4F5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C4F5B"/>
    <w:rPr>
      <w:rFonts w:ascii="Tahoma" w:hAnsi="Tahoma" w:cs="Tahoma"/>
      <w:sz w:val="16"/>
      <w:szCs w:val="16"/>
    </w:rPr>
  </w:style>
  <w:style w:type="character" w:styleId="Jegyzethivatkozs">
    <w:name w:val="annotation reference"/>
    <w:basedOn w:val="Bekezdsalapbettpusa"/>
    <w:uiPriority w:val="99"/>
    <w:semiHidden/>
    <w:unhideWhenUsed/>
    <w:rsid w:val="00882B83"/>
    <w:rPr>
      <w:sz w:val="16"/>
      <w:szCs w:val="16"/>
    </w:rPr>
  </w:style>
  <w:style w:type="paragraph" w:styleId="Jegyzetszveg">
    <w:name w:val="annotation text"/>
    <w:basedOn w:val="Norml"/>
    <w:link w:val="JegyzetszvegChar"/>
    <w:uiPriority w:val="99"/>
    <w:semiHidden/>
    <w:unhideWhenUsed/>
    <w:rsid w:val="00882B83"/>
    <w:pPr>
      <w:spacing w:line="240" w:lineRule="auto"/>
    </w:pPr>
    <w:rPr>
      <w:sz w:val="20"/>
      <w:szCs w:val="20"/>
    </w:rPr>
  </w:style>
  <w:style w:type="character" w:customStyle="1" w:styleId="JegyzetszvegChar">
    <w:name w:val="Jegyzetszöveg Char"/>
    <w:basedOn w:val="Bekezdsalapbettpusa"/>
    <w:link w:val="Jegyzetszveg"/>
    <w:uiPriority w:val="99"/>
    <w:semiHidden/>
    <w:rsid w:val="00882B83"/>
    <w:rPr>
      <w:sz w:val="20"/>
      <w:szCs w:val="20"/>
    </w:rPr>
  </w:style>
  <w:style w:type="paragraph" w:styleId="Megjegyzstrgya">
    <w:name w:val="annotation subject"/>
    <w:basedOn w:val="Jegyzetszveg"/>
    <w:next w:val="Jegyzetszveg"/>
    <w:link w:val="MegjegyzstrgyaChar"/>
    <w:uiPriority w:val="99"/>
    <w:semiHidden/>
    <w:unhideWhenUsed/>
    <w:rsid w:val="00882B83"/>
    <w:rPr>
      <w:b/>
      <w:bCs/>
    </w:rPr>
  </w:style>
  <w:style w:type="character" w:customStyle="1" w:styleId="MegjegyzstrgyaChar">
    <w:name w:val="Megjegyzés tárgya Char"/>
    <w:basedOn w:val="JegyzetszvegChar"/>
    <w:link w:val="Megjegyzstrgya"/>
    <w:uiPriority w:val="99"/>
    <w:semiHidden/>
    <w:rsid w:val="00882B83"/>
    <w:rPr>
      <w:b/>
      <w:bCs/>
      <w:sz w:val="20"/>
      <w:szCs w:val="20"/>
    </w:rPr>
  </w:style>
  <w:style w:type="paragraph" w:styleId="Vltozat">
    <w:name w:val="Revision"/>
    <w:hidden/>
    <w:uiPriority w:val="99"/>
    <w:semiHidden/>
    <w:rsid w:val="00882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CB163-5EFE-4AD2-8EC8-33CCDADC1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1493</Words>
  <Characters>10302</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Lívia dr.</dc:creator>
  <cp:lastModifiedBy>Vadas Beatrix</cp:lastModifiedBy>
  <cp:revision>7</cp:revision>
  <cp:lastPrinted>2017-02-24T10:33:00Z</cp:lastPrinted>
  <dcterms:created xsi:type="dcterms:W3CDTF">2017-03-14T08:12:00Z</dcterms:created>
  <dcterms:modified xsi:type="dcterms:W3CDTF">2017-03-21T13:40:00Z</dcterms:modified>
</cp:coreProperties>
</file>