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B5" w:rsidRPr="008C5FEB" w:rsidRDefault="008952B5" w:rsidP="008952B5">
      <w:pPr>
        <w:keepNext/>
        <w:spacing w:line="280" w:lineRule="exact"/>
        <w:rPr>
          <w:rFonts w:cs="Times New Roman"/>
          <w:b/>
          <w:szCs w:val="24"/>
        </w:rPr>
      </w:pPr>
      <w:r w:rsidRPr="00B07888">
        <w:rPr>
          <w:rFonts w:cs="Times New Roman"/>
          <w:b/>
          <w:szCs w:val="24"/>
        </w:rPr>
        <w:t>10. Az előterjesztés kommunikációja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3065"/>
      </w:tblGrid>
      <w:tr w:rsidR="008952B5" w:rsidRPr="00B07888" w:rsidTr="00D763BB">
        <w:trPr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b/>
                <w:szCs w:val="24"/>
              </w:rPr>
              <w:t xml:space="preserve">1. Milyen kommunikáció javasolt </w:t>
            </w:r>
            <w:r w:rsidRPr="00B07888">
              <w:rPr>
                <w:rFonts w:cs="Times New Roman"/>
                <w:szCs w:val="24"/>
              </w:rPr>
              <w:t>az előterjesztés elfogadása esetén?</w:t>
            </w:r>
          </w:p>
          <w:p w:rsidR="008952B5" w:rsidRPr="00B07888" w:rsidRDefault="008952B5" w:rsidP="00D763BB">
            <w:pPr>
              <w:spacing w:line="280" w:lineRule="exact"/>
              <w:ind w:left="618"/>
              <w:rPr>
                <w:rFonts w:cs="Times New Roman"/>
                <w:szCs w:val="24"/>
              </w:rPr>
            </w:pPr>
          </w:p>
          <w:p w:rsidR="008952B5" w:rsidRPr="00B07888" w:rsidRDefault="008952B5" w:rsidP="00D763BB">
            <w:pPr>
              <w:spacing w:line="280" w:lineRule="exact"/>
              <w:ind w:left="618"/>
              <w:rPr>
                <w:rFonts w:cs="Times New Roman"/>
                <w:b/>
                <w:szCs w:val="24"/>
              </w:rPr>
            </w:pPr>
            <w:r w:rsidRPr="00B07888">
              <w:rPr>
                <w:rFonts w:cs="Times New Roman"/>
                <w:b/>
                <w:szCs w:val="24"/>
                <w:u w:val="single"/>
              </w:rPr>
              <w:t>követő</w:t>
            </w:r>
            <w:r w:rsidRPr="00B07888">
              <w:rPr>
                <w:rFonts w:cs="Times New Roman"/>
                <w:b/>
                <w:szCs w:val="24"/>
              </w:rPr>
              <w:t xml:space="preserve"> </w:t>
            </w:r>
            <w:r w:rsidRPr="00B07888">
              <w:rPr>
                <w:rFonts w:cs="Times New Roman"/>
                <w:szCs w:val="24"/>
              </w:rPr>
              <w:t>vagy</w:t>
            </w:r>
            <w:r w:rsidRPr="00B07888">
              <w:rPr>
                <w:rFonts w:cs="Times New Roman"/>
                <w:b/>
                <w:szCs w:val="24"/>
              </w:rPr>
              <w:t xml:space="preserve"> kezdeményező*</w:t>
            </w:r>
          </w:p>
          <w:p w:rsidR="008952B5" w:rsidRPr="00B07888" w:rsidRDefault="008952B5" w:rsidP="00D763BB">
            <w:pPr>
              <w:spacing w:line="280" w:lineRule="exact"/>
              <w:ind w:left="53"/>
              <w:jc w:val="right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*a kívánt kommunikációs forma aláhúzandó!</w:t>
            </w:r>
          </w:p>
        </w:tc>
      </w:tr>
      <w:tr w:rsidR="008952B5" w:rsidRPr="00B07888" w:rsidTr="00D763BB">
        <w:trPr>
          <w:jc w:val="center"/>
        </w:trPr>
        <w:tc>
          <w:tcPr>
            <w:tcW w:w="8825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b/>
                <w:szCs w:val="24"/>
              </w:rPr>
            </w:pPr>
            <w:r w:rsidRPr="00B07888">
              <w:rPr>
                <w:rFonts w:cs="Times New Roman"/>
                <w:b/>
                <w:szCs w:val="24"/>
              </w:rPr>
              <w:t>2. A tájékoztatás módja:</w:t>
            </w:r>
          </w:p>
        </w:tc>
      </w:tr>
      <w:tr w:rsidR="008952B5" w:rsidRPr="00B07888" w:rsidTr="00D763BB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Kormányülést követő szóvivői tájékoztató</w:t>
            </w:r>
          </w:p>
        </w:tc>
        <w:tc>
          <w:tcPr>
            <w:tcW w:w="306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jc w:val="center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igen/</w:t>
            </w:r>
            <w:r w:rsidRPr="00B07888">
              <w:rPr>
                <w:rFonts w:cs="Times New Roman"/>
                <w:szCs w:val="24"/>
                <w:u w:val="single"/>
              </w:rPr>
              <w:t>nem</w:t>
            </w:r>
          </w:p>
        </w:tc>
      </w:tr>
      <w:tr w:rsidR="008952B5" w:rsidRPr="00B07888" w:rsidTr="00D763BB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Tárcaközlemény</w:t>
            </w:r>
          </w:p>
        </w:tc>
        <w:tc>
          <w:tcPr>
            <w:tcW w:w="306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jc w:val="center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igen/</w:t>
            </w:r>
            <w:r w:rsidRPr="00B07888">
              <w:rPr>
                <w:rFonts w:cs="Times New Roman"/>
                <w:szCs w:val="24"/>
                <w:u w:val="single"/>
              </w:rPr>
              <w:t>nem</w:t>
            </w:r>
          </w:p>
        </w:tc>
      </w:tr>
      <w:tr w:rsidR="008952B5" w:rsidRPr="00B07888" w:rsidTr="00D763BB">
        <w:trPr>
          <w:jc w:val="center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  <w:r w:rsidRPr="00B07888">
              <w:rPr>
                <w:rFonts w:cs="Times New Roman"/>
                <w:szCs w:val="24"/>
              </w:rPr>
              <w:t>Tárca által szervezett sajtótájékoztató</w:t>
            </w:r>
          </w:p>
        </w:tc>
        <w:tc>
          <w:tcPr>
            <w:tcW w:w="306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Default="008952B5" w:rsidP="00D763BB">
            <w:pPr>
              <w:spacing w:line="280" w:lineRule="exact"/>
              <w:jc w:val="center"/>
              <w:rPr>
                <w:rFonts w:cs="Times New Roman"/>
                <w:szCs w:val="24"/>
                <w:u w:val="single"/>
              </w:rPr>
            </w:pPr>
            <w:r w:rsidRPr="00B07888">
              <w:rPr>
                <w:rFonts w:cs="Times New Roman"/>
                <w:szCs w:val="24"/>
              </w:rPr>
              <w:t>igen/</w:t>
            </w:r>
            <w:r w:rsidRPr="00B07888">
              <w:rPr>
                <w:rFonts w:cs="Times New Roman"/>
                <w:szCs w:val="24"/>
                <w:u w:val="single"/>
              </w:rPr>
              <w:t>nem</w:t>
            </w:r>
          </w:p>
          <w:p w:rsidR="008952B5" w:rsidRPr="00B07888" w:rsidRDefault="008952B5" w:rsidP="00D763BB">
            <w:pPr>
              <w:spacing w:line="280" w:lineRule="exact"/>
              <w:jc w:val="center"/>
              <w:rPr>
                <w:rFonts w:cs="Times New Roman"/>
                <w:szCs w:val="24"/>
              </w:rPr>
            </w:pPr>
          </w:p>
        </w:tc>
      </w:tr>
      <w:tr w:rsidR="008952B5" w:rsidRPr="00B07888" w:rsidTr="00D763BB">
        <w:trPr>
          <w:jc w:val="center"/>
        </w:trPr>
        <w:tc>
          <w:tcPr>
            <w:tcW w:w="882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Default="008952B5" w:rsidP="00D763BB">
            <w:pPr>
              <w:pStyle w:val="Default"/>
              <w:jc w:val="both"/>
              <w:rPr>
                <w:iCs/>
              </w:rPr>
            </w:pPr>
            <w:r w:rsidRPr="00B07888">
              <w:rPr>
                <w:b/>
              </w:rPr>
              <w:t>3. Fő üzenet (4-5 mondat) (a kormányzati kommunikáció tartalma, az előterjesztő kommunikációs szándéka)</w:t>
            </w:r>
            <w:proofErr w:type="gramStart"/>
            <w:r w:rsidRPr="00B07888">
              <w:rPr>
                <w:b/>
              </w:rPr>
              <w:t>:</w:t>
            </w:r>
            <w:r>
              <w:t>Az</w:t>
            </w:r>
            <w:proofErr w:type="gramEnd"/>
            <w:r>
              <w:t xml:space="preserve"> előterjesztés célja, hogy </w:t>
            </w:r>
            <w:r>
              <w:rPr>
                <w:iCs/>
              </w:rPr>
              <w:t>a 2017. évi XLII. törvénnyel kihirdetett a</w:t>
            </w:r>
            <w:r w:rsidRPr="00612587">
              <w:rPr>
                <w:iCs/>
              </w:rPr>
              <w:t xml:space="preserve"> halgazdálkodásról és a hal védelméről szóló 2013. évi CII. t</w:t>
            </w:r>
            <w:r>
              <w:rPr>
                <w:iCs/>
              </w:rPr>
              <w:t xml:space="preserve">örvény (a továbbiakban: </w:t>
            </w:r>
            <w:proofErr w:type="spellStart"/>
            <w:r>
              <w:rPr>
                <w:iCs/>
              </w:rPr>
              <w:t>Hhvtv</w:t>
            </w:r>
            <w:proofErr w:type="spellEnd"/>
            <w:r>
              <w:rPr>
                <w:iCs/>
              </w:rPr>
              <w:t xml:space="preserve">.) módosításához hozzáigazítsa a halgazdálkodás és a halvédelem egyes szabályainak megállapításáról szóló 133/2013. (XII. 29.) VM rendelet rendelkezéseit, valamint pontosítja </w:t>
            </w:r>
            <w:r w:rsidRPr="00645405">
              <w:rPr>
                <w:iCs/>
              </w:rPr>
              <w:t xml:space="preserve">az államot megillető halgazdálkodási jog vagyonkezelésbe, pályázati úton történő haszonbérbe, valamint </w:t>
            </w:r>
            <w:proofErr w:type="spellStart"/>
            <w:r w:rsidRPr="00645405">
              <w:rPr>
                <w:iCs/>
              </w:rPr>
              <w:t>alhaszonbérbe</w:t>
            </w:r>
            <w:proofErr w:type="spellEnd"/>
            <w:r w:rsidRPr="00645405">
              <w:rPr>
                <w:iCs/>
              </w:rPr>
              <w:t xml:space="preserve"> adásának egyes szabályairól szóló 8</w:t>
            </w:r>
            <w:r>
              <w:rPr>
                <w:iCs/>
              </w:rPr>
              <w:t xml:space="preserve">9/2015. (XII. 22.) FM rendelet, továbbá </w:t>
            </w:r>
            <w:r w:rsidRPr="00645405">
              <w:rPr>
                <w:iCs/>
              </w:rPr>
              <w:t>a Nemzeti Élelmiszerlánc-biztonsági Hivatal, valamint a megyei kormányhivatalok mezőgazdasági szakigazgatási szervei előtt kezdeményezett eljárásokban fizetendő igazgatási szolgáltatási díjak mértékéről, valamint az igazgatási szolgáltatási díj fizetésének szabályairól szóló 63/2012. (VII. 2.) VM rendelet</w:t>
            </w:r>
            <w:r>
              <w:rPr>
                <w:iCs/>
              </w:rPr>
              <w:t>et.</w:t>
            </w:r>
          </w:p>
          <w:p w:rsidR="008952B5" w:rsidRDefault="008952B5" w:rsidP="00D763BB">
            <w:pPr>
              <w:pStyle w:val="Default"/>
              <w:jc w:val="both"/>
            </w:pPr>
            <w:r>
              <w:rPr>
                <w:iCs/>
              </w:rPr>
              <w:t xml:space="preserve">A 2017. május 30-án hatályba lépett </w:t>
            </w:r>
            <w:proofErr w:type="spellStart"/>
            <w:r>
              <w:rPr>
                <w:iCs/>
              </w:rPr>
              <w:t>Hhvtv</w:t>
            </w:r>
            <w:proofErr w:type="spellEnd"/>
            <w:r>
              <w:rPr>
                <w:iCs/>
              </w:rPr>
              <w:t>. módosítással – többek között – bevezetésre került az ún. bemutatási célú halászat, melynek célja az országos jelentőségű halászati (hagyományőrző, turisztikai) eseményekhez kapcsolódóan lehetővé tenni a hagyományos halászati eszközök, módszerek alkalmankénti bemutatását használatuk közben.</w:t>
            </w:r>
          </w:p>
          <w:p w:rsidR="008952B5" w:rsidRPr="000B12BB" w:rsidRDefault="008952B5" w:rsidP="00D763BB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Számos további módosítás teszi egyszerűbbé és kevésbé bürokratikussá a horgászatot és a horgászversenyek szervezését, mint a MOHOSZ országos versenyszabályzat alapján lehetővé váló horgászversenyek egyszerűbb engedélyezése. </w:t>
            </w:r>
            <w:r w:rsidRPr="00E27098">
              <w:rPr>
                <w:iCs/>
              </w:rPr>
              <w:t>Egyértelmű szabályokat fogalmaz meg a tervezet a halgazdálkodási létesítményben történő horgászatra vonatkozóan. Emellett lehetővé teszi a külföldi horgászok részére a horgászathoz szükséges magyar nyelvű okmányok könnyebb értelmezését egy angol és német nyelvű magyarázó jellegű útmutató részükre történő elérhetővé tételével.</w:t>
            </w:r>
            <w:r>
              <w:rPr>
                <w:iCs/>
              </w:rPr>
              <w:t xml:space="preserve"> A tervezetben szereplő módosítások egyaránt hozzájárulnak az adminisztratív terhek csökkentéséhez, pl. az elektronikus horgász fogási napló bevezetésével, illetve a kutatási jelentések elektronikus feltöltési lehetőségének megteremtésével, valamint az állami bürokrácia csökkentéséhez is.</w:t>
            </w:r>
          </w:p>
        </w:tc>
      </w:tr>
      <w:tr w:rsidR="008952B5" w:rsidRPr="00B07888" w:rsidTr="00D763BB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b/>
                <w:szCs w:val="24"/>
              </w:rPr>
            </w:pPr>
            <w:r w:rsidRPr="00B07888">
              <w:rPr>
                <w:rFonts w:cs="Times New Roman"/>
                <w:b/>
                <w:szCs w:val="24"/>
              </w:rPr>
              <w:t>Az előterjesztő részéről nyilatkozó:</w:t>
            </w:r>
          </w:p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Dr. </w:t>
            </w:r>
            <w:proofErr w:type="spellStart"/>
            <w:r>
              <w:rPr>
                <w:rFonts w:cs="Times New Roman"/>
                <w:szCs w:val="24"/>
              </w:rPr>
              <w:t>Bitay</w:t>
            </w:r>
            <w:proofErr w:type="spellEnd"/>
            <w:r>
              <w:rPr>
                <w:rFonts w:cs="Times New Roman"/>
                <w:szCs w:val="24"/>
              </w:rPr>
              <w:t xml:space="preserve"> Márton állami földekért felelős államtitkár</w:t>
            </w:r>
          </w:p>
        </w:tc>
        <w:tc>
          <w:tcPr>
            <w:tcW w:w="3065" w:type="dxa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szCs w:val="24"/>
              </w:rPr>
            </w:pPr>
          </w:p>
        </w:tc>
      </w:tr>
      <w:tr w:rsidR="008952B5" w:rsidRPr="00B07888" w:rsidTr="00D763BB">
        <w:trPr>
          <w:jc w:val="center"/>
        </w:trPr>
        <w:tc>
          <w:tcPr>
            <w:tcW w:w="882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2B5" w:rsidRPr="00B07888" w:rsidRDefault="008952B5" w:rsidP="00D763BB">
            <w:pPr>
              <w:spacing w:line="280" w:lineRule="exact"/>
              <w:rPr>
                <w:rFonts w:cs="Times New Roman"/>
                <w:b/>
                <w:szCs w:val="24"/>
              </w:rPr>
            </w:pPr>
            <w:r w:rsidRPr="00B07888">
              <w:rPr>
                <w:rFonts w:cs="Times New Roman"/>
                <w:b/>
                <w:szCs w:val="24"/>
              </w:rPr>
              <w:t>4. Részletes kommunikációs terv: írásos válaszadás javasolt.</w:t>
            </w:r>
          </w:p>
        </w:tc>
      </w:tr>
    </w:tbl>
    <w:p w:rsidR="007A42A7" w:rsidRDefault="007A42A7">
      <w:bookmarkStart w:id="0" w:name="_GoBack"/>
      <w:bookmarkEnd w:id="0"/>
    </w:p>
    <w:sectPr w:rsidR="007A4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B5"/>
    <w:rsid w:val="007A42A7"/>
    <w:rsid w:val="0089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52B5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952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52B5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952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Illyés-Papp Orsolya Eszter dr.</dc:creator>
  <cp:lastModifiedBy>Illyés-Papp Orsolya Eszter dr.</cp:lastModifiedBy>
  <cp:revision>1</cp:revision>
  <dcterms:created xsi:type="dcterms:W3CDTF">2017-09-28T08:49:00Z</dcterms:created>
  <dcterms:modified xsi:type="dcterms:W3CDTF">2017-09-28T08:49:00Z</dcterms:modified>
</cp:coreProperties>
</file>