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AA9" w:rsidRPr="00465B16" w:rsidRDefault="00BC77A1" w:rsidP="00465B16">
      <w:pPr>
        <w:spacing w:after="0" w:line="240" w:lineRule="auto"/>
        <w:jc w:val="center"/>
        <w:rPr>
          <w:b/>
        </w:rPr>
      </w:pPr>
      <w:bookmarkStart w:id="0" w:name="_GoBack"/>
      <w:bookmarkEnd w:id="0"/>
      <w:r>
        <w:rPr>
          <w:b/>
        </w:rPr>
        <w:t>A</w:t>
      </w:r>
      <w:r w:rsidRPr="00465B16">
        <w:rPr>
          <w:b/>
        </w:rPr>
        <w:t xml:space="preserve"> </w:t>
      </w:r>
      <w:r w:rsidR="00862F5D" w:rsidRPr="00465B16">
        <w:rPr>
          <w:b/>
        </w:rPr>
        <w:t xml:space="preserve">földművelésügyi </w:t>
      </w:r>
      <w:r w:rsidR="00076AA9" w:rsidRPr="00465B16">
        <w:rPr>
          <w:b/>
        </w:rPr>
        <w:t xml:space="preserve">miniszter </w:t>
      </w:r>
    </w:p>
    <w:p w:rsidR="00076AA9" w:rsidRPr="00465B2A" w:rsidRDefault="00076AA9" w:rsidP="00A55256">
      <w:pPr>
        <w:spacing w:after="0" w:line="240" w:lineRule="auto"/>
        <w:jc w:val="center"/>
        <w:rPr>
          <w:rFonts w:cs="Times New Roman"/>
          <w:b/>
        </w:rPr>
      </w:pPr>
    </w:p>
    <w:p w:rsidR="009C4FF0" w:rsidRPr="00465B2A" w:rsidRDefault="009C4FF0" w:rsidP="00A55256">
      <w:pPr>
        <w:spacing w:after="0" w:line="240" w:lineRule="auto"/>
        <w:jc w:val="center"/>
        <w:rPr>
          <w:rFonts w:cs="Times New Roman"/>
          <w:b/>
        </w:rPr>
      </w:pPr>
      <w:r w:rsidRPr="00465B2A">
        <w:rPr>
          <w:rFonts w:cs="Times New Roman"/>
          <w:b/>
        </w:rPr>
        <w:t>…/</w:t>
      </w:r>
      <w:r w:rsidR="005E7AE7" w:rsidRPr="00465B2A">
        <w:rPr>
          <w:rFonts w:cs="Times New Roman"/>
          <w:b/>
        </w:rPr>
        <w:t>2014</w:t>
      </w:r>
      <w:r w:rsidRPr="00465B2A">
        <w:rPr>
          <w:rFonts w:cs="Times New Roman"/>
          <w:b/>
        </w:rPr>
        <w:t xml:space="preserve">. (…) </w:t>
      </w:r>
      <w:r w:rsidR="00862F5D" w:rsidRPr="00465B2A">
        <w:rPr>
          <w:rFonts w:cs="Times New Roman"/>
          <w:b/>
        </w:rPr>
        <w:t xml:space="preserve">FM </w:t>
      </w:r>
      <w:r w:rsidRPr="00465B2A">
        <w:rPr>
          <w:rFonts w:cs="Times New Roman"/>
          <w:b/>
        </w:rPr>
        <w:t>rendelet</w:t>
      </w:r>
      <w:r w:rsidR="006F55BD" w:rsidRPr="00465B2A">
        <w:rPr>
          <w:rFonts w:cs="Times New Roman"/>
          <w:b/>
        </w:rPr>
        <w:t>e</w:t>
      </w:r>
    </w:p>
    <w:p w:rsidR="0015109E" w:rsidRPr="00465B2A" w:rsidRDefault="0015109E" w:rsidP="00A55256">
      <w:pPr>
        <w:spacing w:after="0" w:line="240" w:lineRule="auto"/>
        <w:jc w:val="center"/>
        <w:rPr>
          <w:rFonts w:cs="Times New Roman"/>
          <w:b/>
        </w:rPr>
      </w:pPr>
    </w:p>
    <w:p w:rsidR="00013920" w:rsidRPr="00465B2A" w:rsidRDefault="00013920" w:rsidP="00013920">
      <w:pPr>
        <w:spacing w:after="0" w:line="240" w:lineRule="auto"/>
        <w:jc w:val="center"/>
        <w:rPr>
          <w:rFonts w:cs="Times New Roman"/>
          <w:b/>
        </w:rPr>
      </w:pPr>
      <w:proofErr w:type="gramStart"/>
      <w:r w:rsidRPr="00465B2A">
        <w:rPr>
          <w:rFonts w:cs="Times New Roman"/>
          <w:b/>
        </w:rPr>
        <w:t>a</w:t>
      </w:r>
      <w:proofErr w:type="gramEnd"/>
      <w:r w:rsidRPr="00465B2A">
        <w:rPr>
          <w:rFonts w:cs="Times New Roman"/>
          <w:b/>
        </w:rPr>
        <w:t xml:space="preserve"> termésnövelő anyagok engedélyezéséről, tárolásáról, forgalmazásáról és felhasználásáról</w:t>
      </w:r>
      <w:r w:rsidR="005A4FD4" w:rsidRPr="00465B2A">
        <w:rPr>
          <w:rFonts w:cs="Times New Roman"/>
          <w:b/>
        </w:rPr>
        <w:t xml:space="preserve"> szóló 36/2006. (V. 18.) FVM rendelet módosításáról</w:t>
      </w:r>
    </w:p>
    <w:p w:rsidR="00113531" w:rsidRPr="00465B2A" w:rsidRDefault="00113531" w:rsidP="00A55256">
      <w:pPr>
        <w:autoSpaceDE w:val="0"/>
        <w:autoSpaceDN w:val="0"/>
        <w:adjustRightInd w:val="0"/>
        <w:spacing w:after="0" w:line="240" w:lineRule="auto"/>
        <w:ind w:firstLine="142"/>
        <w:jc w:val="both"/>
        <w:rPr>
          <w:rFonts w:cs="Times New Roman"/>
        </w:rPr>
      </w:pPr>
    </w:p>
    <w:p w:rsidR="0015109E" w:rsidRPr="00465B2A" w:rsidRDefault="0015109E" w:rsidP="00013920">
      <w:pPr>
        <w:autoSpaceDE w:val="0"/>
        <w:autoSpaceDN w:val="0"/>
        <w:adjustRightInd w:val="0"/>
        <w:spacing w:after="0" w:line="240" w:lineRule="auto"/>
        <w:jc w:val="both"/>
        <w:rPr>
          <w:rFonts w:cs="Times New Roman"/>
        </w:rPr>
      </w:pPr>
    </w:p>
    <w:p w:rsidR="00113531" w:rsidRPr="00DC1FB5" w:rsidRDefault="00113531" w:rsidP="00421F78">
      <w:pPr>
        <w:autoSpaceDE w:val="0"/>
        <w:autoSpaceDN w:val="0"/>
        <w:adjustRightInd w:val="0"/>
        <w:spacing w:after="0" w:line="240" w:lineRule="auto"/>
        <w:jc w:val="both"/>
        <w:rPr>
          <w:rFonts w:cs="Times New Roman"/>
        </w:rPr>
      </w:pPr>
      <w:r w:rsidRPr="00DC1FB5">
        <w:rPr>
          <w:rFonts w:cs="Times New Roman"/>
        </w:rPr>
        <w:t xml:space="preserve">Az élelmiszerláncról és hatósági felügyeletéről szóló 2008. évi XLVI. törvény 76. § (2) bekezdés </w:t>
      </w:r>
      <w:r w:rsidR="00013920" w:rsidRPr="00DC1FB5">
        <w:rPr>
          <w:rFonts w:cs="Times New Roman"/>
        </w:rPr>
        <w:t>12</w:t>
      </w:r>
      <w:r w:rsidRPr="00DC1FB5">
        <w:rPr>
          <w:rFonts w:cs="Times New Roman"/>
        </w:rPr>
        <w:t xml:space="preserve">. pontjában </w:t>
      </w:r>
      <w:r w:rsidR="00A70927" w:rsidRPr="00DC1FB5">
        <w:rPr>
          <w:rFonts w:cs="Times New Roman"/>
        </w:rPr>
        <w:t>kapott</w:t>
      </w:r>
      <w:r w:rsidRPr="00DC1FB5">
        <w:rPr>
          <w:rFonts w:cs="Times New Roman"/>
        </w:rPr>
        <w:t xml:space="preserve"> felhatalmazás alapján –</w:t>
      </w:r>
      <w:r w:rsidR="00D70615" w:rsidRPr="00DC1FB5">
        <w:rPr>
          <w:rFonts w:cs="Times New Roman"/>
        </w:rPr>
        <w:t xml:space="preserve"> </w:t>
      </w:r>
      <w:r w:rsidR="004F1FF5" w:rsidRPr="00DC1FB5">
        <w:rPr>
          <w:rFonts w:cs="Times New Roman"/>
          <w:bCs/>
          <w:color w:val="000000"/>
        </w:rPr>
        <w:t xml:space="preserve">a Kormány tagjainak feladat- és hatásköréről </w:t>
      </w:r>
      <w:r w:rsidRPr="00DC1FB5">
        <w:rPr>
          <w:rFonts w:cs="Times New Roman"/>
        </w:rPr>
        <w:t xml:space="preserve">szóló </w:t>
      </w:r>
      <w:r w:rsidR="004F1FF5" w:rsidRPr="00DC1FB5">
        <w:rPr>
          <w:rFonts w:cs="Times New Roman"/>
          <w:bCs/>
          <w:color w:val="000000"/>
        </w:rPr>
        <w:t xml:space="preserve">152/2014. (VI. 6.) Korm. rendelet </w:t>
      </w:r>
      <w:r w:rsidR="004F1FF5" w:rsidRPr="00DC1FB5">
        <w:rPr>
          <w:rFonts w:cs="Times New Roman"/>
        </w:rPr>
        <w:t>65</w:t>
      </w:r>
      <w:r w:rsidRPr="00DC1FB5">
        <w:rPr>
          <w:rFonts w:cs="Times New Roman"/>
        </w:rPr>
        <w:t xml:space="preserve">. § </w:t>
      </w:r>
      <w:r w:rsidR="004F1FF5" w:rsidRPr="00DC1FB5">
        <w:rPr>
          <w:rFonts w:cs="Times New Roman"/>
          <w:iCs/>
        </w:rPr>
        <w:t>2.</w:t>
      </w:r>
      <w:r w:rsidRPr="00DC1FB5">
        <w:rPr>
          <w:rFonts w:cs="Times New Roman"/>
        </w:rPr>
        <w:t xml:space="preserve"> pontjában meghatározott feladatkörömben eljárva</w:t>
      </w:r>
      <w:r w:rsidR="00D70615" w:rsidRPr="00DC1FB5">
        <w:rPr>
          <w:rFonts w:cs="Times New Roman"/>
        </w:rPr>
        <w:t xml:space="preserve"> – </w:t>
      </w:r>
      <w:r w:rsidRPr="00DC1FB5">
        <w:rPr>
          <w:rFonts w:cs="Times New Roman"/>
        </w:rPr>
        <w:t>a következőket rendelem el:</w:t>
      </w:r>
    </w:p>
    <w:p w:rsidR="00113531" w:rsidRPr="00465B2A" w:rsidRDefault="00113531" w:rsidP="00D70615">
      <w:pPr>
        <w:autoSpaceDE w:val="0"/>
        <w:autoSpaceDN w:val="0"/>
        <w:adjustRightInd w:val="0"/>
        <w:spacing w:after="0" w:line="240" w:lineRule="auto"/>
        <w:jc w:val="both"/>
        <w:rPr>
          <w:rFonts w:cs="Times New Roman"/>
        </w:rPr>
      </w:pPr>
    </w:p>
    <w:p w:rsidR="00D70615" w:rsidRPr="00465B2A" w:rsidRDefault="00D70615" w:rsidP="00D70615">
      <w:pPr>
        <w:autoSpaceDE w:val="0"/>
        <w:autoSpaceDN w:val="0"/>
        <w:adjustRightInd w:val="0"/>
        <w:spacing w:after="0" w:line="240" w:lineRule="auto"/>
        <w:jc w:val="both"/>
        <w:rPr>
          <w:rFonts w:cs="Times New Roman"/>
        </w:rPr>
      </w:pPr>
    </w:p>
    <w:p w:rsidR="00ED3C20" w:rsidRPr="00465B2A" w:rsidRDefault="00ED3C20" w:rsidP="00D70615">
      <w:pPr>
        <w:autoSpaceDE w:val="0"/>
        <w:autoSpaceDN w:val="0"/>
        <w:adjustRightInd w:val="0"/>
        <w:spacing w:after="0" w:line="240" w:lineRule="auto"/>
        <w:jc w:val="both"/>
        <w:rPr>
          <w:rFonts w:cs="Times New Roman"/>
        </w:rPr>
      </w:pPr>
    </w:p>
    <w:p w:rsidR="00ED3C20" w:rsidRPr="00465B2A" w:rsidRDefault="00ED3C20" w:rsidP="00ED3C20">
      <w:pPr>
        <w:autoSpaceDE w:val="0"/>
        <w:autoSpaceDN w:val="0"/>
        <w:adjustRightInd w:val="0"/>
        <w:spacing w:after="0" w:line="240" w:lineRule="auto"/>
        <w:jc w:val="center"/>
        <w:rPr>
          <w:rFonts w:cs="Times New Roman"/>
          <w:b/>
        </w:rPr>
      </w:pPr>
      <w:r w:rsidRPr="00465B2A">
        <w:rPr>
          <w:rFonts w:cs="Times New Roman"/>
          <w:b/>
        </w:rPr>
        <w:t>1. §</w:t>
      </w:r>
    </w:p>
    <w:p w:rsidR="00ED3C20" w:rsidRPr="00465B2A" w:rsidRDefault="00ED3C20" w:rsidP="00D70615">
      <w:pPr>
        <w:autoSpaceDE w:val="0"/>
        <w:autoSpaceDN w:val="0"/>
        <w:adjustRightInd w:val="0"/>
        <w:spacing w:after="0" w:line="240" w:lineRule="auto"/>
        <w:jc w:val="both"/>
        <w:rPr>
          <w:rFonts w:cs="Times New Roman"/>
        </w:rPr>
      </w:pPr>
    </w:p>
    <w:p w:rsidR="00ED3C20" w:rsidRPr="00465B2A" w:rsidRDefault="00ED3C20" w:rsidP="00ED3C20">
      <w:pPr>
        <w:spacing w:after="0" w:line="240" w:lineRule="auto"/>
        <w:jc w:val="both"/>
        <w:rPr>
          <w:rFonts w:eastAsia="Times New Roman"/>
          <w:bCs/>
          <w:color w:val="000000"/>
          <w:lang w:eastAsia="hu-HU"/>
        </w:rPr>
      </w:pPr>
      <w:r w:rsidRPr="00465B2A">
        <w:rPr>
          <w:rFonts w:eastAsia="Times New Roman"/>
          <w:bCs/>
          <w:color w:val="000000"/>
          <w:lang w:eastAsia="hu-HU"/>
        </w:rPr>
        <w:t>A termésnövelő anyagok engedélyezéséről, tárolásáról, forgalmazásáról és felhasználásáról szóló 36/2006. (V. 18.) FVM rendelet (a továbbiakban: R.) 1. §</w:t>
      </w:r>
      <w:proofErr w:type="spellStart"/>
      <w:r w:rsidRPr="00465B2A">
        <w:rPr>
          <w:rFonts w:eastAsia="Times New Roman"/>
          <w:bCs/>
          <w:color w:val="000000"/>
          <w:lang w:eastAsia="hu-HU"/>
        </w:rPr>
        <w:t>-</w:t>
      </w:r>
      <w:proofErr w:type="gramStart"/>
      <w:r w:rsidRPr="00465B2A">
        <w:rPr>
          <w:rFonts w:eastAsia="Times New Roman"/>
          <w:bCs/>
          <w:color w:val="000000"/>
          <w:lang w:eastAsia="hu-HU"/>
        </w:rPr>
        <w:t>a</w:t>
      </w:r>
      <w:proofErr w:type="spellEnd"/>
      <w:proofErr w:type="gramEnd"/>
      <w:r w:rsidRPr="00465B2A">
        <w:rPr>
          <w:rFonts w:eastAsia="Times New Roman"/>
          <w:bCs/>
          <w:color w:val="000000"/>
          <w:lang w:eastAsia="hu-HU"/>
        </w:rPr>
        <w:t xml:space="preserve"> a következő (4) bekezdéssel egészül ki:</w:t>
      </w:r>
    </w:p>
    <w:p w:rsidR="00ED3C20" w:rsidRPr="00465B2A" w:rsidRDefault="00ED3C20" w:rsidP="00ED3C20">
      <w:pPr>
        <w:spacing w:after="0" w:line="240" w:lineRule="auto"/>
        <w:jc w:val="both"/>
        <w:rPr>
          <w:rFonts w:eastAsia="Times New Roman"/>
          <w:bCs/>
          <w:color w:val="000000"/>
          <w:lang w:eastAsia="hu-HU"/>
        </w:rPr>
      </w:pPr>
    </w:p>
    <w:p w:rsidR="00ED3C20" w:rsidRPr="00465B2A" w:rsidRDefault="00ED3C20" w:rsidP="00ED3C20">
      <w:pPr>
        <w:spacing w:after="0" w:line="240" w:lineRule="auto"/>
        <w:jc w:val="both"/>
        <w:rPr>
          <w:rFonts w:eastAsia="Times New Roman"/>
          <w:bCs/>
          <w:color w:val="000000"/>
          <w:lang w:eastAsia="hu-HU"/>
        </w:rPr>
      </w:pPr>
      <w:r w:rsidRPr="00465B2A">
        <w:rPr>
          <w:rFonts w:eastAsia="Times New Roman"/>
          <w:bCs/>
          <w:color w:val="000000"/>
          <w:lang w:eastAsia="hu-HU"/>
        </w:rPr>
        <w:t xml:space="preserve">„(4) A </w:t>
      </w:r>
      <w:r w:rsidRPr="00465B2A">
        <w:rPr>
          <w:rFonts w:eastAsia="Times New Roman"/>
          <w:color w:val="000000"/>
          <w:lang w:eastAsia="hu-HU"/>
        </w:rPr>
        <w:t>2003/</w:t>
      </w:r>
      <w:proofErr w:type="spellStart"/>
      <w:r w:rsidRPr="00465B2A">
        <w:rPr>
          <w:rFonts w:eastAsia="Times New Roman"/>
          <w:color w:val="000000"/>
          <w:lang w:eastAsia="hu-HU"/>
        </w:rPr>
        <w:t>2003</w:t>
      </w:r>
      <w:proofErr w:type="spellEnd"/>
      <w:r w:rsidRPr="00465B2A">
        <w:rPr>
          <w:rFonts w:eastAsia="Times New Roman"/>
          <w:color w:val="000000"/>
          <w:lang w:eastAsia="hu-HU"/>
        </w:rPr>
        <w:t>/EK rendelet I., II. és IV. mellékletének a műszaki fejlődéshez való hozzáigazítás céljából történő módosításáról szóló</w:t>
      </w:r>
      <w:r w:rsidR="00EB34D8" w:rsidRPr="00465B2A">
        <w:rPr>
          <w:rFonts w:eastAsia="Times New Roman"/>
          <w:color w:val="000000"/>
          <w:lang w:eastAsia="hu-HU"/>
        </w:rPr>
        <w:t>,</w:t>
      </w:r>
      <w:r w:rsidRPr="00465B2A">
        <w:rPr>
          <w:rFonts w:eastAsia="Times New Roman"/>
          <w:color w:val="000000"/>
          <w:lang w:eastAsia="hu-HU"/>
        </w:rPr>
        <w:t xml:space="preserve"> </w:t>
      </w:r>
      <w:r w:rsidR="00EB34D8" w:rsidRPr="00465B2A">
        <w:rPr>
          <w:rFonts w:eastAsia="Times New Roman"/>
          <w:color w:val="000000"/>
          <w:lang w:eastAsia="hu-HU"/>
        </w:rPr>
        <w:t xml:space="preserve">2013. május 17-i </w:t>
      </w:r>
      <w:r w:rsidRPr="00465B2A">
        <w:rPr>
          <w:rFonts w:eastAsia="Times New Roman"/>
          <w:color w:val="000000"/>
          <w:lang w:eastAsia="hu-HU"/>
        </w:rPr>
        <w:t xml:space="preserve">463/2013/EU </w:t>
      </w:r>
      <w:r w:rsidR="00EB34D8" w:rsidRPr="00465B2A">
        <w:rPr>
          <w:rFonts w:eastAsia="Times New Roman"/>
          <w:color w:val="000000"/>
          <w:lang w:eastAsia="hu-HU"/>
        </w:rPr>
        <w:t>bizottsági r</w:t>
      </w:r>
      <w:r w:rsidRPr="00465B2A">
        <w:rPr>
          <w:rFonts w:eastAsia="Times New Roman"/>
          <w:color w:val="000000"/>
          <w:lang w:eastAsia="hu-HU"/>
        </w:rPr>
        <w:t xml:space="preserve">endelet előírásainak megfelelő meszező anyagok </w:t>
      </w:r>
      <w:r w:rsidRPr="00465B2A">
        <w:rPr>
          <w:rFonts w:eastAsia="Times New Roman"/>
          <w:bCs/>
          <w:color w:val="000000"/>
          <w:lang w:eastAsia="hu-HU"/>
        </w:rPr>
        <w:t>EK műtrágyaként is forgalomba hozhatók</w:t>
      </w:r>
      <w:r w:rsidR="00EB34D8" w:rsidRPr="00465B2A">
        <w:rPr>
          <w:rFonts w:eastAsia="Times New Roman"/>
          <w:bCs/>
          <w:color w:val="000000"/>
          <w:lang w:eastAsia="hu-HU"/>
        </w:rPr>
        <w:t>.</w:t>
      </w:r>
      <w:r w:rsidRPr="00465B2A">
        <w:rPr>
          <w:rFonts w:eastAsia="Times New Roman"/>
          <w:bCs/>
          <w:color w:val="000000"/>
          <w:lang w:eastAsia="hu-HU"/>
        </w:rPr>
        <w:t>”</w:t>
      </w:r>
    </w:p>
    <w:p w:rsidR="00ED3C20" w:rsidRPr="00465B2A" w:rsidRDefault="00ED3C20" w:rsidP="00ED3C20">
      <w:pPr>
        <w:autoSpaceDE w:val="0"/>
        <w:autoSpaceDN w:val="0"/>
        <w:adjustRightInd w:val="0"/>
        <w:spacing w:after="0" w:line="240" w:lineRule="auto"/>
        <w:jc w:val="both"/>
        <w:rPr>
          <w:rFonts w:cs="Times New Roman"/>
        </w:rPr>
      </w:pPr>
    </w:p>
    <w:p w:rsidR="00EB34D8" w:rsidRDefault="00EB34D8" w:rsidP="00EB34D8">
      <w:pPr>
        <w:autoSpaceDE w:val="0"/>
        <w:autoSpaceDN w:val="0"/>
        <w:adjustRightInd w:val="0"/>
        <w:spacing w:after="0" w:line="240" w:lineRule="auto"/>
        <w:jc w:val="center"/>
        <w:rPr>
          <w:rFonts w:cs="Times New Roman"/>
          <w:b/>
        </w:rPr>
      </w:pPr>
      <w:r w:rsidRPr="00465B2A">
        <w:rPr>
          <w:rFonts w:cs="Times New Roman"/>
          <w:b/>
        </w:rPr>
        <w:t>2. §</w:t>
      </w:r>
    </w:p>
    <w:p w:rsidR="00B55E36" w:rsidRPr="00465B2A" w:rsidRDefault="00B55E36" w:rsidP="00EB34D8">
      <w:pPr>
        <w:autoSpaceDE w:val="0"/>
        <w:autoSpaceDN w:val="0"/>
        <w:adjustRightInd w:val="0"/>
        <w:spacing w:after="0" w:line="240" w:lineRule="auto"/>
        <w:jc w:val="center"/>
        <w:rPr>
          <w:rFonts w:cs="Times New Roman"/>
          <w:b/>
        </w:rPr>
      </w:pPr>
    </w:p>
    <w:p w:rsidR="00EB34D8" w:rsidRPr="00465B2A" w:rsidRDefault="00EB34D8" w:rsidP="00ED3C20">
      <w:pPr>
        <w:autoSpaceDE w:val="0"/>
        <w:autoSpaceDN w:val="0"/>
        <w:adjustRightInd w:val="0"/>
        <w:spacing w:after="0" w:line="240" w:lineRule="auto"/>
        <w:jc w:val="both"/>
        <w:rPr>
          <w:rFonts w:cs="Times New Roman"/>
        </w:rPr>
      </w:pPr>
      <w:r w:rsidRPr="00465B2A">
        <w:rPr>
          <w:rFonts w:cs="Times New Roman"/>
        </w:rPr>
        <w:t>(1) Az R. 2. § 8. pontja helyébe a következő rendelkezés lép:</w:t>
      </w:r>
    </w:p>
    <w:p w:rsidR="00F307E1" w:rsidRPr="00465B2A" w:rsidRDefault="00F307E1" w:rsidP="00EB34D8">
      <w:pPr>
        <w:spacing w:after="20" w:line="240" w:lineRule="auto"/>
        <w:jc w:val="both"/>
        <w:rPr>
          <w:rFonts w:cs="Times New Roman"/>
        </w:rPr>
      </w:pPr>
      <w:bookmarkStart w:id="1" w:name="pr12"/>
      <w:bookmarkStart w:id="2" w:name="pr13"/>
      <w:bookmarkStart w:id="3" w:name="pr14"/>
      <w:bookmarkStart w:id="4" w:name="pr15"/>
      <w:bookmarkStart w:id="5" w:name="pr16"/>
      <w:bookmarkStart w:id="6" w:name="pr17"/>
      <w:bookmarkStart w:id="7" w:name="pr18"/>
      <w:bookmarkStart w:id="8" w:name="pr19"/>
      <w:bookmarkStart w:id="9" w:name="pr20"/>
      <w:bookmarkStart w:id="10" w:name="pr21"/>
      <w:bookmarkStart w:id="11" w:name="pr22"/>
      <w:bookmarkEnd w:id="1"/>
      <w:bookmarkEnd w:id="2"/>
      <w:bookmarkEnd w:id="3"/>
      <w:bookmarkEnd w:id="4"/>
      <w:bookmarkEnd w:id="5"/>
      <w:bookmarkEnd w:id="6"/>
      <w:bookmarkEnd w:id="7"/>
      <w:bookmarkEnd w:id="8"/>
      <w:bookmarkEnd w:id="9"/>
      <w:bookmarkEnd w:id="10"/>
      <w:bookmarkEnd w:id="11"/>
    </w:p>
    <w:p w:rsidR="00EB34D8" w:rsidRPr="00465B2A" w:rsidRDefault="00EB34D8" w:rsidP="00EB34D8">
      <w:pPr>
        <w:spacing w:after="20" w:line="240" w:lineRule="auto"/>
        <w:jc w:val="both"/>
        <w:rPr>
          <w:rFonts w:eastAsia="Times New Roman"/>
          <w:i/>
          <w:color w:val="000000"/>
          <w:lang w:eastAsia="hu-HU"/>
        </w:rPr>
      </w:pPr>
      <w:r w:rsidRPr="00465B2A">
        <w:rPr>
          <w:rFonts w:cs="Times New Roman"/>
          <w:i/>
        </w:rPr>
        <w:t>(</w:t>
      </w:r>
      <w:r w:rsidRPr="00465B2A">
        <w:rPr>
          <w:rFonts w:eastAsia="Times New Roman"/>
          <w:i/>
          <w:color w:val="000000"/>
          <w:lang w:eastAsia="hu-HU"/>
        </w:rPr>
        <w:t>E rendelet alkalmazásában:)</w:t>
      </w:r>
    </w:p>
    <w:p w:rsidR="00EB34D8" w:rsidRPr="00465B2A" w:rsidRDefault="00EB34D8" w:rsidP="00ED3C20">
      <w:pPr>
        <w:autoSpaceDE w:val="0"/>
        <w:autoSpaceDN w:val="0"/>
        <w:adjustRightInd w:val="0"/>
        <w:spacing w:after="0" w:line="240" w:lineRule="auto"/>
        <w:jc w:val="both"/>
        <w:rPr>
          <w:rFonts w:cs="Times New Roman"/>
        </w:rPr>
      </w:pPr>
    </w:p>
    <w:p w:rsidR="00EB34D8" w:rsidRPr="00465B2A" w:rsidRDefault="00EB34D8" w:rsidP="00ED3C20">
      <w:pPr>
        <w:autoSpaceDE w:val="0"/>
        <w:autoSpaceDN w:val="0"/>
        <w:adjustRightInd w:val="0"/>
        <w:spacing w:after="0" w:line="240" w:lineRule="auto"/>
        <w:jc w:val="both"/>
        <w:rPr>
          <w:rFonts w:cs="Times New Roman"/>
        </w:rPr>
      </w:pPr>
      <w:r w:rsidRPr="00465B2A">
        <w:rPr>
          <w:rFonts w:eastAsia="Times New Roman"/>
          <w:color w:val="000000"/>
          <w:lang w:eastAsia="hu-HU"/>
        </w:rPr>
        <w:t>„8. </w:t>
      </w:r>
      <w:r w:rsidRPr="00465B2A">
        <w:rPr>
          <w:rFonts w:eastAsia="Times New Roman"/>
          <w:i/>
          <w:iCs/>
          <w:color w:val="000000"/>
          <w:lang w:eastAsia="hu-HU"/>
        </w:rPr>
        <w:t>Mikrobiológiai készítmény:</w:t>
      </w:r>
      <w:r w:rsidRPr="00465B2A">
        <w:rPr>
          <w:rFonts w:eastAsia="Times New Roman"/>
          <w:color w:val="000000"/>
          <w:lang w:eastAsia="hu-HU"/>
        </w:rPr>
        <w:t xml:space="preserve"> a talaj termékenységét javító, a növény fejlődését befolyásoló és a komposzt mezőgazdasági célú felhasználása esetén a komposztálási folyamatokat elősegítő mikroszervezeteket (baktériumokat, gombákat, algákat) tartalmazó termésnövelő anyag, amely mentes az emberre fertőzőképes és a talaj természetes </w:t>
      </w:r>
      <w:proofErr w:type="spellStart"/>
      <w:r w:rsidRPr="00465B2A">
        <w:rPr>
          <w:rFonts w:eastAsia="Times New Roman"/>
          <w:color w:val="000000"/>
          <w:lang w:eastAsia="hu-HU"/>
        </w:rPr>
        <w:t>mikroflóráját</w:t>
      </w:r>
      <w:proofErr w:type="spellEnd"/>
      <w:r w:rsidRPr="00465B2A">
        <w:rPr>
          <w:rFonts w:eastAsia="Times New Roman"/>
          <w:color w:val="000000"/>
          <w:lang w:eastAsia="hu-HU"/>
        </w:rPr>
        <w:t xml:space="preserve"> kedvezőtlenül befolyásoló szervezetektől.”</w:t>
      </w:r>
    </w:p>
    <w:p w:rsidR="00EB34D8" w:rsidRPr="00465B2A" w:rsidRDefault="00EB34D8" w:rsidP="00ED3C20">
      <w:pPr>
        <w:autoSpaceDE w:val="0"/>
        <w:autoSpaceDN w:val="0"/>
        <w:adjustRightInd w:val="0"/>
        <w:spacing w:after="0" w:line="240" w:lineRule="auto"/>
        <w:jc w:val="both"/>
        <w:rPr>
          <w:rFonts w:cs="Times New Roman"/>
        </w:rPr>
      </w:pPr>
    </w:p>
    <w:p w:rsidR="00EB34D8" w:rsidRPr="00465B2A" w:rsidRDefault="00EB34D8" w:rsidP="00EB34D8">
      <w:pPr>
        <w:autoSpaceDE w:val="0"/>
        <w:autoSpaceDN w:val="0"/>
        <w:adjustRightInd w:val="0"/>
        <w:spacing w:after="0" w:line="240" w:lineRule="auto"/>
        <w:jc w:val="both"/>
        <w:rPr>
          <w:rFonts w:cs="Times New Roman"/>
        </w:rPr>
      </w:pPr>
      <w:r w:rsidRPr="00465B2A">
        <w:rPr>
          <w:rFonts w:cs="Times New Roman"/>
        </w:rPr>
        <w:t>(2) Az R. 2. §</w:t>
      </w:r>
      <w:proofErr w:type="spellStart"/>
      <w:r w:rsidRPr="00465B2A">
        <w:rPr>
          <w:rFonts w:cs="Times New Roman"/>
        </w:rPr>
        <w:t>-</w:t>
      </w:r>
      <w:proofErr w:type="gramStart"/>
      <w:r w:rsidRPr="00465B2A">
        <w:rPr>
          <w:rFonts w:cs="Times New Roman"/>
        </w:rPr>
        <w:t>a</w:t>
      </w:r>
      <w:proofErr w:type="spellEnd"/>
      <w:proofErr w:type="gramEnd"/>
      <w:r w:rsidRPr="00465B2A">
        <w:rPr>
          <w:rFonts w:cs="Times New Roman"/>
        </w:rPr>
        <w:t xml:space="preserve"> a következő </w:t>
      </w:r>
      <w:r w:rsidR="0071550E" w:rsidRPr="00465B2A">
        <w:rPr>
          <w:rFonts w:cs="Times New Roman"/>
        </w:rPr>
        <w:t>1</w:t>
      </w:r>
      <w:r w:rsidR="0071550E">
        <w:rPr>
          <w:rFonts w:cs="Times New Roman"/>
        </w:rPr>
        <w:t>2</w:t>
      </w:r>
      <w:r w:rsidRPr="00465B2A">
        <w:rPr>
          <w:rFonts w:cs="Times New Roman"/>
        </w:rPr>
        <w:t>-</w:t>
      </w:r>
      <w:r w:rsidR="0071550E" w:rsidRPr="00465B2A">
        <w:rPr>
          <w:rFonts w:cs="Times New Roman"/>
        </w:rPr>
        <w:t>1</w:t>
      </w:r>
      <w:r w:rsidR="0071550E">
        <w:rPr>
          <w:rFonts w:cs="Times New Roman"/>
        </w:rPr>
        <w:t>9</w:t>
      </w:r>
      <w:r w:rsidRPr="00465B2A">
        <w:rPr>
          <w:rFonts w:cs="Times New Roman"/>
        </w:rPr>
        <w:t>. ponttal egészül ki:</w:t>
      </w:r>
    </w:p>
    <w:p w:rsidR="00EB34D8" w:rsidRPr="00465B2A" w:rsidRDefault="00EB34D8" w:rsidP="00EB34D8">
      <w:pPr>
        <w:spacing w:after="20" w:line="240" w:lineRule="auto"/>
        <w:jc w:val="both"/>
        <w:rPr>
          <w:rFonts w:cs="Times New Roman"/>
        </w:rPr>
      </w:pPr>
    </w:p>
    <w:p w:rsidR="00EB34D8" w:rsidRPr="00465B2A" w:rsidRDefault="00EB34D8" w:rsidP="00EB34D8">
      <w:pPr>
        <w:spacing w:after="20" w:line="240" w:lineRule="auto"/>
        <w:jc w:val="both"/>
        <w:rPr>
          <w:rFonts w:eastAsia="Times New Roman"/>
          <w:i/>
          <w:color w:val="000000"/>
          <w:lang w:eastAsia="hu-HU"/>
        </w:rPr>
      </w:pPr>
      <w:r w:rsidRPr="00465B2A">
        <w:rPr>
          <w:rFonts w:cs="Times New Roman"/>
          <w:i/>
        </w:rPr>
        <w:t>(</w:t>
      </w:r>
      <w:r w:rsidRPr="00465B2A">
        <w:rPr>
          <w:rFonts w:eastAsia="Times New Roman"/>
          <w:i/>
          <w:color w:val="000000"/>
          <w:lang w:eastAsia="hu-HU"/>
        </w:rPr>
        <w:t>E rendelet alkalmazásában:)</w:t>
      </w:r>
    </w:p>
    <w:p w:rsidR="00EB34D8" w:rsidRPr="00465B2A" w:rsidRDefault="00EB34D8" w:rsidP="00EB34D8">
      <w:pPr>
        <w:spacing w:after="0" w:line="240" w:lineRule="auto"/>
        <w:jc w:val="both"/>
      </w:pPr>
    </w:p>
    <w:p w:rsidR="00031441" w:rsidRPr="00465B2A" w:rsidRDefault="0071550E" w:rsidP="00031441">
      <w:pPr>
        <w:spacing w:after="0" w:line="240" w:lineRule="auto"/>
        <w:jc w:val="both"/>
      </w:pPr>
      <w:r>
        <w:rPr>
          <w:i/>
          <w:iCs/>
        </w:rPr>
        <w:t>12</w:t>
      </w:r>
      <w:r w:rsidR="00031441">
        <w:rPr>
          <w:i/>
          <w:iCs/>
        </w:rPr>
        <w:t xml:space="preserve">. </w:t>
      </w:r>
      <w:r w:rsidR="00031441" w:rsidRPr="00BC77A1">
        <w:rPr>
          <w:i/>
          <w:iCs/>
        </w:rPr>
        <w:t xml:space="preserve">Engedély: </w:t>
      </w:r>
      <w:r w:rsidR="00031441" w:rsidRPr="00BC77A1">
        <w:rPr>
          <w:bCs/>
        </w:rPr>
        <w:t>az élelmiszerláncról és hatósági felügyeletéről</w:t>
      </w:r>
      <w:r w:rsidR="00031441" w:rsidRPr="00BC77A1">
        <w:rPr>
          <w:rStyle w:val="CharStyle28"/>
          <w:sz w:val="24"/>
          <w:szCs w:val="24"/>
        </w:rPr>
        <w:t xml:space="preserve"> szóló </w:t>
      </w:r>
      <w:r w:rsidR="00031441" w:rsidRPr="00BC77A1">
        <w:rPr>
          <w:bCs/>
        </w:rPr>
        <w:t>2008. évi XLVI. törvény</w:t>
      </w:r>
      <w:r w:rsidR="00031441" w:rsidRPr="00465B2A">
        <w:t xml:space="preserve"> </w:t>
      </w:r>
      <w:r w:rsidR="00031441" w:rsidRPr="00BC77A1">
        <w:rPr>
          <w:rStyle w:val="CharStyle28"/>
          <w:sz w:val="24"/>
          <w:szCs w:val="24"/>
        </w:rPr>
        <w:t xml:space="preserve">(a továbbiakban </w:t>
      </w:r>
      <w:proofErr w:type="spellStart"/>
      <w:r w:rsidR="00031441" w:rsidRPr="00BC77A1">
        <w:rPr>
          <w:rStyle w:val="CharStyle28"/>
          <w:sz w:val="24"/>
          <w:szCs w:val="24"/>
        </w:rPr>
        <w:t>É</w:t>
      </w:r>
      <w:r w:rsidR="00031441" w:rsidRPr="00BC77A1">
        <w:rPr>
          <w:bCs/>
        </w:rPr>
        <w:t>ltv</w:t>
      </w:r>
      <w:proofErr w:type="spellEnd"/>
      <w:r w:rsidR="00031441" w:rsidRPr="00BC77A1">
        <w:rPr>
          <w:bCs/>
        </w:rPr>
        <w:t xml:space="preserve">.) </w:t>
      </w:r>
      <w:r w:rsidR="00031441">
        <w:t>M</w:t>
      </w:r>
      <w:r w:rsidR="00031441" w:rsidRPr="00465B2A">
        <w:t>elléklet 24. pontjában felsorolt engedélyköteles termék forgalomba hozatalára és felhasználá</w:t>
      </w:r>
      <w:r w:rsidR="00031441">
        <w:t>sára kiadott hatósági határozat.</w:t>
      </w:r>
    </w:p>
    <w:p w:rsidR="00031441" w:rsidRPr="00465B2A" w:rsidRDefault="0071550E" w:rsidP="00031441">
      <w:pPr>
        <w:spacing w:after="0" w:line="240" w:lineRule="auto"/>
        <w:jc w:val="both"/>
      </w:pPr>
      <w:r>
        <w:rPr>
          <w:i/>
        </w:rPr>
        <w:t>13</w:t>
      </w:r>
      <w:r w:rsidR="00031441">
        <w:rPr>
          <w:i/>
        </w:rPr>
        <w:t xml:space="preserve">. </w:t>
      </w:r>
      <w:r w:rsidR="00031441" w:rsidRPr="00BC77A1">
        <w:rPr>
          <w:i/>
        </w:rPr>
        <w:t>Kereskedelmi név</w:t>
      </w:r>
      <w:r w:rsidR="00031441" w:rsidRPr="00465B2A">
        <w:t>: a termésnövelő anyag e</w:t>
      </w:r>
      <w:r w:rsidR="00031441">
        <w:t>ngedélyben szereplő megnevezése.</w:t>
      </w:r>
    </w:p>
    <w:p w:rsidR="00031441" w:rsidRPr="00465B2A" w:rsidRDefault="0071550E" w:rsidP="00031441">
      <w:pPr>
        <w:spacing w:after="0" w:line="240" w:lineRule="auto"/>
        <w:jc w:val="both"/>
      </w:pPr>
      <w:r>
        <w:rPr>
          <w:i/>
        </w:rPr>
        <w:t>14</w:t>
      </w:r>
      <w:r w:rsidR="00031441">
        <w:rPr>
          <w:i/>
        </w:rPr>
        <w:t xml:space="preserve">. </w:t>
      </w:r>
      <w:r w:rsidR="00031441" w:rsidRPr="00BC77A1">
        <w:rPr>
          <w:i/>
        </w:rPr>
        <w:t xml:space="preserve">Közepes </w:t>
      </w:r>
      <w:proofErr w:type="spellStart"/>
      <w:r w:rsidR="00031441" w:rsidRPr="00BC77A1">
        <w:rPr>
          <w:i/>
        </w:rPr>
        <w:t>szervesanyag</w:t>
      </w:r>
      <w:proofErr w:type="spellEnd"/>
      <w:r w:rsidR="00031441" w:rsidRPr="00BC77A1">
        <w:rPr>
          <w:i/>
        </w:rPr>
        <w:t xml:space="preserve"> tartalmú virágföld: </w:t>
      </w:r>
      <w:r w:rsidR="00031441" w:rsidRPr="00465B2A">
        <w:t xml:space="preserve">olyan termesztő közeg, amely a 3. melléklet </w:t>
      </w:r>
      <w:r w:rsidR="00031441">
        <w:t xml:space="preserve">9. fejezet </w:t>
      </w:r>
      <w:r w:rsidR="00031441" w:rsidRPr="00465B2A">
        <w:t>9.1. pont</w:t>
      </w:r>
      <w:r w:rsidR="00031441">
        <w:t>ja</w:t>
      </w:r>
      <w:r w:rsidR="00031441" w:rsidRPr="00465B2A">
        <w:t xml:space="preserve"> szerinti garantált minimum tápanyag, szerves anyag és szárazanyag tartalommal rendelkezik</w:t>
      </w:r>
      <w:r w:rsidR="00031441">
        <w:t>.</w:t>
      </w:r>
    </w:p>
    <w:p w:rsidR="00031441" w:rsidRPr="00465B2A" w:rsidRDefault="0071550E" w:rsidP="00031441">
      <w:pPr>
        <w:spacing w:after="0" w:line="240" w:lineRule="auto"/>
        <w:jc w:val="both"/>
      </w:pPr>
      <w:r>
        <w:rPr>
          <w:i/>
        </w:rPr>
        <w:t>15</w:t>
      </w:r>
      <w:r w:rsidR="00031441">
        <w:rPr>
          <w:i/>
        </w:rPr>
        <w:t xml:space="preserve">. </w:t>
      </w:r>
      <w:r w:rsidR="00031441" w:rsidRPr="00BC77A1">
        <w:rPr>
          <w:i/>
        </w:rPr>
        <w:t xml:space="preserve">Magas </w:t>
      </w:r>
      <w:proofErr w:type="spellStart"/>
      <w:r w:rsidR="00031441" w:rsidRPr="00BC77A1">
        <w:rPr>
          <w:i/>
        </w:rPr>
        <w:t>szervesanyag</w:t>
      </w:r>
      <w:proofErr w:type="spellEnd"/>
      <w:r w:rsidR="00031441" w:rsidRPr="00BC77A1">
        <w:rPr>
          <w:i/>
        </w:rPr>
        <w:t xml:space="preserve"> tartalmú virágföld és palántaföld:</w:t>
      </w:r>
      <w:r w:rsidR="00031441" w:rsidRPr="00465B2A">
        <w:t xml:space="preserve"> olyan termesztő közeg, amely alapanyagként nem tartalmaz hulladékot vagy </w:t>
      </w:r>
      <w:r w:rsidR="00031441">
        <w:t>hulladékból</w:t>
      </w:r>
      <w:r w:rsidR="00031441" w:rsidRPr="00465B2A">
        <w:t xml:space="preserve"> kész</w:t>
      </w:r>
      <w:r w:rsidR="00031441">
        <w:t>ül</w:t>
      </w:r>
      <w:r w:rsidR="00031441" w:rsidRPr="00465B2A">
        <w:t>t komposztot</w:t>
      </w:r>
      <w:r w:rsidR="00031441">
        <w:t xml:space="preserve"> – kivéve </w:t>
      </w:r>
      <w:r w:rsidR="00031441">
        <w:lastRenderedPageBreak/>
        <w:t>alacsony környezeti, valamint környezet-egészségügyi kockázatú zöldhulladékot és a zöldhulladékból készült komposztot –,</w:t>
      </w:r>
      <w:r w:rsidR="00031441" w:rsidRPr="00465B2A">
        <w:t xml:space="preserve"> valamint a 3. melléklet</w:t>
      </w:r>
      <w:r w:rsidR="00031441">
        <w:t xml:space="preserve"> 9. fejezet</w:t>
      </w:r>
      <w:r w:rsidR="00031441" w:rsidRPr="00465B2A">
        <w:t xml:space="preserve"> 9.1. pont</w:t>
      </w:r>
      <w:r w:rsidR="00031441">
        <w:t>ja</w:t>
      </w:r>
      <w:r w:rsidR="00031441" w:rsidRPr="00465B2A">
        <w:t xml:space="preserve"> szerinti garantált minimum tápanyag, szerves anyag és szárazanyag tartalommal rendelkezik</w:t>
      </w:r>
      <w:r w:rsidR="00031441">
        <w:t>.</w:t>
      </w:r>
    </w:p>
    <w:p w:rsidR="00031441" w:rsidRPr="00465B2A" w:rsidRDefault="0071550E" w:rsidP="00031441">
      <w:pPr>
        <w:spacing w:after="0" w:line="240" w:lineRule="auto"/>
        <w:jc w:val="both"/>
      </w:pPr>
      <w:r>
        <w:rPr>
          <w:i/>
        </w:rPr>
        <w:t>16</w:t>
      </w:r>
      <w:r w:rsidR="00031441">
        <w:rPr>
          <w:i/>
        </w:rPr>
        <w:t xml:space="preserve">. </w:t>
      </w:r>
      <w:r w:rsidR="00031441" w:rsidRPr="00BC77A1">
        <w:rPr>
          <w:i/>
        </w:rPr>
        <w:t xml:space="preserve">Márkanév: </w:t>
      </w:r>
      <w:r w:rsidR="00031441" w:rsidRPr="00465B2A">
        <w:t>a termésnövelő anyagnak a gyártó vagy forgalmazó á</w:t>
      </w:r>
      <w:r w:rsidR="00031441">
        <w:t>ltal adott megkülönböztető neve.</w:t>
      </w:r>
    </w:p>
    <w:p w:rsidR="00031441" w:rsidRPr="00BC77A1" w:rsidRDefault="0071550E" w:rsidP="00031441">
      <w:pPr>
        <w:autoSpaceDE w:val="0"/>
        <w:autoSpaceDN w:val="0"/>
        <w:adjustRightInd w:val="0"/>
        <w:spacing w:after="0" w:line="240" w:lineRule="auto"/>
        <w:jc w:val="both"/>
        <w:rPr>
          <w:rFonts w:cs="Times New Roman"/>
        </w:rPr>
      </w:pPr>
      <w:r>
        <w:rPr>
          <w:i/>
        </w:rPr>
        <w:t>17</w:t>
      </w:r>
      <w:r w:rsidR="00031441">
        <w:rPr>
          <w:i/>
        </w:rPr>
        <w:t xml:space="preserve">. </w:t>
      </w:r>
      <w:r w:rsidR="00031441" w:rsidRPr="00BC77A1">
        <w:rPr>
          <w:i/>
        </w:rPr>
        <w:t>Referencia név</w:t>
      </w:r>
      <w:r w:rsidR="00031441" w:rsidRPr="00465B2A">
        <w:t>: az a kereskedelmi név, amelyen a termésnövelő anyag</w:t>
      </w:r>
      <w:r w:rsidR="00031441">
        <w:t xml:space="preserve"> először került engedélyezésre.</w:t>
      </w:r>
    </w:p>
    <w:p w:rsidR="00031441" w:rsidRPr="00465B2A" w:rsidRDefault="0071550E" w:rsidP="00031441">
      <w:pPr>
        <w:spacing w:after="0" w:line="240" w:lineRule="auto"/>
        <w:jc w:val="both"/>
      </w:pPr>
      <w:r>
        <w:rPr>
          <w:i/>
        </w:rPr>
        <w:t>18</w:t>
      </w:r>
      <w:r w:rsidR="00031441">
        <w:rPr>
          <w:i/>
        </w:rPr>
        <w:t xml:space="preserve">. </w:t>
      </w:r>
      <w:r w:rsidR="00031441" w:rsidRPr="00BC77A1">
        <w:rPr>
          <w:i/>
        </w:rPr>
        <w:t>Tartó közeg:</w:t>
      </w:r>
      <w:r w:rsidR="00031441" w:rsidRPr="00465B2A">
        <w:t xml:space="preserve"> olyan termesztő közeg, amely elsősorban gyökereztetésre, és tartóközegként szolgál, garantált tápanyag, szerves anyag és szárazanyag tartalom előírása nélkül</w:t>
      </w:r>
      <w:r w:rsidR="00031441">
        <w:t>.</w:t>
      </w:r>
    </w:p>
    <w:p w:rsidR="00031441" w:rsidRPr="00465B2A" w:rsidRDefault="0071550E" w:rsidP="00031441">
      <w:pPr>
        <w:spacing w:after="0" w:line="240" w:lineRule="auto"/>
        <w:jc w:val="both"/>
      </w:pPr>
      <w:r>
        <w:rPr>
          <w:i/>
        </w:rPr>
        <w:t>19</w:t>
      </w:r>
      <w:r w:rsidR="00031441">
        <w:rPr>
          <w:i/>
        </w:rPr>
        <w:t xml:space="preserve">. </w:t>
      </w:r>
      <w:r w:rsidR="00031441" w:rsidRPr="00BC77A1">
        <w:rPr>
          <w:i/>
        </w:rPr>
        <w:t xml:space="preserve">Termesztő föld: </w:t>
      </w:r>
      <w:r w:rsidR="00031441" w:rsidRPr="00465B2A">
        <w:t xml:space="preserve">olyan </w:t>
      </w:r>
      <w:r w:rsidR="00DF2676">
        <w:t xml:space="preserve">alacsony </w:t>
      </w:r>
      <w:proofErr w:type="spellStart"/>
      <w:r w:rsidR="00DF2676">
        <w:t>szervesanyag</w:t>
      </w:r>
      <w:proofErr w:type="spellEnd"/>
      <w:r w:rsidR="00DF2676">
        <w:t xml:space="preserve"> tartalmú </w:t>
      </w:r>
      <w:r w:rsidR="00031441" w:rsidRPr="00465B2A">
        <w:t xml:space="preserve">termesztő közeg, amely a 3. melléklet </w:t>
      </w:r>
      <w:r w:rsidR="00031441">
        <w:t xml:space="preserve">9. fejezet </w:t>
      </w:r>
      <w:r w:rsidR="00031441" w:rsidRPr="00465B2A">
        <w:t>9.1. pont</w:t>
      </w:r>
      <w:r w:rsidR="00031441">
        <w:t>ja</w:t>
      </w:r>
      <w:r w:rsidR="00031441" w:rsidRPr="00465B2A">
        <w:t xml:space="preserve"> szerinti garantált minimum tápanyag, szerves anyag és szárazanyag tartalommal rendelkezik</w:t>
      </w:r>
      <w:r w:rsidR="00031441">
        <w:t>.”</w:t>
      </w:r>
    </w:p>
    <w:p w:rsidR="00D70615" w:rsidRPr="00465B2A" w:rsidRDefault="00D70615" w:rsidP="00EB34D8">
      <w:pPr>
        <w:autoSpaceDE w:val="0"/>
        <w:autoSpaceDN w:val="0"/>
        <w:adjustRightInd w:val="0"/>
        <w:spacing w:after="0" w:line="240" w:lineRule="auto"/>
        <w:jc w:val="both"/>
        <w:rPr>
          <w:rFonts w:cs="Times New Roman"/>
        </w:rPr>
      </w:pPr>
    </w:p>
    <w:p w:rsidR="00D70615" w:rsidRPr="00465B2A" w:rsidRDefault="00E97E87" w:rsidP="00E97E87">
      <w:pPr>
        <w:autoSpaceDE w:val="0"/>
        <w:autoSpaceDN w:val="0"/>
        <w:adjustRightInd w:val="0"/>
        <w:spacing w:after="0" w:line="240" w:lineRule="auto"/>
        <w:jc w:val="center"/>
        <w:rPr>
          <w:rFonts w:cs="Times New Roman"/>
          <w:b/>
        </w:rPr>
      </w:pPr>
      <w:r w:rsidRPr="00465B2A">
        <w:rPr>
          <w:rFonts w:cs="Times New Roman"/>
          <w:b/>
        </w:rPr>
        <w:t>3. §</w:t>
      </w:r>
    </w:p>
    <w:p w:rsidR="00E97E87" w:rsidRPr="00465B2A" w:rsidRDefault="00E97E87" w:rsidP="00EB34D8">
      <w:pPr>
        <w:autoSpaceDE w:val="0"/>
        <w:autoSpaceDN w:val="0"/>
        <w:adjustRightInd w:val="0"/>
        <w:spacing w:after="0" w:line="240" w:lineRule="auto"/>
        <w:jc w:val="both"/>
        <w:rPr>
          <w:rFonts w:cs="Times New Roman"/>
        </w:rPr>
      </w:pPr>
    </w:p>
    <w:p w:rsidR="00E97E87" w:rsidRPr="00465B2A" w:rsidRDefault="00E97E87" w:rsidP="00EB34D8">
      <w:pPr>
        <w:autoSpaceDE w:val="0"/>
        <w:autoSpaceDN w:val="0"/>
        <w:adjustRightInd w:val="0"/>
        <w:spacing w:after="0" w:line="240" w:lineRule="auto"/>
        <w:jc w:val="both"/>
        <w:rPr>
          <w:rFonts w:cs="Times New Roman"/>
        </w:rPr>
      </w:pPr>
      <w:r w:rsidRPr="00465B2A">
        <w:rPr>
          <w:rFonts w:cs="Times New Roman"/>
        </w:rPr>
        <w:t>Az R. 3. § (4) bekezdése helyébe a következő rendelkezés lép, egyidejűleg a következő (5) bekezdéssel egészül ki:</w:t>
      </w:r>
    </w:p>
    <w:p w:rsidR="00E97E87" w:rsidRPr="00465B2A" w:rsidRDefault="00E97E87" w:rsidP="00EB34D8">
      <w:pPr>
        <w:autoSpaceDE w:val="0"/>
        <w:autoSpaceDN w:val="0"/>
        <w:adjustRightInd w:val="0"/>
        <w:spacing w:after="0" w:line="240" w:lineRule="auto"/>
        <w:jc w:val="both"/>
        <w:rPr>
          <w:rFonts w:cs="Times New Roman"/>
        </w:rPr>
      </w:pPr>
    </w:p>
    <w:p w:rsidR="00E97E87" w:rsidRPr="00465B2A" w:rsidRDefault="00E97E87" w:rsidP="00E97E87">
      <w:pPr>
        <w:spacing w:after="0" w:line="240" w:lineRule="auto"/>
        <w:jc w:val="both"/>
      </w:pPr>
      <w:r w:rsidRPr="00465B2A">
        <w:rPr>
          <w:rFonts w:eastAsia="Times New Roman"/>
          <w:color w:val="000000"/>
          <w:lang w:eastAsia="hu-HU"/>
        </w:rPr>
        <w:t>„(4) A termésnövelő anyagok az első engedélyben csak a referencianéven, az engedély módosításában több márkanéven és kereskedelmi megnevezéssel is szerepelhetnek</w:t>
      </w:r>
      <w:r w:rsidRPr="00465B2A">
        <w:t xml:space="preserve">, de a termésnövelő anyag kereskedelmi neve: </w:t>
      </w:r>
    </w:p>
    <w:p w:rsidR="00E97E87" w:rsidRPr="00465B2A" w:rsidRDefault="00E97E87" w:rsidP="00E97E87">
      <w:pPr>
        <w:spacing w:after="0" w:line="240" w:lineRule="auto"/>
        <w:jc w:val="both"/>
      </w:pPr>
      <w:proofErr w:type="gramStart"/>
      <w:r w:rsidRPr="00465B2A">
        <w:rPr>
          <w:i/>
        </w:rPr>
        <w:t>a</w:t>
      </w:r>
      <w:proofErr w:type="gramEnd"/>
      <w:r w:rsidRPr="00465B2A">
        <w:rPr>
          <w:i/>
        </w:rPr>
        <w:t>)</w:t>
      </w:r>
      <w:r w:rsidRPr="00465B2A">
        <w:t xml:space="preserve"> nem lehet megtévesztő, különösen az összetételét vagy a felhasználás körét illetően,</w:t>
      </w:r>
    </w:p>
    <w:p w:rsidR="00E97E87" w:rsidRPr="00465B2A" w:rsidRDefault="00E97E87" w:rsidP="00E97E87">
      <w:pPr>
        <w:spacing w:after="0" w:line="240" w:lineRule="auto"/>
        <w:jc w:val="both"/>
      </w:pPr>
      <w:r w:rsidRPr="00465B2A">
        <w:rPr>
          <w:i/>
        </w:rPr>
        <w:t>b)</w:t>
      </w:r>
      <w:r w:rsidRPr="00465B2A">
        <w:t xml:space="preserve"> </w:t>
      </w:r>
      <w:r w:rsidR="00BE5BDE">
        <w:t xml:space="preserve">egyértelműen megkülönböztethető kell, hogy legyen </w:t>
      </w:r>
      <w:r w:rsidRPr="00465B2A">
        <w:t>más engedélyezett, illetve korábban forgalmazott engedélyköteles termék elnevezésétől,</w:t>
      </w:r>
    </w:p>
    <w:p w:rsidR="00EF2E19" w:rsidRDefault="00EF2E19" w:rsidP="00EC166B">
      <w:pPr>
        <w:spacing w:after="0" w:line="240" w:lineRule="auto"/>
      </w:pPr>
      <w:r>
        <w:rPr>
          <w:i/>
        </w:rPr>
        <w:t xml:space="preserve">c) </w:t>
      </w:r>
      <w:r w:rsidRPr="007A7A4F">
        <w:t xml:space="preserve">nem sértheti más engedélyes </w:t>
      </w:r>
      <w:r>
        <w:t>termék</w:t>
      </w:r>
      <w:r w:rsidRPr="007A7A4F">
        <w:t>név</w:t>
      </w:r>
      <w:r>
        <w:t>-</w:t>
      </w:r>
      <w:r w:rsidRPr="007A7A4F">
        <w:t>használat</w:t>
      </w:r>
      <w:r w:rsidR="00F94F85">
        <w:t>á</w:t>
      </w:r>
      <w:r w:rsidRPr="007A7A4F">
        <w:t>hoz fűződő jogát,</w:t>
      </w:r>
    </w:p>
    <w:p w:rsidR="00A51CC0" w:rsidRDefault="00E97E87" w:rsidP="00E97E87">
      <w:pPr>
        <w:spacing w:after="0" w:line="240" w:lineRule="auto"/>
        <w:jc w:val="both"/>
      </w:pPr>
      <w:r w:rsidRPr="00465B2A">
        <w:rPr>
          <w:i/>
        </w:rPr>
        <w:t>d)</w:t>
      </w:r>
      <w:r w:rsidRPr="00465B2A">
        <w:t xml:space="preserve"> nem sérthet személyiségi jogokat, </w:t>
      </w:r>
      <w:r w:rsidR="00A51CC0">
        <w:t>és</w:t>
      </w:r>
    </w:p>
    <w:p w:rsidR="00E97E87" w:rsidRPr="00465B2A" w:rsidRDefault="00EF2E19" w:rsidP="00E97E87">
      <w:pPr>
        <w:spacing w:after="0" w:line="240" w:lineRule="auto"/>
        <w:jc w:val="both"/>
      </w:pPr>
      <w:proofErr w:type="gramStart"/>
      <w:r>
        <w:rPr>
          <w:i/>
        </w:rPr>
        <w:t>e</w:t>
      </w:r>
      <w:proofErr w:type="gramEnd"/>
      <w:r w:rsidR="00A51CC0" w:rsidRPr="00465B16">
        <w:rPr>
          <w:i/>
        </w:rPr>
        <w:t>)</w:t>
      </w:r>
      <w:r w:rsidR="00A51CC0">
        <w:t xml:space="preserve"> </w:t>
      </w:r>
      <w:r w:rsidR="00E97E87" w:rsidRPr="00465B2A">
        <w:t>nem ütközhet közerkölcsbe.</w:t>
      </w:r>
    </w:p>
    <w:p w:rsidR="00E97E87" w:rsidRPr="00465B2A" w:rsidRDefault="00E97E87" w:rsidP="00E97E87">
      <w:pPr>
        <w:autoSpaceDE w:val="0"/>
        <w:autoSpaceDN w:val="0"/>
        <w:adjustRightInd w:val="0"/>
        <w:spacing w:after="0" w:line="240" w:lineRule="auto"/>
        <w:jc w:val="both"/>
        <w:rPr>
          <w:rFonts w:eastAsia="Times New Roman"/>
          <w:color w:val="000000"/>
          <w:lang w:eastAsia="hu-HU"/>
        </w:rPr>
      </w:pPr>
    </w:p>
    <w:p w:rsidR="00E97E87" w:rsidRPr="00465B2A" w:rsidRDefault="00E97E87" w:rsidP="00E97E87">
      <w:pPr>
        <w:autoSpaceDE w:val="0"/>
        <w:autoSpaceDN w:val="0"/>
        <w:adjustRightInd w:val="0"/>
        <w:spacing w:after="0" w:line="240" w:lineRule="auto"/>
        <w:jc w:val="both"/>
        <w:rPr>
          <w:rFonts w:cs="Times New Roman"/>
        </w:rPr>
      </w:pPr>
      <w:r w:rsidRPr="00465B2A">
        <w:rPr>
          <w:rFonts w:eastAsia="Times New Roman"/>
          <w:color w:val="000000"/>
          <w:lang w:eastAsia="hu-HU"/>
        </w:rPr>
        <w:t>(5)</w:t>
      </w:r>
      <w:r w:rsidRPr="00465B2A">
        <w:t xml:space="preserve"> Egy adott referencia nevű termékhez legfeljebb három márkanév vagy kereskedelmi név engedélyezhető.”</w:t>
      </w:r>
    </w:p>
    <w:p w:rsidR="00D70615" w:rsidRPr="00465B2A" w:rsidRDefault="00D70615" w:rsidP="00EB34D8">
      <w:pPr>
        <w:autoSpaceDE w:val="0"/>
        <w:autoSpaceDN w:val="0"/>
        <w:adjustRightInd w:val="0"/>
        <w:spacing w:after="0" w:line="240" w:lineRule="auto"/>
        <w:jc w:val="both"/>
        <w:rPr>
          <w:rFonts w:cs="Times New Roman"/>
        </w:rPr>
      </w:pPr>
    </w:p>
    <w:p w:rsidR="00D70615" w:rsidRPr="00465B2A" w:rsidRDefault="00E97E87" w:rsidP="00E97E87">
      <w:pPr>
        <w:autoSpaceDE w:val="0"/>
        <w:autoSpaceDN w:val="0"/>
        <w:adjustRightInd w:val="0"/>
        <w:spacing w:after="0" w:line="240" w:lineRule="auto"/>
        <w:jc w:val="center"/>
        <w:rPr>
          <w:rFonts w:cs="Times New Roman"/>
          <w:b/>
        </w:rPr>
      </w:pPr>
      <w:r w:rsidRPr="00465B2A">
        <w:rPr>
          <w:rFonts w:cs="Times New Roman"/>
          <w:b/>
        </w:rPr>
        <w:t>4. §</w:t>
      </w:r>
    </w:p>
    <w:p w:rsidR="00E97E87" w:rsidRPr="00465B2A" w:rsidRDefault="00E97E87" w:rsidP="00D70615">
      <w:pPr>
        <w:autoSpaceDE w:val="0"/>
        <w:autoSpaceDN w:val="0"/>
        <w:adjustRightInd w:val="0"/>
        <w:spacing w:after="0" w:line="240" w:lineRule="auto"/>
        <w:jc w:val="both"/>
        <w:rPr>
          <w:rFonts w:cs="Times New Roman"/>
        </w:rPr>
      </w:pPr>
    </w:p>
    <w:p w:rsidR="00E97E87" w:rsidRPr="00465B2A" w:rsidRDefault="007A42E4" w:rsidP="00D70615">
      <w:pPr>
        <w:autoSpaceDE w:val="0"/>
        <w:autoSpaceDN w:val="0"/>
        <w:adjustRightInd w:val="0"/>
        <w:spacing w:after="0" w:line="240" w:lineRule="auto"/>
        <w:jc w:val="both"/>
        <w:rPr>
          <w:rFonts w:cs="Times New Roman"/>
        </w:rPr>
      </w:pPr>
      <w:r w:rsidRPr="00465B2A">
        <w:rPr>
          <w:rFonts w:cs="Times New Roman"/>
        </w:rPr>
        <w:t xml:space="preserve">(1) </w:t>
      </w:r>
      <w:r w:rsidR="00E97E87" w:rsidRPr="00465B2A">
        <w:rPr>
          <w:rFonts w:cs="Times New Roman"/>
        </w:rPr>
        <w:t>Az R. 4. § (1) bekezdése helyébe a következő rendelkezés lép:</w:t>
      </w:r>
    </w:p>
    <w:p w:rsidR="00E97E87" w:rsidRPr="00465B2A" w:rsidRDefault="00E97E87" w:rsidP="00D70615">
      <w:pPr>
        <w:autoSpaceDE w:val="0"/>
        <w:autoSpaceDN w:val="0"/>
        <w:adjustRightInd w:val="0"/>
        <w:spacing w:after="0" w:line="240" w:lineRule="auto"/>
        <w:jc w:val="both"/>
        <w:rPr>
          <w:rFonts w:cs="Times New Roman"/>
        </w:rPr>
      </w:pPr>
    </w:p>
    <w:p w:rsidR="00E97E87" w:rsidRPr="00465B2A" w:rsidRDefault="00E97E87" w:rsidP="00D70615">
      <w:pPr>
        <w:autoSpaceDE w:val="0"/>
        <w:autoSpaceDN w:val="0"/>
        <w:adjustRightInd w:val="0"/>
        <w:spacing w:after="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 xml:space="preserve">(1) A termésnövelő anyagok forgalomba hozatalára és felhasználására a gyártó, illetve a gyártó hozzájárulása alapján bármely természetes személy, jogi személy, vagy jogi </w:t>
      </w:r>
      <w:proofErr w:type="gramStart"/>
      <w:r w:rsidRPr="00465B2A">
        <w:rPr>
          <w:rFonts w:eastAsia="Times New Roman"/>
          <w:color w:val="000000"/>
          <w:lang w:eastAsia="hu-HU"/>
        </w:rPr>
        <w:t>személyiséggel</w:t>
      </w:r>
      <w:proofErr w:type="gramEnd"/>
      <w:r w:rsidRPr="00465B2A">
        <w:rPr>
          <w:rFonts w:eastAsia="Times New Roman"/>
          <w:color w:val="000000"/>
          <w:lang w:eastAsia="hu-HU"/>
        </w:rPr>
        <w:t xml:space="preserve"> nem rendelkező gazdálkodó szervezet kérelme alapján adható engedély. </w:t>
      </w:r>
      <w:r w:rsidRPr="00465B2A">
        <w:t xml:space="preserve">Amennyiben nem a gyártó az engedélyes, a gyártónak nyilatkoznia kell az engedélyes személyéről. </w:t>
      </w:r>
      <w:r w:rsidRPr="00465B2A">
        <w:rPr>
          <w:rFonts w:eastAsia="Times New Roman"/>
          <w:color w:val="000000"/>
          <w:lang w:eastAsia="hu-HU"/>
        </w:rPr>
        <w:t>A kérelemben nyilatkozni kell arról, hogy a termék a 3. § (1) bekezdés </w:t>
      </w:r>
      <w:r w:rsidRPr="00465B2A">
        <w:rPr>
          <w:rFonts w:eastAsia="Times New Roman"/>
          <w:i/>
          <w:iCs/>
          <w:color w:val="000000"/>
          <w:lang w:eastAsia="hu-HU"/>
        </w:rPr>
        <w:t>a)</w:t>
      </w:r>
      <w:r w:rsidRPr="00465B2A">
        <w:rPr>
          <w:rFonts w:eastAsia="Times New Roman"/>
          <w:color w:val="000000"/>
          <w:lang w:eastAsia="hu-HU"/>
        </w:rPr>
        <w:t> pontja szerinti követelményeknek megfelel.”</w:t>
      </w:r>
    </w:p>
    <w:p w:rsidR="007A42E4" w:rsidRPr="00465B2A" w:rsidRDefault="007A42E4" w:rsidP="00D70615">
      <w:pPr>
        <w:autoSpaceDE w:val="0"/>
        <w:autoSpaceDN w:val="0"/>
        <w:adjustRightInd w:val="0"/>
        <w:spacing w:after="0" w:line="240" w:lineRule="auto"/>
        <w:jc w:val="both"/>
        <w:rPr>
          <w:rFonts w:eastAsia="Times New Roman"/>
          <w:color w:val="000000"/>
          <w:lang w:eastAsia="hu-HU"/>
        </w:rPr>
      </w:pPr>
    </w:p>
    <w:p w:rsidR="007A42E4" w:rsidRPr="00465B2A" w:rsidRDefault="007A42E4" w:rsidP="00D70615">
      <w:pPr>
        <w:autoSpaceDE w:val="0"/>
        <w:autoSpaceDN w:val="0"/>
        <w:adjustRightInd w:val="0"/>
        <w:spacing w:after="0" w:line="240" w:lineRule="auto"/>
        <w:jc w:val="both"/>
        <w:rPr>
          <w:rFonts w:cs="Times New Roman"/>
        </w:rPr>
      </w:pPr>
      <w:r w:rsidRPr="00465B2A">
        <w:rPr>
          <w:rFonts w:cs="Times New Roman"/>
        </w:rPr>
        <w:t>(2) Az R. 4. § (4) bekezdése helyébe a következő rendelkezés lép:</w:t>
      </w:r>
    </w:p>
    <w:p w:rsidR="007A42E4" w:rsidRPr="00465B2A" w:rsidRDefault="007A42E4" w:rsidP="007A42E4">
      <w:pPr>
        <w:autoSpaceDE w:val="0"/>
        <w:autoSpaceDN w:val="0"/>
        <w:adjustRightInd w:val="0"/>
        <w:spacing w:after="0" w:line="240" w:lineRule="auto"/>
        <w:jc w:val="both"/>
        <w:rPr>
          <w:rFonts w:cs="Times New Roman"/>
        </w:rPr>
      </w:pPr>
    </w:p>
    <w:p w:rsidR="007A42E4" w:rsidRPr="00465B2A" w:rsidRDefault="007A42E4" w:rsidP="007A42E4">
      <w:pPr>
        <w:spacing w:after="0" w:line="240" w:lineRule="auto"/>
        <w:jc w:val="both"/>
      </w:pPr>
      <w:r w:rsidRPr="00465B2A">
        <w:rPr>
          <w:rFonts w:eastAsia="Times New Roman"/>
          <w:color w:val="000000"/>
          <w:lang w:eastAsia="hu-HU"/>
        </w:rPr>
        <w:t xml:space="preserve">„(4) A kérelmezőnek az engedély iránti kérelemmel együtt a 2. számú mellékletben </w:t>
      </w:r>
      <w:r w:rsidRPr="00465B2A">
        <w:t>terméktípusonként</w:t>
      </w:r>
      <w:r w:rsidRPr="00465B2A">
        <w:rPr>
          <w:rFonts w:eastAsia="Times New Roman"/>
          <w:color w:val="000000"/>
          <w:lang w:eastAsia="hu-HU"/>
        </w:rPr>
        <w:t xml:space="preserve"> meghatározott vizsgálati eredményeket és adatokat kell benyújtania. </w:t>
      </w:r>
      <w:r w:rsidRPr="00465B2A">
        <w:t xml:space="preserve"> Egy készítményben több terméktípus együttes jelenléte esetén valamennyi terméktípusra vonatkozó vizsgálatokat el kell végezni.”</w:t>
      </w:r>
    </w:p>
    <w:p w:rsidR="007A42E4" w:rsidRPr="00465B2A" w:rsidRDefault="007A42E4" w:rsidP="007A42E4">
      <w:pPr>
        <w:autoSpaceDE w:val="0"/>
        <w:autoSpaceDN w:val="0"/>
        <w:adjustRightInd w:val="0"/>
        <w:spacing w:after="0" w:line="240" w:lineRule="auto"/>
        <w:jc w:val="both"/>
        <w:rPr>
          <w:rFonts w:cs="Times New Roman"/>
        </w:rPr>
      </w:pPr>
    </w:p>
    <w:p w:rsidR="007A42E4" w:rsidRPr="00465B2A" w:rsidRDefault="007A42E4" w:rsidP="007A42E4">
      <w:pPr>
        <w:autoSpaceDE w:val="0"/>
        <w:autoSpaceDN w:val="0"/>
        <w:adjustRightInd w:val="0"/>
        <w:spacing w:after="0" w:line="240" w:lineRule="auto"/>
        <w:jc w:val="both"/>
        <w:rPr>
          <w:rFonts w:cs="Times New Roman"/>
        </w:rPr>
      </w:pPr>
      <w:r w:rsidRPr="00465B2A">
        <w:rPr>
          <w:rFonts w:cs="Times New Roman"/>
        </w:rPr>
        <w:t>(3) Az R. 4. § (6) bekezdése helyébe a következő rendelkezés lép:</w:t>
      </w:r>
    </w:p>
    <w:p w:rsidR="007A42E4" w:rsidRPr="00465B2A" w:rsidRDefault="007A42E4" w:rsidP="007A42E4">
      <w:pPr>
        <w:autoSpaceDE w:val="0"/>
        <w:autoSpaceDN w:val="0"/>
        <w:adjustRightInd w:val="0"/>
        <w:spacing w:after="0" w:line="240" w:lineRule="auto"/>
        <w:jc w:val="both"/>
        <w:rPr>
          <w:rFonts w:cs="Times New Roman"/>
        </w:rPr>
      </w:pPr>
    </w:p>
    <w:p w:rsidR="007A42E4" w:rsidRPr="00465B2A" w:rsidRDefault="007A42E4" w:rsidP="007A42E4">
      <w:pPr>
        <w:autoSpaceDE w:val="0"/>
        <w:autoSpaceDN w:val="0"/>
        <w:adjustRightInd w:val="0"/>
        <w:spacing w:after="0" w:line="240" w:lineRule="auto"/>
        <w:jc w:val="both"/>
        <w:rPr>
          <w:rFonts w:eastAsia="Times New Roman"/>
          <w:color w:val="000000"/>
          <w:lang w:eastAsia="hu-HU"/>
        </w:rPr>
      </w:pPr>
      <w:r w:rsidRPr="00465B2A">
        <w:rPr>
          <w:rFonts w:cs="Times New Roman"/>
        </w:rPr>
        <w:t>„</w:t>
      </w:r>
      <w:r w:rsidR="00962B89" w:rsidRPr="00465B2A">
        <w:rPr>
          <w:rFonts w:eastAsia="Times New Roman"/>
          <w:color w:val="000000"/>
          <w:lang w:eastAsia="hu-HU"/>
        </w:rPr>
        <w:t xml:space="preserve">(6) </w:t>
      </w:r>
      <w:r w:rsidR="00962B89" w:rsidRPr="00465B2A">
        <w:t xml:space="preserve">Engedélyezési célú, biológiai hatékonysági vizsgálatot az erre hatáskörrel rendelkező hatóságon kívül csak a Helyes Kísérleti Gyakorlatra (a továbbiakban: GEP) vonatkozó minősítéssel (a továbbiakban: </w:t>
      </w:r>
      <w:proofErr w:type="spellStart"/>
      <w:r w:rsidR="00962B89" w:rsidRPr="00465B2A">
        <w:t>GEP-minősítés</w:t>
      </w:r>
      <w:proofErr w:type="spellEnd"/>
      <w:r w:rsidR="00962B89" w:rsidRPr="00465B2A">
        <w:t xml:space="preserve">) rendelkező vizsgálóhely végezhet. </w:t>
      </w:r>
      <w:r w:rsidR="00962B89" w:rsidRPr="00465B2A">
        <w:rPr>
          <w:rFonts w:eastAsia="Times New Roman"/>
          <w:color w:val="000000"/>
          <w:lang w:eastAsia="hu-HU"/>
        </w:rPr>
        <w:t xml:space="preserve">Más EGT megállapodásban részes államban végzett akkreditált vizsgálatok közül azok fogadhatók el, amelyeket a magyarországi vagy a készítmény alkalmazása szempontjából magyarországihoz hasonlónak tekinthető </w:t>
      </w:r>
      <w:proofErr w:type="spellStart"/>
      <w:r w:rsidR="00962B89" w:rsidRPr="00465B2A">
        <w:rPr>
          <w:rFonts w:eastAsia="Times New Roman"/>
          <w:color w:val="000000"/>
          <w:lang w:eastAsia="hu-HU"/>
        </w:rPr>
        <w:t>agroökológiai</w:t>
      </w:r>
      <w:proofErr w:type="spellEnd"/>
      <w:r w:rsidR="00962B89" w:rsidRPr="00465B2A">
        <w:rPr>
          <w:rFonts w:eastAsia="Times New Roman"/>
          <w:color w:val="000000"/>
          <w:lang w:eastAsia="hu-HU"/>
        </w:rPr>
        <w:t xml:space="preserve"> (éghajlati, mezőgazdasági,</w:t>
      </w:r>
      <w:r w:rsidR="00091FA4">
        <w:rPr>
          <w:rFonts w:eastAsia="Times New Roman"/>
          <w:color w:val="000000"/>
          <w:lang w:eastAsia="hu-HU"/>
        </w:rPr>
        <w:t xml:space="preserve"> környezeti és talaj) és </w:t>
      </w:r>
      <w:proofErr w:type="spellStart"/>
      <w:r w:rsidR="00091FA4">
        <w:rPr>
          <w:rFonts w:eastAsia="Times New Roman"/>
          <w:color w:val="000000"/>
          <w:lang w:eastAsia="hu-HU"/>
        </w:rPr>
        <w:t>növény</w:t>
      </w:r>
      <w:r w:rsidR="00962B89" w:rsidRPr="00465B2A">
        <w:rPr>
          <w:rFonts w:eastAsia="Times New Roman"/>
          <w:color w:val="000000"/>
          <w:lang w:eastAsia="hu-HU"/>
        </w:rPr>
        <w:t>egészségügyi</w:t>
      </w:r>
      <w:proofErr w:type="spellEnd"/>
      <w:r w:rsidR="00962B89" w:rsidRPr="00465B2A">
        <w:rPr>
          <w:rFonts w:eastAsia="Times New Roman"/>
          <w:color w:val="000000"/>
          <w:lang w:eastAsia="hu-HU"/>
        </w:rPr>
        <w:t xml:space="preserve"> viszonyok mellett végeztek. A 2. számú melléklet szerint szükséges biológiai hatékonysági vizsgálatok esetében a szabadföldi vizsgálatok a nem </w:t>
      </w:r>
      <w:proofErr w:type="spellStart"/>
      <w:r w:rsidR="00962B89" w:rsidRPr="00465B2A">
        <w:rPr>
          <w:rFonts w:eastAsia="Times New Roman"/>
          <w:color w:val="000000"/>
          <w:lang w:eastAsia="hu-HU"/>
        </w:rPr>
        <w:t>növényspecifikus</w:t>
      </w:r>
      <w:proofErr w:type="spellEnd"/>
      <w:r w:rsidR="00962B89" w:rsidRPr="00465B2A">
        <w:rPr>
          <w:rFonts w:eastAsia="Times New Roman"/>
          <w:color w:val="000000"/>
          <w:lang w:eastAsia="hu-HU"/>
        </w:rPr>
        <w:t xml:space="preserve"> készítmények esetében </w:t>
      </w:r>
      <w:proofErr w:type="spellStart"/>
      <w:r w:rsidR="00962B89" w:rsidRPr="00465B2A">
        <w:rPr>
          <w:rFonts w:eastAsia="Times New Roman"/>
          <w:color w:val="000000"/>
          <w:lang w:eastAsia="hu-HU"/>
        </w:rPr>
        <w:t>tenyészedényes</w:t>
      </w:r>
      <w:proofErr w:type="spellEnd"/>
      <w:r w:rsidR="00962B89" w:rsidRPr="00465B2A">
        <w:rPr>
          <w:rFonts w:eastAsia="Times New Roman"/>
          <w:color w:val="000000"/>
          <w:lang w:eastAsia="hu-HU"/>
        </w:rPr>
        <w:t xml:space="preserve"> vizsgálatokkal, a kultúracsoportonként végzett vizsgálatok művelési áganként végzett vizsgálatokkal helyettesíthetők.”</w:t>
      </w:r>
    </w:p>
    <w:p w:rsidR="00962B89" w:rsidRPr="00465B2A" w:rsidRDefault="00962B89" w:rsidP="007A42E4">
      <w:pPr>
        <w:autoSpaceDE w:val="0"/>
        <w:autoSpaceDN w:val="0"/>
        <w:adjustRightInd w:val="0"/>
        <w:spacing w:after="0" w:line="240" w:lineRule="auto"/>
        <w:jc w:val="both"/>
        <w:rPr>
          <w:rFonts w:eastAsia="Times New Roman"/>
          <w:color w:val="000000"/>
          <w:lang w:eastAsia="hu-HU"/>
        </w:rPr>
      </w:pPr>
    </w:p>
    <w:p w:rsidR="00962B89" w:rsidRPr="00465B2A" w:rsidRDefault="001E6B34" w:rsidP="001E6B34">
      <w:pPr>
        <w:autoSpaceDE w:val="0"/>
        <w:autoSpaceDN w:val="0"/>
        <w:adjustRightInd w:val="0"/>
        <w:spacing w:after="0" w:line="240" w:lineRule="auto"/>
        <w:jc w:val="center"/>
        <w:rPr>
          <w:rFonts w:cs="Times New Roman"/>
          <w:b/>
        </w:rPr>
      </w:pPr>
      <w:r w:rsidRPr="00465B2A">
        <w:rPr>
          <w:rFonts w:cs="Times New Roman"/>
          <w:b/>
        </w:rPr>
        <w:t>5. §</w:t>
      </w:r>
    </w:p>
    <w:p w:rsidR="001E6B34" w:rsidRPr="00465B2A" w:rsidRDefault="001E6B34" w:rsidP="007A42E4">
      <w:pPr>
        <w:autoSpaceDE w:val="0"/>
        <w:autoSpaceDN w:val="0"/>
        <w:adjustRightInd w:val="0"/>
        <w:spacing w:after="0" w:line="240" w:lineRule="auto"/>
        <w:jc w:val="both"/>
        <w:rPr>
          <w:rFonts w:cs="Times New Roman"/>
        </w:rPr>
      </w:pPr>
    </w:p>
    <w:p w:rsidR="001E6B34" w:rsidRPr="00465B2A" w:rsidRDefault="001E6B34" w:rsidP="007A42E4">
      <w:pPr>
        <w:autoSpaceDE w:val="0"/>
        <w:autoSpaceDN w:val="0"/>
        <w:adjustRightInd w:val="0"/>
        <w:spacing w:after="0" w:line="240" w:lineRule="auto"/>
        <w:jc w:val="both"/>
        <w:rPr>
          <w:rFonts w:cs="Times New Roman"/>
        </w:rPr>
      </w:pPr>
      <w:r w:rsidRPr="00465B2A">
        <w:rPr>
          <w:rFonts w:cs="Times New Roman"/>
        </w:rPr>
        <w:t>Az R. 4/</w:t>
      </w:r>
      <w:proofErr w:type="gramStart"/>
      <w:r w:rsidRPr="00465B2A">
        <w:rPr>
          <w:rFonts w:cs="Times New Roman"/>
        </w:rPr>
        <w:t>A.</w:t>
      </w:r>
      <w:proofErr w:type="gramEnd"/>
      <w:r w:rsidRPr="00465B2A">
        <w:rPr>
          <w:rFonts w:cs="Times New Roman"/>
        </w:rPr>
        <w:t xml:space="preserve"> §</w:t>
      </w:r>
      <w:proofErr w:type="spellStart"/>
      <w:r w:rsidRPr="00465B2A">
        <w:rPr>
          <w:rFonts w:cs="Times New Roman"/>
        </w:rPr>
        <w:t>-a</w:t>
      </w:r>
      <w:proofErr w:type="spellEnd"/>
      <w:r w:rsidRPr="00465B2A">
        <w:rPr>
          <w:rFonts w:cs="Times New Roman"/>
        </w:rPr>
        <w:t xml:space="preserve"> helyébe a következő rendelkezés lép:</w:t>
      </w:r>
    </w:p>
    <w:p w:rsidR="001E6B34" w:rsidRPr="00465B2A" w:rsidRDefault="001E6B34" w:rsidP="007A42E4">
      <w:pPr>
        <w:autoSpaceDE w:val="0"/>
        <w:autoSpaceDN w:val="0"/>
        <w:adjustRightInd w:val="0"/>
        <w:spacing w:after="0" w:line="240" w:lineRule="auto"/>
        <w:jc w:val="both"/>
        <w:rPr>
          <w:rFonts w:cs="Times New Roman"/>
        </w:rPr>
      </w:pPr>
    </w:p>
    <w:p w:rsidR="002A4B5C" w:rsidRPr="00465B2A" w:rsidRDefault="002A4B5C" w:rsidP="002A4B5C">
      <w:pPr>
        <w:spacing w:after="0" w:line="240" w:lineRule="auto"/>
        <w:jc w:val="both"/>
        <w:rPr>
          <w:rFonts w:eastAsia="Times New Roman"/>
          <w:color w:val="000000"/>
          <w:lang w:eastAsia="hu-HU"/>
        </w:rPr>
      </w:pPr>
      <w:r w:rsidRPr="00465B2A">
        <w:rPr>
          <w:rFonts w:cs="Times New Roman"/>
        </w:rPr>
        <w:t>„</w:t>
      </w:r>
      <w:r w:rsidRPr="00465B2A">
        <w:rPr>
          <w:rFonts w:eastAsia="Times New Roman"/>
          <w:bCs/>
          <w:color w:val="000000"/>
          <w:lang w:eastAsia="hu-HU"/>
        </w:rPr>
        <w:t>4/</w:t>
      </w:r>
      <w:proofErr w:type="gramStart"/>
      <w:r w:rsidRPr="00465B2A">
        <w:rPr>
          <w:rFonts w:eastAsia="Times New Roman"/>
          <w:bCs/>
          <w:color w:val="000000"/>
          <w:lang w:eastAsia="hu-HU"/>
        </w:rPr>
        <w:t>A.</w:t>
      </w:r>
      <w:proofErr w:type="gramEnd"/>
      <w:r w:rsidRPr="00465B2A">
        <w:rPr>
          <w:rFonts w:eastAsia="Times New Roman"/>
          <w:bCs/>
          <w:color w:val="000000"/>
          <w:lang w:eastAsia="hu-HU"/>
        </w:rPr>
        <w:t xml:space="preserve"> §</w:t>
      </w:r>
      <w:r w:rsidRPr="00465B2A">
        <w:rPr>
          <w:rFonts w:eastAsia="Times New Roman"/>
          <w:color w:val="000000"/>
          <w:lang w:eastAsia="hu-HU"/>
        </w:rPr>
        <w:t xml:space="preserve"> (1) </w:t>
      </w:r>
      <w:r w:rsidR="006302FA">
        <w:rPr>
          <w:rFonts w:eastAsia="Times New Roman"/>
          <w:color w:val="000000"/>
          <w:lang w:eastAsia="hu-HU"/>
        </w:rPr>
        <w:t>H</w:t>
      </w:r>
      <w:r w:rsidRPr="00465B2A">
        <w:rPr>
          <w:rFonts w:eastAsia="Times New Roman"/>
          <w:color w:val="000000"/>
          <w:lang w:eastAsia="hu-HU"/>
        </w:rPr>
        <w:t>ulladék</w:t>
      </w:r>
      <w:r w:rsidR="006302FA">
        <w:rPr>
          <w:rFonts w:eastAsia="Times New Roman"/>
          <w:color w:val="000000"/>
          <w:lang w:eastAsia="hu-HU"/>
        </w:rPr>
        <w:t>ot</w:t>
      </w:r>
      <w:r w:rsidRPr="00465B2A">
        <w:rPr>
          <w:rFonts w:eastAsia="Times New Roman"/>
          <w:color w:val="000000"/>
          <w:lang w:eastAsia="hu-HU"/>
        </w:rPr>
        <w:t xml:space="preserve"> </w:t>
      </w:r>
      <w:r w:rsidR="006302FA">
        <w:rPr>
          <w:rFonts w:eastAsia="Times New Roman"/>
          <w:color w:val="000000"/>
          <w:lang w:eastAsia="hu-HU"/>
        </w:rPr>
        <w:t>vagy</w:t>
      </w:r>
      <w:r w:rsidRPr="00465B2A">
        <w:rPr>
          <w:rFonts w:eastAsia="Times New Roman"/>
          <w:color w:val="000000"/>
          <w:lang w:eastAsia="hu-HU"/>
        </w:rPr>
        <w:t xml:space="preserve"> melléktermék</w:t>
      </w:r>
      <w:r w:rsidR="006302FA">
        <w:rPr>
          <w:rFonts w:eastAsia="Times New Roman"/>
          <w:color w:val="000000"/>
          <w:lang w:eastAsia="hu-HU"/>
        </w:rPr>
        <w:t>et</w:t>
      </w:r>
      <w:r w:rsidRPr="00465B2A">
        <w:rPr>
          <w:rFonts w:eastAsia="Times New Roman"/>
          <w:color w:val="000000"/>
          <w:lang w:eastAsia="hu-HU"/>
        </w:rPr>
        <w:t xml:space="preserve"> tartalmazó termésnövelő anyagok esetén az engedélyező hatóság a hulladék és a melléktermék minőségétől függő további vizsgálatokat ír elő.</w:t>
      </w:r>
    </w:p>
    <w:p w:rsidR="002A4B5C" w:rsidRPr="00465B2A" w:rsidRDefault="002A4B5C" w:rsidP="002A4B5C">
      <w:pPr>
        <w:spacing w:after="0" w:line="240" w:lineRule="auto"/>
        <w:jc w:val="both"/>
        <w:rPr>
          <w:rFonts w:eastAsia="Times New Roman"/>
          <w:color w:val="000000"/>
          <w:lang w:eastAsia="hu-HU"/>
        </w:rPr>
      </w:pPr>
    </w:p>
    <w:p w:rsidR="002A4B5C" w:rsidRPr="00465B2A" w:rsidRDefault="002A4B5C" w:rsidP="002A4B5C">
      <w:pPr>
        <w:spacing w:after="0" w:line="240" w:lineRule="auto"/>
        <w:jc w:val="both"/>
        <w:rPr>
          <w:rFonts w:eastAsia="Times New Roman"/>
          <w:color w:val="000000"/>
          <w:lang w:eastAsia="hu-HU"/>
        </w:rPr>
      </w:pPr>
      <w:bookmarkStart w:id="12" w:name="foot_10_place"/>
      <w:r w:rsidRPr="00465B2A">
        <w:rPr>
          <w:rFonts w:eastAsia="Times New Roman"/>
          <w:color w:val="000000"/>
          <w:lang w:eastAsia="hu-HU"/>
        </w:rPr>
        <w:t>(2)</w:t>
      </w:r>
      <w:bookmarkEnd w:id="12"/>
      <w:r w:rsidRPr="00465B2A">
        <w:rPr>
          <w:rFonts w:eastAsia="Times New Roman"/>
          <w:color w:val="000000"/>
          <w:lang w:eastAsia="hu-HU"/>
        </w:rPr>
        <w:t xml:space="preserve"> </w:t>
      </w:r>
      <w:r w:rsidRPr="00465B2A">
        <w:t>Termékcsalád engedélyezése esetén a 2. számú mellékletben előírt vizsgálatokat az engedélyező hatósággal - a közegészségügyi és környezeti kockázatot jelentő alapanyagok alapján - előzetesen egyeztetett termékekkel kell elvégeztetni. Termékcsalád tagjainak az alapanyag százalékos összetételében el kell térniük egymástól.</w:t>
      </w:r>
    </w:p>
    <w:p w:rsidR="002A4B5C" w:rsidRPr="00465B2A" w:rsidRDefault="002A4B5C" w:rsidP="002A4B5C">
      <w:pPr>
        <w:spacing w:after="0" w:line="240" w:lineRule="auto"/>
        <w:jc w:val="both"/>
        <w:rPr>
          <w:rFonts w:eastAsia="Times New Roman"/>
          <w:color w:val="000000"/>
          <w:lang w:eastAsia="hu-HU"/>
        </w:rPr>
      </w:pPr>
    </w:p>
    <w:p w:rsidR="001E6B34" w:rsidRPr="00465B2A" w:rsidRDefault="002A4B5C" w:rsidP="002A4B5C">
      <w:pPr>
        <w:spacing w:after="0" w:line="240" w:lineRule="auto"/>
        <w:jc w:val="both"/>
        <w:rPr>
          <w:rFonts w:cs="Times New Roman"/>
        </w:rPr>
      </w:pPr>
      <w:r w:rsidRPr="00465B2A">
        <w:rPr>
          <w:rFonts w:eastAsia="Times New Roman"/>
          <w:color w:val="000000"/>
          <w:lang w:eastAsia="hu-HU"/>
        </w:rPr>
        <w:t xml:space="preserve">(3) </w:t>
      </w:r>
      <w:r w:rsidRPr="00465B2A">
        <w:t>Az engedélyezési eljárás során előírt további vizsgálatok esetén az engedélyező hatóság hatósági mintavételt írhat elő vagy mintát vehet.”</w:t>
      </w:r>
    </w:p>
    <w:p w:rsidR="001E6B34" w:rsidRPr="00465B2A" w:rsidRDefault="001E6B34" w:rsidP="007A42E4">
      <w:pPr>
        <w:autoSpaceDE w:val="0"/>
        <w:autoSpaceDN w:val="0"/>
        <w:adjustRightInd w:val="0"/>
        <w:spacing w:after="0" w:line="240" w:lineRule="auto"/>
        <w:jc w:val="both"/>
        <w:rPr>
          <w:rFonts w:cs="Times New Roman"/>
        </w:rPr>
      </w:pPr>
    </w:p>
    <w:p w:rsidR="001E6B34" w:rsidRPr="00465B2A" w:rsidRDefault="001E6B34" w:rsidP="00862CFD">
      <w:pPr>
        <w:autoSpaceDE w:val="0"/>
        <w:autoSpaceDN w:val="0"/>
        <w:adjustRightInd w:val="0"/>
        <w:spacing w:after="0" w:line="240" w:lineRule="auto"/>
        <w:jc w:val="center"/>
        <w:rPr>
          <w:rFonts w:cs="Times New Roman"/>
          <w:b/>
        </w:rPr>
      </w:pPr>
      <w:r w:rsidRPr="00465B2A">
        <w:rPr>
          <w:rFonts w:cs="Times New Roman"/>
          <w:b/>
        </w:rPr>
        <w:t>6. §</w:t>
      </w:r>
    </w:p>
    <w:p w:rsidR="00862CFD" w:rsidRPr="00465B2A" w:rsidRDefault="00862CFD" w:rsidP="007A42E4">
      <w:pPr>
        <w:autoSpaceDE w:val="0"/>
        <w:autoSpaceDN w:val="0"/>
        <w:adjustRightInd w:val="0"/>
        <w:spacing w:after="0" w:line="240" w:lineRule="auto"/>
        <w:jc w:val="both"/>
        <w:rPr>
          <w:rFonts w:cs="Times New Roman"/>
        </w:rPr>
      </w:pPr>
    </w:p>
    <w:p w:rsidR="00862CFD" w:rsidRPr="00465B2A" w:rsidRDefault="00862CFD" w:rsidP="007A42E4">
      <w:pPr>
        <w:autoSpaceDE w:val="0"/>
        <w:autoSpaceDN w:val="0"/>
        <w:adjustRightInd w:val="0"/>
        <w:spacing w:after="0" w:line="240" w:lineRule="auto"/>
        <w:jc w:val="both"/>
        <w:rPr>
          <w:rFonts w:cs="Times New Roman"/>
        </w:rPr>
      </w:pPr>
      <w:r w:rsidRPr="00465B2A">
        <w:rPr>
          <w:rFonts w:cs="Times New Roman"/>
        </w:rPr>
        <w:t>(1) Az R. 7. § (5) bekezdés c) pontja helyébe a következő rendelkezés lép:</w:t>
      </w:r>
    </w:p>
    <w:p w:rsidR="00862CFD" w:rsidRPr="00465B2A" w:rsidRDefault="00862CFD" w:rsidP="007A42E4">
      <w:pPr>
        <w:autoSpaceDE w:val="0"/>
        <w:autoSpaceDN w:val="0"/>
        <w:adjustRightInd w:val="0"/>
        <w:spacing w:after="0" w:line="240" w:lineRule="auto"/>
        <w:jc w:val="both"/>
        <w:rPr>
          <w:rFonts w:cs="Times New Roman"/>
        </w:rPr>
      </w:pPr>
    </w:p>
    <w:p w:rsidR="00862CFD" w:rsidRPr="00465B2A" w:rsidRDefault="00862CFD" w:rsidP="007A42E4">
      <w:pPr>
        <w:autoSpaceDE w:val="0"/>
        <w:autoSpaceDN w:val="0"/>
        <w:adjustRightInd w:val="0"/>
        <w:spacing w:after="0" w:line="240" w:lineRule="auto"/>
        <w:jc w:val="both"/>
        <w:rPr>
          <w:rFonts w:cs="Times New Roman"/>
          <w:i/>
        </w:rPr>
      </w:pPr>
      <w:r w:rsidRPr="00465B2A">
        <w:rPr>
          <w:rFonts w:eastAsia="Times New Roman"/>
          <w:i/>
          <w:color w:val="000000"/>
          <w:lang w:eastAsia="hu-HU"/>
        </w:rPr>
        <w:t>(Az engedélynek a következő adatokat kell tartalmaznia:)</w:t>
      </w:r>
    </w:p>
    <w:p w:rsidR="00862CFD" w:rsidRPr="00465B2A" w:rsidRDefault="00862CFD" w:rsidP="007A42E4">
      <w:pPr>
        <w:autoSpaceDE w:val="0"/>
        <w:autoSpaceDN w:val="0"/>
        <w:adjustRightInd w:val="0"/>
        <w:spacing w:after="0" w:line="240" w:lineRule="auto"/>
        <w:jc w:val="both"/>
        <w:rPr>
          <w:rFonts w:cs="Times New Roman"/>
        </w:rPr>
      </w:pPr>
    </w:p>
    <w:p w:rsidR="00862CFD" w:rsidRPr="00465B2A" w:rsidRDefault="00862CFD" w:rsidP="00862CFD">
      <w:pPr>
        <w:spacing w:after="20" w:line="240" w:lineRule="auto"/>
        <w:jc w:val="both"/>
        <w:rPr>
          <w:rFonts w:eastAsia="Times New Roman"/>
          <w:color w:val="000000"/>
          <w:lang w:eastAsia="hu-HU"/>
        </w:rPr>
      </w:pPr>
      <w:r w:rsidRPr="00465B2A">
        <w:rPr>
          <w:rFonts w:cs="Times New Roman"/>
        </w:rPr>
        <w:t>„</w:t>
      </w:r>
      <w:r w:rsidRPr="00465B2A">
        <w:rPr>
          <w:rFonts w:eastAsia="Times New Roman"/>
          <w:i/>
          <w:iCs/>
          <w:color w:val="000000"/>
          <w:lang w:eastAsia="hu-HU"/>
        </w:rPr>
        <w:t>c)</w:t>
      </w:r>
      <w:r w:rsidRPr="00465B2A">
        <w:rPr>
          <w:rFonts w:eastAsia="Times New Roman"/>
          <w:color w:val="000000"/>
          <w:lang w:eastAsia="hu-HU"/>
        </w:rPr>
        <w:t> a gyártó nevét, címét és statisztikai számjelét,</w:t>
      </w:r>
      <w:r w:rsidRPr="00465B2A">
        <w:rPr>
          <w:bCs/>
          <w:color w:val="000000"/>
        </w:rPr>
        <w:t xml:space="preserve"> a gyártás helyszínét, bérgyártás esetén a bérgyártó nevét, címét, statisztikai számjelét,”</w:t>
      </w:r>
    </w:p>
    <w:p w:rsidR="00862CFD" w:rsidRPr="00465B2A" w:rsidRDefault="00862CFD" w:rsidP="007A42E4">
      <w:pPr>
        <w:autoSpaceDE w:val="0"/>
        <w:autoSpaceDN w:val="0"/>
        <w:adjustRightInd w:val="0"/>
        <w:spacing w:after="0" w:line="240" w:lineRule="auto"/>
        <w:jc w:val="both"/>
        <w:rPr>
          <w:rFonts w:cs="Times New Roman"/>
        </w:rPr>
      </w:pPr>
    </w:p>
    <w:p w:rsidR="00862CFD" w:rsidRPr="00465B2A" w:rsidRDefault="00862CFD" w:rsidP="00862CFD">
      <w:pPr>
        <w:autoSpaceDE w:val="0"/>
        <w:autoSpaceDN w:val="0"/>
        <w:adjustRightInd w:val="0"/>
        <w:spacing w:after="0" w:line="240" w:lineRule="auto"/>
        <w:jc w:val="both"/>
        <w:rPr>
          <w:rFonts w:cs="Times New Roman"/>
        </w:rPr>
      </w:pPr>
      <w:r w:rsidRPr="00465B2A">
        <w:rPr>
          <w:rFonts w:cs="Times New Roman"/>
        </w:rPr>
        <w:t>(2) Az R. 7. § (5) bekezdés e) pontja helyébe a következő rendelkezés lép:</w:t>
      </w:r>
    </w:p>
    <w:p w:rsidR="00862CFD" w:rsidRPr="00465B2A" w:rsidRDefault="00862CFD" w:rsidP="00862CFD">
      <w:pPr>
        <w:autoSpaceDE w:val="0"/>
        <w:autoSpaceDN w:val="0"/>
        <w:adjustRightInd w:val="0"/>
        <w:spacing w:after="0" w:line="240" w:lineRule="auto"/>
        <w:jc w:val="both"/>
        <w:rPr>
          <w:rFonts w:cs="Times New Roman"/>
        </w:rPr>
      </w:pPr>
    </w:p>
    <w:p w:rsidR="00862CFD" w:rsidRPr="00465B2A" w:rsidRDefault="00862CFD" w:rsidP="00862CFD">
      <w:pPr>
        <w:autoSpaceDE w:val="0"/>
        <w:autoSpaceDN w:val="0"/>
        <w:adjustRightInd w:val="0"/>
        <w:spacing w:after="0" w:line="240" w:lineRule="auto"/>
        <w:jc w:val="both"/>
        <w:rPr>
          <w:rFonts w:cs="Times New Roman"/>
          <w:i/>
        </w:rPr>
      </w:pPr>
      <w:r w:rsidRPr="00465B2A">
        <w:rPr>
          <w:rFonts w:eastAsia="Times New Roman"/>
          <w:i/>
          <w:color w:val="000000"/>
          <w:lang w:eastAsia="hu-HU"/>
        </w:rPr>
        <w:t>(Az engedélynek a következő adatokat kell tartalmaznia:)</w:t>
      </w:r>
    </w:p>
    <w:p w:rsidR="00862CFD" w:rsidRPr="00465B2A" w:rsidRDefault="00862CFD" w:rsidP="007A42E4">
      <w:pPr>
        <w:autoSpaceDE w:val="0"/>
        <w:autoSpaceDN w:val="0"/>
        <w:adjustRightInd w:val="0"/>
        <w:spacing w:after="0" w:line="240" w:lineRule="auto"/>
        <w:jc w:val="both"/>
        <w:rPr>
          <w:rFonts w:cs="Times New Roman"/>
        </w:rPr>
      </w:pPr>
    </w:p>
    <w:p w:rsidR="00862CFD" w:rsidRPr="00465B2A" w:rsidRDefault="002432C9" w:rsidP="007A42E4">
      <w:pPr>
        <w:autoSpaceDE w:val="0"/>
        <w:autoSpaceDN w:val="0"/>
        <w:adjustRightInd w:val="0"/>
        <w:spacing w:after="0" w:line="240" w:lineRule="auto"/>
        <w:jc w:val="both"/>
        <w:rPr>
          <w:rFonts w:cs="Times New Roman"/>
        </w:rPr>
      </w:pPr>
      <w:r w:rsidRPr="00465B2A">
        <w:rPr>
          <w:rFonts w:eastAsia="Times New Roman"/>
          <w:i/>
          <w:iCs/>
          <w:color w:val="000000"/>
          <w:lang w:eastAsia="hu-HU"/>
        </w:rPr>
        <w:t>„e)</w:t>
      </w:r>
      <w:r w:rsidRPr="00465B2A">
        <w:rPr>
          <w:rFonts w:eastAsia="Times New Roman"/>
          <w:color w:val="000000"/>
          <w:lang w:eastAsia="hu-HU"/>
        </w:rPr>
        <w:t> a készítmény teljes összetételét, az előállításához felhasznált alapanyagok százalékos arányát és azok származási helyét, valamint a készítményre vonatkozó minőségi előírásokat,”</w:t>
      </w:r>
    </w:p>
    <w:p w:rsidR="002432C9" w:rsidRPr="00465B2A" w:rsidRDefault="002432C9" w:rsidP="007A42E4">
      <w:pPr>
        <w:autoSpaceDE w:val="0"/>
        <w:autoSpaceDN w:val="0"/>
        <w:adjustRightInd w:val="0"/>
        <w:spacing w:after="0" w:line="240" w:lineRule="auto"/>
        <w:jc w:val="both"/>
        <w:rPr>
          <w:rFonts w:cs="Times New Roman"/>
        </w:rPr>
      </w:pPr>
    </w:p>
    <w:p w:rsidR="002432C9" w:rsidRPr="00465B2A" w:rsidRDefault="002432C9" w:rsidP="002432C9">
      <w:pPr>
        <w:autoSpaceDE w:val="0"/>
        <w:autoSpaceDN w:val="0"/>
        <w:adjustRightInd w:val="0"/>
        <w:spacing w:after="0" w:line="240" w:lineRule="auto"/>
        <w:jc w:val="both"/>
        <w:rPr>
          <w:rFonts w:cs="Times New Roman"/>
        </w:rPr>
      </w:pPr>
      <w:r w:rsidRPr="00465B2A">
        <w:rPr>
          <w:rFonts w:cs="Times New Roman"/>
        </w:rPr>
        <w:t>(3) Az R. 7. § (5) bekezdés g) pontja helyébe a következő rendelkezés lép:</w:t>
      </w:r>
    </w:p>
    <w:p w:rsidR="002432C9" w:rsidRPr="00465B2A" w:rsidRDefault="002432C9" w:rsidP="002432C9">
      <w:pPr>
        <w:autoSpaceDE w:val="0"/>
        <w:autoSpaceDN w:val="0"/>
        <w:adjustRightInd w:val="0"/>
        <w:spacing w:after="0" w:line="240" w:lineRule="auto"/>
        <w:jc w:val="both"/>
        <w:rPr>
          <w:rFonts w:cs="Times New Roman"/>
        </w:rPr>
      </w:pPr>
    </w:p>
    <w:p w:rsidR="002432C9" w:rsidRPr="00465B2A" w:rsidRDefault="002432C9" w:rsidP="002432C9">
      <w:pPr>
        <w:autoSpaceDE w:val="0"/>
        <w:autoSpaceDN w:val="0"/>
        <w:adjustRightInd w:val="0"/>
        <w:spacing w:after="0" w:line="240" w:lineRule="auto"/>
        <w:jc w:val="both"/>
        <w:rPr>
          <w:rFonts w:cs="Times New Roman"/>
          <w:i/>
        </w:rPr>
      </w:pPr>
      <w:r w:rsidRPr="00465B2A">
        <w:rPr>
          <w:rFonts w:eastAsia="Times New Roman"/>
          <w:i/>
          <w:color w:val="000000"/>
          <w:lang w:eastAsia="hu-HU"/>
        </w:rPr>
        <w:t>(Az engedélynek a következő adatokat kell tartalmaznia:)</w:t>
      </w:r>
    </w:p>
    <w:p w:rsidR="002432C9" w:rsidRPr="00465B2A" w:rsidRDefault="002432C9" w:rsidP="002432C9">
      <w:pPr>
        <w:autoSpaceDE w:val="0"/>
        <w:autoSpaceDN w:val="0"/>
        <w:adjustRightInd w:val="0"/>
        <w:spacing w:after="0" w:line="240" w:lineRule="auto"/>
        <w:jc w:val="both"/>
        <w:rPr>
          <w:rFonts w:cs="Times New Roman"/>
        </w:rPr>
      </w:pPr>
    </w:p>
    <w:p w:rsidR="002432C9" w:rsidRPr="00465B2A" w:rsidRDefault="002432C9" w:rsidP="00A84D1E">
      <w:pPr>
        <w:spacing w:after="0"/>
        <w:jc w:val="both"/>
        <w:rPr>
          <w:bCs/>
        </w:rPr>
      </w:pPr>
      <w:r w:rsidRPr="00465B2A">
        <w:rPr>
          <w:bCs/>
        </w:rPr>
        <w:lastRenderedPageBreak/>
        <w:t>„g) a munka-egészségügyi és környezet-egészségügyi előírásokat, az alkalmazás során előírt védőeszközöket, az elsősegély-nyújtási eljárást</w:t>
      </w:r>
      <w:r w:rsidR="00D838B0" w:rsidRPr="00465B2A">
        <w:rPr>
          <w:bCs/>
        </w:rPr>
        <w:t>,</w:t>
      </w:r>
      <w:r w:rsidRPr="00465B2A">
        <w:rPr>
          <w:bCs/>
        </w:rPr>
        <w:t xml:space="preserve"> és </w:t>
      </w:r>
    </w:p>
    <w:p w:rsidR="002432C9" w:rsidRPr="00465B2A" w:rsidRDefault="002432C9" w:rsidP="00A84D1E">
      <w:pPr>
        <w:spacing w:after="0"/>
        <w:jc w:val="both"/>
        <w:rPr>
          <w:bCs/>
        </w:rPr>
      </w:pPr>
      <w:proofErr w:type="spellStart"/>
      <w:r w:rsidRPr="00465B2A">
        <w:rPr>
          <w:bCs/>
          <w:i/>
        </w:rPr>
        <w:t>ga</w:t>
      </w:r>
      <w:proofErr w:type="spellEnd"/>
      <w:r w:rsidRPr="00465B2A">
        <w:rPr>
          <w:bCs/>
          <w:i/>
        </w:rPr>
        <w:t>)</w:t>
      </w:r>
      <w:r w:rsidRPr="00465B2A">
        <w:rPr>
          <w:bCs/>
        </w:rPr>
        <w:t xml:space="preserve"> a 67/548</w:t>
      </w:r>
      <w:r w:rsidR="00A84D1E" w:rsidRPr="00465B2A">
        <w:rPr>
          <w:bCs/>
        </w:rPr>
        <w:t>/</w:t>
      </w:r>
      <w:r w:rsidRPr="00465B2A">
        <w:rPr>
          <w:bCs/>
        </w:rPr>
        <w:t>EGK és 1999/45/EK irányelvek alapján a veszélyességi besorolást, veszélyjeleket, R-, S- és különleges S- mondatokat</w:t>
      </w:r>
      <w:r w:rsidR="00D838B0" w:rsidRPr="00465B2A">
        <w:rPr>
          <w:bCs/>
        </w:rPr>
        <w:t>,</w:t>
      </w:r>
      <w:r w:rsidRPr="00465B2A">
        <w:rPr>
          <w:bCs/>
        </w:rPr>
        <w:t xml:space="preserve"> vagy</w:t>
      </w:r>
    </w:p>
    <w:p w:rsidR="002432C9" w:rsidRPr="00465B2A" w:rsidRDefault="002432C9" w:rsidP="00A84D1E">
      <w:pPr>
        <w:spacing w:after="0"/>
        <w:jc w:val="both"/>
        <w:rPr>
          <w:bCs/>
        </w:rPr>
      </w:pPr>
      <w:proofErr w:type="spellStart"/>
      <w:r w:rsidRPr="00465B2A">
        <w:rPr>
          <w:bCs/>
          <w:i/>
        </w:rPr>
        <w:t>gb</w:t>
      </w:r>
      <w:proofErr w:type="spellEnd"/>
      <w:r w:rsidRPr="00465B2A">
        <w:rPr>
          <w:bCs/>
          <w:i/>
        </w:rPr>
        <w:t>)</w:t>
      </w:r>
      <w:r w:rsidRPr="00465B2A">
        <w:rPr>
          <w:bCs/>
        </w:rPr>
        <w:t xml:space="preserve"> az 1272/2008/EK rendelet alapján a veszélyességi besorolást, veszélyjeleket, H- és P- mondatokat,”</w:t>
      </w:r>
    </w:p>
    <w:p w:rsidR="002432C9" w:rsidRPr="00465B2A" w:rsidRDefault="002432C9" w:rsidP="002432C9">
      <w:pPr>
        <w:autoSpaceDE w:val="0"/>
        <w:autoSpaceDN w:val="0"/>
        <w:adjustRightInd w:val="0"/>
        <w:spacing w:after="0" w:line="240" w:lineRule="auto"/>
        <w:jc w:val="both"/>
        <w:rPr>
          <w:rFonts w:cs="Times New Roman"/>
        </w:rPr>
      </w:pPr>
    </w:p>
    <w:p w:rsidR="00862CFD" w:rsidRPr="00465B2A" w:rsidRDefault="00862CFD" w:rsidP="009F6174">
      <w:pPr>
        <w:autoSpaceDE w:val="0"/>
        <w:autoSpaceDN w:val="0"/>
        <w:adjustRightInd w:val="0"/>
        <w:spacing w:after="0" w:line="240" w:lineRule="auto"/>
        <w:jc w:val="center"/>
        <w:rPr>
          <w:rFonts w:cs="Times New Roman"/>
          <w:b/>
        </w:rPr>
      </w:pPr>
      <w:r w:rsidRPr="00465B2A">
        <w:rPr>
          <w:rFonts w:cs="Times New Roman"/>
          <w:b/>
        </w:rPr>
        <w:t>7. §</w:t>
      </w:r>
    </w:p>
    <w:p w:rsidR="002A4B5C" w:rsidRPr="00465B2A" w:rsidRDefault="002A4B5C" w:rsidP="007A42E4">
      <w:pPr>
        <w:autoSpaceDE w:val="0"/>
        <w:autoSpaceDN w:val="0"/>
        <w:adjustRightInd w:val="0"/>
        <w:spacing w:after="0" w:line="240" w:lineRule="auto"/>
        <w:jc w:val="both"/>
        <w:rPr>
          <w:rFonts w:cs="Times New Roman"/>
        </w:rPr>
      </w:pPr>
    </w:p>
    <w:p w:rsidR="009F6174" w:rsidRPr="00465B2A" w:rsidRDefault="00541232" w:rsidP="007A42E4">
      <w:pPr>
        <w:autoSpaceDE w:val="0"/>
        <w:autoSpaceDN w:val="0"/>
        <w:adjustRightInd w:val="0"/>
        <w:spacing w:after="0" w:line="240" w:lineRule="auto"/>
        <w:jc w:val="both"/>
        <w:rPr>
          <w:rFonts w:cs="Times New Roman"/>
        </w:rPr>
      </w:pPr>
      <w:r w:rsidRPr="00465B2A">
        <w:rPr>
          <w:rFonts w:cs="Times New Roman"/>
        </w:rPr>
        <w:t xml:space="preserve">(1) </w:t>
      </w:r>
      <w:r w:rsidR="009F6174" w:rsidRPr="00465B2A">
        <w:rPr>
          <w:rFonts w:cs="Times New Roman"/>
        </w:rPr>
        <w:t>Az R. 9. §</w:t>
      </w:r>
      <w:proofErr w:type="spellStart"/>
      <w:r w:rsidR="009F6174" w:rsidRPr="00465B2A">
        <w:rPr>
          <w:rFonts w:cs="Times New Roman"/>
        </w:rPr>
        <w:t>-</w:t>
      </w:r>
      <w:proofErr w:type="gramStart"/>
      <w:r w:rsidR="009F6174" w:rsidRPr="00465B2A">
        <w:rPr>
          <w:rFonts w:cs="Times New Roman"/>
        </w:rPr>
        <w:t>a</w:t>
      </w:r>
      <w:proofErr w:type="spellEnd"/>
      <w:proofErr w:type="gramEnd"/>
      <w:r w:rsidR="009F6174" w:rsidRPr="00465B2A">
        <w:rPr>
          <w:rFonts w:cs="Times New Roman"/>
        </w:rPr>
        <w:t xml:space="preserve"> a következő (2a) bekezdéssel egészül ki:</w:t>
      </w:r>
    </w:p>
    <w:p w:rsidR="009F6174" w:rsidRPr="00465B2A" w:rsidRDefault="009F6174" w:rsidP="007A42E4">
      <w:pPr>
        <w:autoSpaceDE w:val="0"/>
        <w:autoSpaceDN w:val="0"/>
        <w:adjustRightInd w:val="0"/>
        <w:spacing w:after="0" w:line="240" w:lineRule="auto"/>
        <w:jc w:val="both"/>
        <w:rPr>
          <w:rFonts w:cs="Times New Roman"/>
        </w:rPr>
      </w:pPr>
    </w:p>
    <w:p w:rsidR="009F6174" w:rsidRPr="00465B2A" w:rsidRDefault="009F6174" w:rsidP="007A42E4">
      <w:pPr>
        <w:autoSpaceDE w:val="0"/>
        <w:autoSpaceDN w:val="0"/>
        <w:adjustRightInd w:val="0"/>
        <w:spacing w:after="0" w:line="240" w:lineRule="auto"/>
        <w:jc w:val="both"/>
        <w:rPr>
          <w:rFonts w:cs="Times New Roman"/>
        </w:rPr>
      </w:pPr>
      <w:r w:rsidRPr="00465B2A">
        <w:rPr>
          <w:rFonts w:cs="Times New Roman"/>
        </w:rPr>
        <w:t xml:space="preserve">„(2a) Az engedély módosításával </w:t>
      </w:r>
      <w:proofErr w:type="spellStart"/>
      <w:r w:rsidRPr="00465B2A">
        <w:rPr>
          <w:rFonts w:cs="Times New Roman"/>
        </w:rPr>
        <w:t>egyidőben</w:t>
      </w:r>
      <w:proofErr w:type="spellEnd"/>
      <w:r w:rsidRPr="00465B2A">
        <w:rPr>
          <w:rFonts w:cs="Times New Roman"/>
        </w:rPr>
        <w:t xml:space="preserve"> az engedélyes kérelmezheti, hogy a termésnövelő </w:t>
      </w:r>
      <w:proofErr w:type="gramStart"/>
      <w:r w:rsidRPr="00465B2A">
        <w:rPr>
          <w:rFonts w:cs="Times New Roman"/>
        </w:rPr>
        <w:t>anyag raktáron</w:t>
      </w:r>
      <w:proofErr w:type="gramEnd"/>
      <w:r w:rsidRPr="00465B2A">
        <w:rPr>
          <w:rFonts w:cs="Times New Roman"/>
        </w:rPr>
        <w:t xml:space="preserve"> és kereskedelemben lévő készleteit az engedély érvényességi ideje alatt, de legfeljebb </w:t>
      </w:r>
      <w:r w:rsidR="00DC6667">
        <w:rPr>
          <w:rFonts w:cs="Times New Roman"/>
        </w:rPr>
        <w:t>két</w:t>
      </w:r>
      <w:r w:rsidR="00DC6667" w:rsidRPr="00465B2A">
        <w:rPr>
          <w:rFonts w:cs="Times New Roman"/>
        </w:rPr>
        <w:t xml:space="preserve"> </w:t>
      </w:r>
      <w:r w:rsidRPr="00465B2A">
        <w:rPr>
          <w:rFonts w:cs="Times New Roman"/>
        </w:rPr>
        <w:t>évig, a módosítást megelőző engedélynek megfelelő címkével és csomagolásban is forgalomba hozhassa.”</w:t>
      </w:r>
    </w:p>
    <w:p w:rsidR="009F6174" w:rsidRPr="00465B2A" w:rsidRDefault="009F6174" w:rsidP="007A42E4">
      <w:pPr>
        <w:autoSpaceDE w:val="0"/>
        <w:autoSpaceDN w:val="0"/>
        <w:adjustRightInd w:val="0"/>
        <w:spacing w:after="0" w:line="240" w:lineRule="auto"/>
        <w:jc w:val="both"/>
        <w:rPr>
          <w:rFonts w:cs="Times New Roman"/>
        </w:rPr>
      </w:pPr>
    </w:p>
    <w:p w:rsidR="00541232" w:rsidRPr="00465B2A" w:rsidRDefault="00541232" w:rsidP="007A42E4">
      <w:pPr>
        <w:autoSpaceDE w:val="0"/>
        <w:autoSpaceDN w:val="0"/>
        <w:adjustRightInd w:val="0"/>
        <w:spacing w:after="0" w:line="240" w:lineRule="auto"/>
        <w:jc w:val="both"/>
        <w:rPr>
          <w:rFonts w:cs="Times New Roman"/>
        </w:rPr>
      </w:pPr>
      <w:r w:rsidRPr="00465B2A">
        <w:rPr>
          <w:rFonts w:cs="Times New Roman"/>
        </w:rPr>
        <w:t>(2) Az R. 9. § (6) bekezdés b) pontja helyébe a következő rendelkezés lép:</w:t>
      </w:r>
    </w:p>
    <w:p w:rsidR="00541232" w:rsidRPr="00465B2A" w:rsidRDefault="00541232" w:rsidP="007A42E4">
      <w:pPr>
        <w:autoSpaceDE w:val="0"/>
        <w:autoSpaceDN w:val="0"/>
        <w:adjustRightInd w:val="0"/>
        <w:spacing w:after="0" w:line="240" w:lineRule="auto"/>
        <w:jc w:val="both"/>
        <w:rPr>
          <w:rFonts w:cs="Times New Roman"/>
        </w:rPr>
      </w:pPr>
    </w:p>
    <w:p w:rsidR="00541232" w:rsidRPr="00465B2A" w:rsidRDefault="000E68B9" w:rsidP="007A42E4">
      <w:pPr>
        <w:autoSpaceDE w:val="0"/>
        <w:autoSpaceDN w:val="0"/>
        <w:adjustRightInd w:val="0"/>
        <w:spacing w:after="0" w:line="240" w:lineRule="auto"/>
        <w:jc w:val="both"/>
        <w:rPr>
          <w:rFonts w:cs="Times New Roman"/>
          <w:i/>
        </w:rPr>
      </w:pPr>
      <w:r w:rsidRPr="00465B2A">
        <w:rPr>
          <w:rFonts w:cs="Times New Roman"/>
          <w:i/>
        </w:rPr>
        <w:t>(</w:t>
      </w:r>
      <w:r w:rsidRPr="00465B2A">
        <w:rPr>
          <w:rFonts w:eastAsia="Times New Roman"/>
          <w:i/>
          <w:color w:val="000000"/>
          <w:lang w:eastAsia="hu-HU"/>
        </w:rPr>
        <w:t>Az engedélyező hatóság hivatalból elrendeli az engedély felfüggesztését)</w:t>
      </w:r>
    </w:p>
    <w:p w:rsidR="00541232" w:rsidRPr="00465B2A" w:rsidRDefault="00541232" w:rsidP="007A42E4">
      <w:pPr>
        <w:autoSpaceDE w:val="0"/>
        <w:autoSpaceDN w:val="0"/>
        <w:adjustRightInd w:val="0"/>
        <w:spacing w:after="0" w:line="240" w:lineRule="auto"/>
        <w:jc w:val="both"/>
        <w:rPr>
          <w:rFonts w:cs="Times New Roman"/>
        </w:rPr>
      </w:pPr>
    </w:p>
    <w:p w:rsidR="000E68B9" w:rsidRPr="00465B2A" w:rsidRDefault="000E68B9" w:rsidP="00186CC1">
      <w:pPr>
        <w:spacing w:after="0" w:line="240" w:lineRule="auto"/>
        <w:jc w:val="both"/>
        <w:rPr>
          <w:rFonts w:eastAsia="Times New Roman"/>
          <w:color w:val="000000"/>
          <w:lang w:eastAsia="hu-HU"/>
        </w:rPr>
      </w:pPr>
      <w:r w:rsidRPr="00465B2A">
        <w:rPr>
          <w:rFonts w:eastAsia="Times New Roman"/>
          <w:i/>
          <w:iCs/>
          <w:color w:val="000000"/>
          <w:lang w:eastAsia="hu-HU"/>
        </w:rPr>
        <w:t>„b)</w:t>
      </w:r>
      <w:r w:rsidRPr="00465B2A">
        <w:rPr>
          <w:rFonts w:eastAsia="Times New Roman"/>
          <w:color w:val="000000"/>
          <w:lang w:eastAsia="hu-HU"/>
        </w:rPr>
        <w:t> a termékállandóság vizsgálatakor és a forgalmazás ellenőrzésekor megállapított hiányosságok, minősé</w:t>
      </w:r>
      <w:r w:rsidR="006608CE">
        <w:rPr>
          <w:rFonts w:eastAsia="Times New Roman"/>
          <w:color w:val="000000"/>
          <w:lang w:eastAsia="hu-HU"/>
        </w:rPr>
        <w:t>gi kifogások esetén, amennyiben</w:t>
      </w:r>
    </w:p>
    <w:p w:rsidR="000E68B9" w:rsidRPr="00465B2A" w:rsidRDefault="000E68B9" w:rsidP="00186CC1">
      <w:pPr>
        <w:spacing w:after="0" w:line="240" w:lineRule="auto"/>
        <w:jc w:val="both"/>
      </w:pPr>
      <w:proofErr w:type="spellStart"/>
      <w:r w:rsidRPr="00465B2A">
        <w:rPr>
          <w:i/>
        </w:rPr>
        <w:t>ba</w:t>
      </w:r>
      <w:proofErr w:type="spellEnd"/>
      <w:r w:rsidRPr="00465B2A">
        <w:rPr>
          <w:i/>
        </w:rPr>
        <w:t>)</w:t>
      </w:r>
      <w:r w:rsidRPr="00465B2A">
        <w:t xml:space="preserve"> a termékállandóság vizsgálata során egymást követő két éven belül legalább öt különböző gyártási számú vagy egyéb azonosításra alkalmas egyedi jelöléssel ellátott tétel vizsgálata során a hatóanyag tartalom nem felel meg az engedélyokirat előírásainak</w:t>
      </w:r>
      <w:r w:rsidR="006608CE">
        <w:t>,</w:t>
      </w:r>
      <w:r w:rsidRPr="00465B2A">
        <w:t xml:space="preserve"> vagy</w:t>
      </w:r>
    </w:p>
    <w:p w:rsidR="000E68B9" w:rsidRPr="00465B2A" w:rsidRDefault="000E68B9" w:rsidP="00186CC1">
      <w:pPr>
        <w:spacing w:after="0" w:line="240" w:lineRule="auto"/>
        <w:jc w:val="both"/>
      </w:pPr>
      <w:proofErr w:type="spellStart"/>
      <w:r w:rsidRPr="00465B2A">
        <w:rPr>
          <w:i/>
        </w:rPr>
        <w:t>bb</w:t>
      </w:r>
      <w:proofErr w:type="spellEnd"/>
      <w:r w:rsidRPr="00465B2A">
        <w:rPr>
          <w:i/>
        </w:rPr>
        <w:t>)</w:t>
      </w:r>
      <w:r w:rsidRPr="00465B2A">
        <w:t xml:space="preserve"> a termékállandóság két éven belül végzett három különböző gyártási számú vagy egyéb azonosításra alkalmas egyedi jelöléssel ellátott tétel vizsgálata során a toxikus elem, só vagy szerves szennyező tartalom bármely paraméterének vonatkozásában nem felel meg az engedélyokirat előírásainak</w:t>
      </w:r>
      <w:r w:rsidR="006608CE">
        <w:t>,</w:t>
      </w:r>
      <w:r w:rsidRPr="00465B2A">
        <w:t xml:space="preserve"> vagy</w:t>
      </w:r>
    </w:p>
    <w:p w:rsidR="000E68B9" w:rsidRPr="00465B2A" w:rsidRDefault="000E68B9" w:rsidP="00186CC1">
      <w:pPr>
        <w:spacing w:after="0" w:line="240" w:lineRule="auto"/>
        <w:jc w:val="both"/>
      </w:pPr>
      <w:proofErr w:type="spellStart"/>
      <w:r w:rsidRPr="00465B2A">
        <w:rPr>
          <w:i/>
        </w:rPr>
        <w:t>bc</w:t>
      </w:r>
      <w:proofErr w:type="spellEnd"/>
      <w:r w:rsidRPr="00465B2A">
        <w:rPr>
          <w:i/>
        </w:rPr>
        <w:t>)</w:t>
      </w:r>
      <w:r w:rsidRPr="00465B2A">
        <w:t xml:space="preserve"> a higiénés mikrobiológiai vizsgálatok eredménye két éven belül végzett három különböző gyártási számú vagy egyéb azonosításra alkalmas egyedi jelöléssel ellátott tétel vizsgálata esetében bármely paraméter vonatkozásában nem felel meg az engedély előírásainak</w:t>
      </w:r>
      <w:r w:rsidR="006608CE">
        <w:t>, vagy</w:t>
      </w:r>
    </w:p>
    <w:p w:rsidR="000E68B9" w:rsidRPr="00465B2A" w:rsidRDefault="000E68B9" w:rsidP="00186CC1">
      <w:pPr>
        <w:spacing w:after="0" w:line="240" w:lineRule="auto"/>
        <w:jc w:val="both"/>
      </w:pPr>
      <w:proofErr w:type="spellStart"/>
      <w:r w:rsidRPr="00465B2A">
        <w:rPr>
          <w:i/>
        </w:rPr>
        <w:t>bd</w:t>
      </w:r>
      <w:proofErr w:type="spellEnd"/>
      <w:r w:rsidRPr="00465B2A">
        <w:rPr>
          <w:i/>
        </w:rPr>
        <w:t>)</w:t>
      </w:r>
      <w:r w:rsidRPr="00465B2A">
        <w:t xml:space="preserve"> a termékállandóság két éven belül végzett három különböző gyártási számú vagy egyéb azonosításra alkalmas egyedi jelöléssel ellátott tétel vizsgálata során a vizsgált minták </w:t>
      </w:r>
      <w:proofErr w:type="spellStart"/>
      <w:r w:rsidRPr="00465B2A">
        <w:t>csírázásgátló</w:t>
      </w:r>
      <w:proofErr w:type="spellEnd"/>
      <w:r w:rsidRPr="00465B2A">
        <w:t xml:space="preserve"> hatásúak</w:t>
      </w:r>
      <w:r w:rsidR="006608CE">
        <w:t>,</w:t>
      </w:r>
      <w:r w:rsidRPr="00465B2A">
        <w:t xml:space="preserve"> vagy</w:t>
      </w:r>
    </w:p>
    <w:p w:rsidR="000E68B9" w:rsidRPr="00465B2A" w:rsidRDefault="000E68B9" w:rsidP="00186CC1">
      <w:pPr>
        <w:spacing w:after="0" w:line="240" w:lineRule="auto"/>
        <w:jc w:val="both"/>
      </w:pPr>
      <w:proofErr w:type="gramStart"/>
      <w:r w:rsidRPr="00465B2A">
        <w:rPr>
          <w:i/>
        </w:rPr>
        <w:t>be</w:t>
      </w:r>
      <w:proofErr w:type="gramEnd"/>
      <w:r w:rsidRPr="00465B2A">
        <w:rPr>
          <w:i/>
        </w:rPr>
        <w:t>)</w:t>
      </w:r>
      <w:r w:rsidRPr="00465B2A">
        <w:t xml:space="preserve"> a </w:t>
      </w:r>
      <w:proofErr w:type="spellStart"/>
      <w:r w:rsidRPr="00465B2A">
        <w:t>ba</w:t>
      </w:r>
      <w:proofErr w:type="spellEnd"/>
      <w:r w:rsidRPr="00465B2A">
        <w:t>)</w:t>
      </w:r>
      <w:proofErr w:type="spellStart"/>
      <w:r w:rsidRPr="00465B2A">
        <w:t>-bc</w:t>
      </w:r>
      <w:proofErr w:type="spellEnd"/>
      <w:r w:rsidRPr="00465B2A">
        <w:t>) pont</w:t>
      </w:r>
      <w:r w:rsidR="001A2301">
        <w:t>o</w:t>
      </w:r>
      <w:r w:rsidRPr="00465B2A">
        <w:t>n túl az engedélyokiratban foglalt további minőségi fel</w:t>
      </w:r>
      <w:r w:rsidR="006608CE">
        <w:t>tételnek nem felel meg a termék, vagy</w:t>
      </w:r>
    </w:p>
    <w:p w:rsidR="000E68B9" w:rsidRPr="00465B2A" w:rsidRDefault="000E68B9" w:rsidP="00186CC1">
      <w:pPr>
        <w:spacing w:after="0" w:line="240" w:lineRule="auto"/>
        <w:jc w:val="both"/>
      </w:pPr>
      <w:proofErr w:type="spellStart"/>
      <w:r w:rsidRPr="00465B2A">
        <w:rPr>
          <w:i/>
        </w:rPr>
        <w:t>bf</w:t>
      </w:r>
      <w:proofErr w:type="spellEnd"/>
      <w:r w:rsidRPr="00465B2A">
        <w:rPr>
          <w:i/>
        </w:rPr>
        <w:t>)</w:t>
      </w:r>
      <w:r w:rsidRPr="00465B2A">
        <w:t xml:space="preserve"> a hatósági ellenőrzés során megállapítást nyert, hogy a termék előállításához nem az engedélyben meghatározott alapanyagokat használt fel.”</w:t>
      </w:r>
    </w:p>
    <w:p w:rsidR="000E68B9" w:rsidRPr="00465B2A" w:rsidRDefault="000E68B9" w:rsidP="007A42E4">
      <w:pPr>
        <w:autoSpaceDE w:val="0"/>
        <w:autoSpaceDN w:val="0"/>
        <w:adjustRightInd w:val="0"/>
        <w:spacing w:after="0" w:line="240" w:lineRule="auto"/>
        <w:jc w:val="both"/>
        <w:rPr>
          <w:rFonts w:cs="Times New Roman"/>
        </w:rPr>
      </w:pPr>
    </w:p>
    <w:p w:rsidR="000E68B9" w:rsidRPr="00465B2A" w:rsidRDefault="000E68B9" w:rsidP="007A42E4">
      <w:pPr>
        <w:autoSpaceDE w:val="0"/>
        <w:autoSpaceDN w:val="0"/>
        <w:adjustRightInd w:val="0"/>
        <w:spacing w:after="0" w:line="240" w:lineRule="auto"/>
        <w:jc w:val="both"/>
        <w:rPr>
          <w:rFonts w:cs="Times New Roman"/>
        </w:rPr>
      </w:pPr>
      <w:r w:rsidRPr="00465B2A">
        <w:rPr>
          <w:rFonts w:cs="Times New Roman"/>
        </w:rPr>
        <w:t>(3) Az R. 9. §</w:t>
      </w:r>
      <w:proofErr w:type="spellStart"/>
      <w:r w:rsidRPr="00465B2A">
        <w:rPr>
          <w:rFonts w:cs="Times New Roman"/>
        </w:rPr>
        <w:t>-</w:t>
      </w:r>
      <w:proofErr w:type="gramStart"/>
      <w:r w:rsidRPr="00465B2A">
        <w:rPr>
          <w:rFonts w:cs="Times New Roman"/>
        </w:rPr>
        <w:t>a</w:t>
      </w:r>
      <w:proofErr w:type="spellEnd"/>
      <w:proofErr w:type="gramEnd"/>
      <w:r w:rsidRPr="00465B2A">
        <w:rPr>
          <w:rFonts w:cs="Times New Roman"/>
        </w:rPr>
        <w:t xml:space="preserve"> a következő (6a) és (6b) bekezdéssel egészül ki:</w:t>
      </w:r>
    </w:p>
    <w:p w:rsidR="000E68B9" w:rsidRPr="00465B2A" w:rsidRDefault="000E68B9" w:rsidP="007A42E4">
      <w:pPr>
        <w:autoSpaceDE w:val="0"/>
        <w:autoSpaceDN w:val="0"/>
        <w:adjustRightInd w:val="0"/>
        <w:spacing w:after="0" w:line="240" w:lineRule="auto"/>
        <w:jc w:val="both"/>
        <w:rPr>
          <w:rFonts w:cs="Times New Roman"/>
        </w:rPr>
      </w:pPr>
    </w:p>
    <w:p w:rsidR="000E68B9" w:rsidRPr="00465B2A" w:rsidRDefault="000E68B9" w:rsidP="00186CC1">
      <w:pPr>
        <w:spacing w:after="0" w:line="240" w:lineRule="auto"/>
        <w:jc w:val="both"/>
      </w:pPr>
      <w:r w:rsidRPr="00465B2A">
        <w:rPr>
          <w:rFonts w:cs="Times New Roman"/>
        </w:rPr>
        <w:t>„</w:t>
      </w:r>
      <w:r w:rsidRPr="00465B2A">
        <w:t>(6a) Az engedélyező hatóság a kártalanítási igény kizárásával a termésnövelő anyagok visszahívását elrendeli, amennyiben a felfüggesztő határozat a termék készleteinek további felhasználását megtiltja. Az engedélyes, az importőr, illetve képviselője, vagy az általuk megbízott megfelelő jogosultsággal és felkészültséggel rendelkező fél a termésnövelő anyagot az országból történő kivitelre vagy országon belüli ártalmatlanításra köteles visszavenni.</w:t>
      </w:r>
    </w:p>
    <w:p w:rsidR="000E68B9" w:rsidRPr="00465B2A" w:rsidRDefault="000E68B9" w:rsidP="000E68B9">
      <w:pPr>
        <w:spacing w:after="0" w:line="240" w:lineRule="auto"/>
        <w:jc w:val="both"/>
      </w:pPr>
    </w:p>
    <w:p w:rsidR="000E68B9" w:rsidRPr="00465B2A" w:rsidRDefault="000E68B9" w:rsidP="000E68B9">
      <w:pPr>
        <w:spacing w:after="0" w:line="240" w:lineRule="auto"/>
        <w:jc w:val="both"/>
        <w:rPr>
          <w:rFonts w:eastAsia="Times New Roman"/>
          <w:color w:val="000000"/>
          <w:lang w:eastAsia="hu-HU"/>
        </w:rPr>
      </w:pPr>
      <w:r w:rsidRPr="00465B2A">
        <w:lastRenderedPageBreak/>
        <w:t>(6b) Az engedély felfüggesztése az engedélyes kérelmére megszüntethető, ha bemutatja a termék minőségi problémáinak okait, azok megszüntetésére tett intézkedéseket, és a hibák kijavítása után gyártott termék hatósági mintavételt követő vizsgálati eredményeit.”</w:t>
      </w:r>
    </w:p>
    <w:p w:rsidR="000E68B9" w:rsidRPr="00465B2A" w:rsidRDefault="000E68B9" w:rsidP="000E68B9">
      <w:pPr>
        <w:autoSpaceDE w:val="0"/>
        <w:autoSpaceDN w:val="0"/>
        <w:adjustRightInd w:val="0"/>
        <w:spacing w:after="0" w:line="240" w:lineRule="auto"/>
        <w:jc w:val="both"/>
        <w:rPr>
          <w:rFonts w:cs="Times New Roman"/>
        </w:rPr>
      </w:pPr>
    </w:p>
    <w:p w:rsidR="00EA62DC" w:rsidRPr="00465B2A" w:rsidRDefault="00EA62DC" w:rsidP="000E68B9">
      <w:pPr>
        <w:autoSpaceDE w:val="0"/>
        <w:autoSpaceDN w:val="0"/>
        <w:adjustRightInd w:val="0"/>
        <w:spacing w:after="0" w:line="240" w:lineRule="auto"/>
        <w:jc w:val="both"/>
        <w:rPr>
          <w:rFonts w:cs="Times New Roman"/>
        </w:rPr>
      </w:pPr>
      <w:r w:rsidRPr="00465B2A">
        <w:rPr>
          <w:rFonts w:cs="Times New Roman"/>
        </w:rPr>
        <w:t>(4) Az R. 9. § (9) bekezdése helyébe a következő rendelkezés lép:</w:t>
      </w:r>
    </w:p>
    <w:p w:rsidR="00EA62DC" w:rsidRPr="00465B2A" w:rsidRDefault="00EA62DC" w:rsidP="000E68B9">
      <w:pPr>
        <w:autoSpaceDE w:val="0"/>
        <w:autoSpaceDN w:val="0"/>
        <w:adjustRightInd w:val="0"/>
        <w:spacing w:after="0" w:line="240" w:lineRule="auto"/>
        <w:jc w:val="both"/>
        <w:rPr>
          <w:rFonts w:cs="Times New Roman"/>
        </w:rPr>
      </w:pPr>
    </w:p>
    <w:p w:rsidR="00EA62DC" w:rsidRPr="00465B2A" w:rsidRDefault="00EA62DC" w:rsidP="000E68B9">
      <w:pPr>
        <w:autoSpaceDE w:val="0"/>
        <w:autoSpaceDN w:val="0"/>
        <w:adjustRightInd w:val="0"/>
        <w:spacing w:after="0" w:line="240" w:lineRule="auto"/>
        <w:jc w:val="both"/>
        <w:rPr>
          <w:rFonts w:cs="Times New Roman"/>
        </w:rPr>
      </w:pPr>
      <w:r w:rsidRPr="00465B2A">
        <w:rPr>
          <w:rFonts w:cs="Times New Roman"/>
        </w:rPr>
        <w:t>„</w:t>
      </w:r>
      <w:r w:rsidRPr="00465B2A">
        <w:rPr>
          <w:rFonts w:eastAsia="Times New Roman"/>
          <w:color w:val="000000"/>
          <w:lang w:eastAsia="hu-HU"/>
        </w:rPr>
        <w:t xml:space="preserve">(9) </w:t>
      </w:r>
      <w:r w:rsidRPr="00465B2A">
        <w:t>Az engedélyező hatóság a kártalanítási igény kizárásával a termésnövelő anyagok visszahívását elrendeli, amennyiben a visszavonó határozat a termék készleteinek további felhasználását megtiltja. Az engedélyes, az importőr, illetve képviselője, vagy az általuk megbízott megfelelő jogosultsággal és felkészültséggel rendelkező fél a termésnövelő anyagot az országból történő kivitelre vagy országon belüli ártalmatlanításra köteles visszavenni.”</w:t>
      </w:r>
    </w:p>
    <w:p w:rsidR="000E68B9" w:rsidRPr="00465B2A" w:rsidRDefault="000E68B9" w:rsidP="000E68B9">
      <w:pPr>
        <w:autoSpaceDE w:val="0"/>
        <w:autoSpaceDN w:val="0"/>
        <w:adjustRightInd w:val="0"/>
        <w:spacing w:after="0" w:line="240" w:lineRule="auto"/>
        <w:jc w:val="both"/>
        <w:rPr>
          <w:rFonts w:cs="Times New Roman"/>
        </w:rPr>
      </w:pPr>
    </w:p>
    <w:p w:rsidR="009F6174" w:rsidRPr="00465B2A" w:rsidRDefault="009F6174" w:rsidP="00BA7438">
      <w:pPr>
        <w:autoSpaceDE w:val="0"/>
        <w:autoSpaceDN w:val="0"/>
        <w:adjustRightInd w:val="0"/>
        <w:spacing w:after="0" w:line="240" w:lineRule="auto"/>
        <w:jc w:val="center"/>
        <w:rPr>
          <w:rFonts w:cs="Times New Roman"/>
          <w:b/>
        </w:rPr>
      </w:pPr>
      <w:r w:rsidRPr="00465B2A">
        <w:rPr>
          <w:rFonts w:cs="Times New Roman"/>
          <w:b/>
        </w:rPr>
        <w:t>8. §</w:t>
      </w:r>
    </w:p>
    <w:p w:rsidR="00BA7438" w:rsidRPr="00465B2A" w:rsidRDefault="00BA7438" w:rsidP="007A42E4">
      <w:pPr>
        <w:autoSpaceDE w:val="0"/>
        <w:autoSpaceDN w:val="0"/>
        <w:adjustRightInd w:val="0"/>
        <w:spacing w:after="0" w:line="240" w:lineRule="auto"/>
        <w:jc w:val="both"/>
        <w:rPr>
          <w:rFonts w:cs="Times New Roman"/>
        </w:rPr>
      </w:pPr>
    </w:p>
    <w:p w:rsidR="00BA7438" w:rsidRPr="00465B2A" w:rsidRDefault="00BA7438" w:rsidP="007A42E4">
      <w:pPr>
        <w:autoSpaceDE w:val="0"/>
        <w:autoSpaceDN w:val="0"/>
        <w:adjustRightInd w:val="0"/>
        <w:spacing w:after="0" w:line="240" w:lineRule="auto"/>
        <w:jc w:val="both"/>
        <w:rPr>
          <w:rFonts w:cs="Times New Roman"/>
        </w:rPr>
      </w:pPr>
      <w:r w:rsidRPr="00465B2A">
        <w:rPr>
          <w:rFonts w:cs="Times New Roman"/>
        </w:rPr>
        <w:t xml:space="preserve">Az R. </w:t>
      </w:r>
      <w:r w:rsidR="00774110" w:rsidRPr="00465B2A">
        <w:rPr>
          <w:rFonts w:cs="Times New Roman"/>
        </w:rPr>
        <w:t>10. §</w:t>
      </w:r>
      <w:proofErr w:type="spellStart"/>
      <w:r w:rsidR="00774110" w:rsidRPr="00465B2A">
        <w:rPr>
          <w:rFonts w:cs="Times New Roman"/>
        </w:rPr>
        <w:t>-</w:t>
      </w:r>
      <w:proofErr w:type="gramStart"/>
      <w:r w:rsidR="00774110" w:rsidRPr="00465B2A">
        <w:rPr>
          <w:rFonts w:cs="Times New Roman"/>
        </w:rPr>
        <w:t>a</w:t>
      </w:r>
      <w:proofErr w:type="spellEnd"/>
      <w:proofErr w:type="gramEnd"/>
      <w:r w:rsidR="00774110" w:rsidRPr="00465B2A">
        <w:rPr>
          <w:rFonts w:cs="Times New Roman"/>
        </w:rPr>
        <w:t xml:space="preserve"> a következő (8) bekezdéssel egészül ki:</w:t>
      </w:r>
    </w:p>
    <w:p w:rsidR="00774110" w:rsidRPr="00465B2A" w:rsidRDefault="00774110" w:rsidP="007A42E4">
      <w:pPr>
        <w:autoSpaceDE w:val="0"/>
        <w:autoSpaceDN w:val="0"/>
        <w:adjustRightInd w:val="0"/>
        <w:spacing w:after="0" w:line="240" w:lineRule="auto"/>
        <w:jc w:val="both"/>
        <w:rPr>
          <w:rFonts w:cs="Times New Roman"/>
        </w:rPr>
      </w:pPr>
    </w:p>
    <w:p w:rsidR="00774110" w:rsidRPr="00465B2A" w:rsidRDefault="00774110" w:rsidP="007A42E4">
      <w:pPr>
        <w:autoSpaceDE w:val="0"/>
        <w:autoSpaceDN w:val="0"/>
        <w:adjustRightInd w:val="0"/>
        <w:spacing w:after="0" w:line="240" w:lineRule="auto"/>
        <w:jc w:val="both"/>
        <w:rPr>
          <w:rFonts w:cs="Times New Roman"/>
        </w:rPr>
      </w:pPr>
      <w:r w:rsidRPr="00465B2A">
        <w:rPr>
          <w:rFonts w:cs="Times New Roman"/>
        </w:rPr>
        <w:t>„</w:t>
      </w:r>
      <w:r w:rsidRPr="00465B2A">
        <w:t xml:space="preserve">(8) A 28 </w:t>
      </w:r>
      <w:r w:rsidR="00DB2F59">
        <w:t xml:space="preserve">tömeg </w:t>
      </w:r>
      <w:r w:rsidRPr="00465B2A">
        <w:t>% feletti ammónium</w:t>
      </w:r>
      <w:r w:rsidR="00327AFB">
        <w:t>-</w:t>
      </w:r>
      <w:r w:rsidRPr="00465B2A">
        <w:t>nitrát, illetve a nitrogént ammónium</w:t>
      </w:r>
      <w:r w:rsidR="00327AFB">
        <w:t>-</w:t>
      </w:r>
      <w:r w:rsidRPr="00465B2A">
        <w:t xml:space="preserve">nitrát formában tartalmazó csomagolt műtrágyák (összetett NPK) olyan körülmények között tárolhatóak, amelyek megakadályozzák a termékek </w:t>
      </w:r>
      <w:proofErr w:type="spellStart"/>
      <w:r w:rsidRPr="00465B2A">
        <w:t>hőciklusok</w:t>
      </w:r>
      <w:proofErr w:type="spellEnd"/>
      <w:r w:rsidRPr="00465B2A">
        <w:t xml:space="preserve"> miatti átkristályosodását, napsugárzástól védettek, átszellőztethetőek és nedvességtől mentesek. A tárolás során legfeljebb 8 zsák, legfeljebb 3 raklapsor és legfeljebb 3 </w:t>
      </w:r>
      <w:proofErr w:type="spellStart"/>
      <w:r w:rsidRPr="00465B2A">
        <w:t>big-bag</w:t>
      </w:r>
      <w:proofErr w:type="spellEnd"/>
      <w:r w:rsidRPr="00465B2A">
        <w:t xml:space="preserve"> sor kerülhet egymásra. Egy tárolási egységben legfeljebb 300 tonna ammónium</w:t>
      </w:r>
      <w:r w:rsidR="00327AFB">
        <w:t>-</w:t>
      </w:r>
      <w:r w:rsidRPr="00465B2A">
        <w:t xml:space="preserve">nitrát tartalmú műtrágya tárolható, a tárolási egységek között legalább </w:t>
      </w:r>
      <w:smartTag w:uri="urn:schemas-microsoft-com:office:smarttags" w:element="metricconverter">
        <w:smartTagPr>
          <w:attr w:name="ProductID" w:val="10 méter"/>
        </w:smartTagPr>
        <w:r w:rsidRPr="00465B2A">
          <w:t>10 méter</w:t>
        </w:r>
      </w:smartTag>
      <w:r w:rsidRPr="00465B2A">
        <w:t xml:space="preserve"> távolságot kell tartani. A tárolási egységek 10 méteres körzetében éghető anyag nem tárolható.”</w:t>
      </w:r>
    </w:p>
    <w:p w:rsidR="00BA7438" w:rsidRPr="00465B2A" w:rsidRDefault="00BA7438" w:rsidP="007A42E4">
      <w:pPr>
        <w:autoSpaceDE w:val="0"/>
        <w:autoSpaceDN w:val="0"/>
        <w:adjustRightInd w:val="0"/>
        <w:spacing w:after="0" w:line="240" w:lineRule="auto"/>
        <w:jc w:val="both"/>
        <w:rPr>
          <w:rFonts w:cs="Times New Roman"/>
        </w:rPr>
      </w:pPr>
    </w:p>
    <w:p w:rsidR="00BA7438" w:rsidRPr="00465B2A" w:rsidRDefault="00BA7438" w:rsidP="00774110">
      <w:pPr>
        <w:autoSpaceDE w:val="0"/>
        <w:autoSpaceDN w:val="0"/>
        <w:adjustRightInd w:val="0"/>
        <w:spacing w:after="0" w:line="240" w:lineRule="auto"/>
        <w:jc w:val="center"/>
        <w:rPr>
          <w:rFonts w:cs="Times New Roman"/>
          <w:b/>
        </w:rPr>
      </w:pPr>
      <w:r w:rsidRPr="00465B2A">
        <w:rPr>
          <w:rFonts w:cs="Times New Roman"/>
          <w:b/>
        </w:rPr>
        <w:t>9. §</w:t>
      </w:r>
    </w:p>
    <w:p w:rsidR="00774110" w:rsidRPr="00465B2A" w:rsidRDefault="00774110" w:rsidP="007A42E4">
      <w:pPr>
        <w:autoSpaceDE w:val="0"/>
        <w:autoSpaceDN w:val="0"/>
        <w:adjustRightInd w:val="0"/>
        <w:spacing w:after="0" w:line="240" w:lineRule="auto"/>
        <w:jc w:val="both"/>
        <w:rPr>
          <w:rFonts w:cs="Times New Roman"/>
        </w:rPr>
      </w:pPr>
    </w:p>
    <w:p w:rsidR="00774110" w:rsidRPr="00465B2A" w:rsidRDefault="00774110" w:rsidP="007A42E4">
      <w:pPr>
        <w:autoSpaceDE w:val="0"/>
        <w:autoSpaceDN w:val="0"/>
        <w:adjustRightInd w:val="0"/>
        <w:spacing w:after="0" w:line="240" w:lineRule="auto"/>
        <w:jc w:val="both"/>
        <w:rPr>
          <w:rFonts w:cs="Times New Roman"/>
        </w:rPr>
      </w:pPr>
      <w:r w:rsidRPr="00465B2A">
        <w:rPr>
          <w:rFonts w:cs="Times New Roman"/>
        </w:rPr>
        <w:t xml:space="preserve">Az R. </w:t>
      </w:r>
      <w:r w:rsidR="00885C58" w:rsidRPr="00465B2A">
        <w:rPr>
          <w:rFonts w:cs="Times New Roman"/>
        </w:rPr>
        <w:t>11. § (4) bekezdése helyébe a következő rendelkezés lép</w:t>
      </w:r>
      <w:r w:rsidR="00276671" w:rsidRPr="00465B2A">
        <w:rPr>
          <w:rFonts w:cs="Times New Roman"/>
        </w:rPr>
        <w:t>, egyidejűleg a következő (5)-(9) bekezdéssel egészül ki</w:t>
      </w:r>
      <w:r w:rsidR="00885C58" w:rsidRPr="00465B2A">
        <w:rPr>
          <w:rFonts w:cs="Times New Roman"/>
        </w:rPr>
        <w:t>:</w:t>
      </w:r>
    </w:p>
    <w:p w:rsidR="00885C58" w:rsidRPr="00465B2A" w:rsidRDefault="00885C58" w:rsidP="007A42E4">
      <w:pPr>
        <w:autoSpaceDE w:val="0"/>
        <w:autoSpaceDN w:val="0"/>
        <w:adjustRightInd w:val="0"/>
        <w:spacing w:after="0" w:line="240" w:lineRule="auto"/>
        <w:jc w:val="both"/>
        <w:rPr>
          <w:rFonts w:cs="Times New Roman"/>
        </w:rPr>
      </w:pPr>
    </w:p>
    <w:p w:rsidR="00276671" w:rsidRPr="00465B2A" w:rsidRDefault="00276671" w:rsidP="00186CC1">
      <w:pPr>
        <w:spacing w:after="0" w:line="240" w:lineRule="auto"/>
        <w:jc w:val="both"/>
      </w:pPr>
      <w:r w:rsidRPr="00465B2A">
        <w:rPr>
          <w:rFonts w:cs="Times New Roman"/>
        </w:rPr>
        <w:t>„</w:t>
      </w:r>
      <w:r w:rsidRPr="00465B2A">
        <w:rPr>
          <w:rFonts w:eastAsia="Times New Roman"/>
          <w:color w:val="000000"/>
          <w:lang w:eastAsia="hu-HU"/>
        </w:rPr>
        <w:t>(4) Az engedélyezett termésnövelő anyag csomagolóeszközén, valamint a 100 kg nettó tömeget meghaladó áru és az ömlesztett áru kísérőokmányán a 4. számú mellékletben felsorolt adatokat</w:t>
      </w:r>
      <w:r w:rsidRPr="00465B2A">
        <w:t xml:space="preserve"> és jogszabály által előírt adatokat</w:t>
      </w:r>
      <w:r w:rsidRPr="00465B2A">
        <w:rPr>
          <w:rFonts w:eastAsia="Times New Roman"/>
          <w:color w:val="000000"/>
          <w:lang w:eastAsia="hu-HU"/>
        </w:rPr>
        <w:t xml:space="preserve"> magyar nyelven kell feltüntetni. A kötelezően feltüntetendő valamennyi adatot egyértelműen el kell különíteni a csomagolóeszközön, a címkén és a kísérő okmányon feltüntetett minden egyéb információtól.</w:t>
      </w:r>
      <w:r w:rsidRPr="00465B2A">
        <w:t xml:space="preserve"> A felt</w:t>
      </w:r>
      <w:r w:rsidR="00914B67">
        <w:t>ü</w:t>
      </w:r>
      <w:r w:rsidRPr="00465B2A">
        <w:t>ntetett információk nem utalhatnak az engedélytől eltérő tulajdonságokra.</w:t>
      </w:r>
    </w:p>
    <w:p w:rsidR="00276671" w:rsidRPr="00465B2A" w:rsidRDefault="00276671" w:rsidP="00186CC1">
      <w:pPr>
        <w:spacing w:after="0" w:line="240" w:lineRule="auto"/>
        <w:jc w:val="both"/>
      </w:pPr>
    </w:p>
    <w:p w:rsidR="00276671" w:rsidRPr="00465B2A" w:rsidRDefault="00276671" w:rsidP="00186CC1">
      <w:pPr>
        <w:spacing w:after="0" w:line="240" w:lineRule="auto"/>
        <w:jc w:val="both"/>
      </w:pPr>
      <w:r w:rsidRPr="00465B2A">
        <w:t xml:space="preserve">(5) A csomagolóeszközön, a címkén és a kísérőokmányon feltüntetett kötelező információknak a forgalmazás és anyagmozgatás során mindvégig jól olvashatónak kell maradniuk, ennek érdekében azokat nem vízoldható és sérüléseknek ellenálló kivitelben kell feltüntetni.  </w:t>
      </w:r>
    </w:p>
    <w:p w:rsidR="00276671" w:rsidRPr="00465B2A" w:rsidRDefault="00276671" w:rsidP="00186CC1">
      <w:pPr>
        <w:spacing w:after="0" w:line="240" w:lineRule="auto"/>
        <w:jc w:val="both"/>
      </w:pPr>
    </w:p>
    <w:p w:rsidR="00276671" w:rsidRPr="00465B2A" w:rsidRDefault="00276671" w:rsidP="00186CC1">
      <w:pPr>
        <w:spacing w:after="0" w:line="240" w:lineRule="auto"/>
        <w:jc w:val="both"/>
      </w:pPr>
      <w:r w:rsidRPr="00465B2A">
        <w:t xml:space="preserve">(6) Az engedélyezett termésnövelő anyag egy azonos gyártási időszakból, azonos beszerzésű alapanyag-tételek felhasználásával keletkező tételét a </w:t>
      </w:r>
      <w:proofErr w:type="spellStart"/>
      <w:r w:rsidRPr="00465B2A">
        <w:t>nyomonkövethetőség</w:t>
      </w:r>
      <w:proofErr w:type="spellEnd"/>
      <w:r w:rsidRPr="00465B2A">
        <w:t xml:space="preserve"> biztosítása érdekében gyártási számmal, vagy egyéb azonosításra alkalmas egyedi jelöléssel kell ellátni.</w:t>
      </w:r>
    </w:p>
    <w:p w:rsidR="00276671" w:rsidRPr="00465B2A" w:rsidRDefault="00276671" w:rsidP="00186CC1">
      <w:pPr>
        <w:spacing w:after="0" w:line="240" w:lineRule="auto"/>
        <w:jc w:val="both"/>
      </w:pPr>
    </w:p>
    <w:p w:rsidR="00276671" w:rsidRPr="00465B2A" w:rsidRDefault="00276671" w:rsidP="00186CC1">
      <w:pPr>
        <w:spacing w:after="0" w:line="240" w:lineRule="auto"/>
        <w:jc w:val="both"/>
      </w:pPr>
      <w:r w:rsidRPr="00465B2A">
        <w:t xml:space="preserve">(7) Termesztő közegek, komposztok, szerves trágyák gilisztahumusz és szerves talajjavító anyagok esetében a zsák előlapján a kereskedelmi név alatt, a kereskedelmi név betűméretének legalább 40 %-ával kell feltüntetni a készítmény szerves anyag tartalmát, a pH-t és a hatóanyag-tartalmat. </w:t>
      </w:r>
    </w:p>
    <w:p w:rsidR="00276671" w:rsidRPr="00465B2A" w:rsidRDefault="00276671" w:rsidP="00186CC1">
      <w:pPr>
        <w:spacing w:after="0" w:line="240" w:lineRule="auto"/>
        <w:jc w:val="both"/>
      </w:pPr>
    </w:p>
    <w:p w:rsidR="00276671" w:rsidRPr="00465B2A" w:rsidRDefault="00276671" w:rsidP="00186CC1">
      <w:pPr>
        <w:spacing w:after="0" w:line="240" w:lineRule="auto"/>
        <w:jc w:val="both"/>
      </w:pPr>
      <w:r w:rsidRPr="00465B2A">
        <w:t xml:space="preserve">(8) A címkén feltüntetett kötelező információk legkisebb betűméretét a kiszereléstől függően a 4. </w:t>
      </w:r>
      <w:r w:rsidR="00914B67">
        <w:t xml:space="preserve">számú </w:t>
      </w:r>
      <w:r w:rsidRPr="00465B2A">
        <w:t xml:space="preserve">melléklet tartalmazza. </w:t>
      </w:r>
    </w:p>
    <w:p w:rsidR="00276671" w:rsidRPr="00465B2A" w:rsidRDefault="00276671" w:rsidP="00186CC1">
      <w:pPr>
        <w:spacing w:after="0" w:line="240" w:lineRule="auto"/>
        <w:jc w:val="both"/>
      </w:pPr>
    </w:p>
    <w:p w:rsidR="00276671" w:rsidRPr="00465B2A" w:rsidRDefault="00276671" w:rsidP="00186CC1">
      <w:pPr>
        <w:spacing w:after="0" w:line="240" w:lineRule="auto"/>
        <w:jc w:val="both"/>
      </w:pPr>
      <w:r w:rsidRPr="00465B2A">
        <w:t>(9) Az engedélyezett termésnövelő anyag csomagolóeszközén és kísérőokmányán feltűntetett adatokat tilos átcímkézni, felülcímkézni, kivéve a hatóság kötelezése vagy jogszabályi előírásnak való megfelelés esetén.”</w:t>
      </w:r>
    </w:p>
    <w:p w:rsidR="00885C58" w:rsidRPr="00465B2A" w:rsidRDefault="00885C58" w:rsidP="00276671">
      <w:pPr>
        <w:autoSpaceDE w:val="0"/>
        <w:autoSpaceDN w:val="0"/>
        <w:adjustRightInd w:val="0"/>
        <w:spacing w:after="0" w:line="240" w:lineRule="auto"/>
        <w:jc w:val="both"/>
        <w:rPr>
          <w:rFonts w:cs="Times New Roman"/>
        </w:rPr>
      </w:pPr>
    </w:p>
    <w:p w:rsidR="00774110" w:rsidRPr="00465B2A" w:rsidRDefault="00774110" w:rsidP="00FB66D0">
      <w:pPr>
        <w:autoSpaceDE w:val="0"/>
        <w:autoSpaceDN w:val="0"/>
        <w:adjustRightInd w:val="0"/>
        <w:spacing w:after="0" w:line="240" w:lineRule="auto"/>
        <w:jc w:val="center"/>
        <w:rPr>
          <w:rFonts w:cs="Times New Roman"/>
          <w:b/>
        </w:rPr>
      </w:pPr>
      <w:r w:rsidRPr="00465B2A">
        <w:rPr>
          <w:rFonts w:cs="Times New Roman"/>
          <w:b/>
        </w:rPr>
        <w:t>10. §</w:t>
      </w:r>
    </w:p>
    <w:p w:rsidR="00774110" w:rsidRPr="00465B2A" w:rsidRDefault="00774110" w:rsidP="007A42E4">
      <w:pPr>
        <w:autoSpaceDE w:val="0"/>
        <w:autoSpaceDN w:val="0"/>
        <w:adjustRightInd w:val="0"/>
        <w:spacing w:after="0" w:line="240" w:lineRule="auto"/>
        <w:jc w:val="both"/>
        <w:rPr>
          <w:rFonts w:cs="Times New Roman"/>
        </w:rPr>
      </w:pPr>
    </w:p>
    <w:p w:rsidR="00FB66D0" w:rsidRPr="00465B2A" w:rsidRDefault="00FB66D0" w:rsidP="007A42E4">
      <w:pPr>
        <w:autoSpaceDE w:val="0"/>
        <w:autoSpaceDN w:val="0"/>
        <w:adjustRightInd w:val="0"/>
        <w:spacing w:after="0" w:line="240" w:lineRule="auto"/>
        <w:jc w:val="both"/>
        <w:rPr>
          <w:rFonts w:cs="Times New Roman"/>
        </w:rPr>
      </w:pPr>
      <w:r w:rsidRPr="00465B2A">
        <w:rPr>
          <w:rFonts w:cs="Times New Roman"/>
        </w:rPr>
        <w:t>Az R. 12. § (1) bekezdése helyébe a következő rendelkezés lép, egyidejűleg a következő (1a) és (1b) bekezdéssel egészül ki:</w:t>
      </w:r>
    </w:p>
    <w:p w:rsidR="00FB66D0" w:rsidRPr="00465B2A" w:rsidRDefault="00FB66D0" w:rsidP="007A42E4">
      <w:pPr>
        <w:autoSpaceDE w:val="0"/>
        <w:autoSpaceDN w:val="0"/>
        <w:adjustRightInd w:val="0"/>
        <w:spacing w:after="0" w:line="240" w:lineRule="auto"/>
        <w:jc w:val="both"/>
        <w:rPr>
          <w:rFonts w:cs="Times New Roman"/>
        </w:rPr>
      </w:pPr>
    </w:p>
    <w:p w:rsidR="00FB66D0" w:rsidRPr="00465B2A" w:rsidRDefault="00FB66D0" w:rsidP="00FB66D0">
      <w:pPr>
        <w:spacing w:after="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 xml:space="preserve">(1) A termésnövelő anyagot az engedélyben megjelölt kereskedelmi névvel kell forgalomba hozni. </w:t>
      </w:r>
    </w:p>
    <w:p w:rsidR="00FB66D0" w:rsidRPr="00465B2A" w:rsidRDefault="00FB66D0" w:rsidP="00FB66D0">
      <w:pPr>
        <w:spacing w:after="0" w:line="240" w:lineRule="auto"/>
        <w:ind w:firstLine="180"/>
        <w:jc w:val="both"/>
        <w:rPr>
          <w:rFonts w:eastAsia="Times New Roman"/>
          <w:color w:val="000000"/>
          <w:lang w:eastAsia="hu-HU"/>
        </w:rPr>
      </w:pPr>
    </w:p>
    <w:p w:rsidR="00FB66D0" w:rsidRPr="00465B2A" w:rsidRDefault="00FB66D0" w:rsidP="00186CC1">
      <w:pPr>
        <w:spacing w:after="0" w:line="240" w:lineRule="auto"/>
        <w:jc w:val="both"/>
      </w:pPr>
      <w:r w:rsidRPr="00465B2A">
        <w:t>(1a) Amennyiben a terméket más márkanévvel vagy kereskedelmi névvel hozzák forgalomba, a címkén a márkanév vagy kereskedelmi név betűméretének legalább 40 %-ával kell feltüntetni a referencia termék nevét. A címkén vagy a kísérőokmányon változatlanul fel kell tüntetni az engedélyben előírt valamennyi adatot.</w:t>
      </w:r>
    </w:p>
    <w:p w:rsidR="00FB66D0" w:rsidRPr="00465B2A" w:rsidRDefault="00FB66D0" w:rsidP="00FB66D0">
      <w:pPr>
        <w:autoSpaceDE w:val="0"/>
        <w:autoSpaceDN w:val="0"/>
        <w:adjustRightInd w:val="0"/>
        <w:spacing w:after="0" w:line="240" w:lineRule="auto"/>
        <w:jc w:val="both"/>
      </w:pPr>
    </w:p>
    <w:p w:rsidR="00FB66D0" w:rsidRPr="00465B2A" w:rsidRDefault="00FB66D0" w:rsidP="00FB66D0">
      <w:pPr>
        <w:autoSpaceDE w:val="0"/>
        <w:autoSpaceDN w:val="0"/>
        <w:adjustRightInd w:val="0"/>
        <w:spacing w:after="0" w:line="240" w:lineRule="auto"/>
        <w:jc w:val="both"/>
        <w:rPr>
          <w:rFonts w:cs="Times New Roman"/>
        </w:rPr>
      </w:pPr>
      <w:r w:rsidRPr="00465B2A">
        <w:t>(1b) A termék reklámozása vagy kiadványokban történő szerepeltetése esetén a referencia termék nevét fel kell tüntetni.”</w:t>
      </w:r>
    </w:p>
    <w:p w:rsidR="00FB66D0" w:rsidRPr="00465B2A" w:rsidRDefault="00FB66D0" w:rsidP="007A42E4">
      <w:pPr>
        <w:autoSpaceDE w:val="0"/>
        <w:autoSpaceDN w:val="0"/>
        <w:adjustRightInd w:val="0"/>
        <w:spacing w:after="0" w:line="240" w:lineRule="auto"/>
        <w:jc w:val="both"/>
        <w:rPr>
          <w:rFonts w:cs="Times New Roman"/>
        </w:rPr>
      </w:pPr>
    </w:p>
    <w:p w:rsidR="00FB66D0" w:rsidRPr="00465B2A" w:rsidRDefault="00FB66D0" w:rsidP="005561A7">
      <w:pPr>
        <w:autoSpaceDE w:val="0"/>
        <w:autoSpaceDN w:val="0"/>
        <w:adjustRightInd w:val="0"/>
        <w:spacing w:after="0" w:line="240" w:lineRule="auto"/>
        <w:jc w:val="center"/>
        <w:rPr>
          <w:rFonts w:cs="Times New Roman"/>
          <w:b/>
        </w:rPr>
      </w:pPr>
      <w:r w:rsidRPr="00465B2A">
        <w:rPr>
          <w:rFonts w:cs="Times New Roman"/>
          <w:b/>
        </w:rPr>
        <w:t>11. §</w:t>
      </w:r>
    </w:p>
    <w:p w:rsidR="002A4B5C" w:rsidRPr="00465B2A" w:rsidRDefault="002A4B5C" w:rsidP="007A42E4">
      <w:pPr>
        <w:autoSpaceDE w:val="0"/>
        <w:autoSpaceDN w:val="0"/>
        <w:adjustRightInd w:val="0"/>
        <w:spacing w:after="0" w:line="240" w:lineRule="auto"/>
        <w:jc w:val="both"/>
        <w:rPr>
          <w:rFonts w:cs="Times New Roman"/>
        </w:rPr>
      </w:pPr>
    </w:p>
    <w:p w:rsidR="005561A7" w:rsidRPr="00465B2A" w:rsidRDefault="00D146FB" w:rsidP="007A42E4">
      <w:pPr>
        <w:autoSpaceDE w:val="0"/>
        <w:autoSpaceDN w:val="0"/>
        <w:adjustRightInd w:val="0"/>
        <w:spacing w:after="0" w:line="240" w:lineRule="auto"/>
        <w:jc w:val="both"/>
        <w:rPr>
          <w:rFonts w:cs="Times New Roman"/>
        </w:rPr>
      </w:pPr>
      <w:r w:rsidRPr="00465B2A">
        <w:rPr>
          <w:rFonts w:cs="Times New Roman"/>
        </w:rPr>
        <w:t xml:space="preserve">(1) </w:t>
      </w:r>
      <w:r w:rsidR="005561A7" w:rsidRPr="00465B2A">
        <w:rPr>
          <w:rFonts w:cs="Times New Roman"/>
        </w:rPr>
        <w:t>Az R. 13. § (1) és (2) bekezdése helyébe a következő rendelkezések lépnek:</w:t>
      </w:r>
    </w:p>
    <w:p w:rsidR="005561A7" w:rsidRPr="00465B2A" w:rsidRDefault="005561A7" w:rsidP="007A42E4">
      <w:pPr>
        <w:autoSpaceDE w:val="0"/>
        <w:autoSpaceDN w:val="0"/>
        <w:adjustRightInd w:val="0"/>
        <w:spacing w:after="0" w:line="240" w:lineRule="auto"/>
        <w:jc w:val="both"/>
        <w:rPr>
          <w:rFonts w:cs="Times New Roman"/>
        </w:rPr>
      </w:pPr>
    </w:p>
    <w:p w:rsidR="005561A7" w:rsidRPr="00465B2A" w:rsidRDefault="005561A7" w:rsidP="005561A7">
      <w:pPr>
        <w:spacing w:after="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(1)</w:t>
      </w:r>
      <w:r w:rsidRPr="00465B2A">
        <w:t xml:space="preserve"> A megyei kormányhivatal növény- és talajvédelmi igazgatósága (a továbbiakban: </w:t>
      </w:r>
      <w:r w:rsidRPr="00465B2A">
        <w:rPr>
          <w:rFonts w:eastAsia="Times New Roman"/>
          <w:color w:val="000000"/>
          <w:lang w:eastAsia="hu-HU"/>
        </w:rPr>
        <w:t>növény- és talajvédelmi igazgatóság) a termésnövelő anyaggal folytatott tevékenységek során vizsgálja különösen</w:t>
      </w:r>
    </w:p>
    <w:p w:rsidR="005561A7" w:rsidRPr="00465B2A" w:rsidRDefault="005561A7" w:rsidP="005561A7">
      <w:pPr>
        <w:spacing w:after="0" w:line="240" w:lineRule="auto"/>
        <w:jc w:val="both"/>
        <w:rPr>
          <w:rFonts w:eastAsia="Times New Roman"/>
          <w:i/>
          <w:iCs/>
          <w:color w:val="000000"/>
          <w:lang w:eastAsia="hu-HU"/>
        </w:rPr>
      </w:pP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i/>
          <w:iCs/>
          <w:color w:val="000000"/>
          <w:lang w:eastAsia="hu-HU"/>
        </w:rPr>
        <w:t>a)</w:t>
      </w:r>
      <w:r w:rsidRPr="00465B2A">
        <w:rPr>
          <w:rFonts w:eastAsia="Times New Roman"/>
          <w:color w:val="000000"/>
          <w:lang w:eastAsia="hu-HU"/>
        </w:rPr>
        <w:t> </w:t>
      </w:r>
      <w:proofErr w:type="spellStart"/>
      <w:r w:rsidRPr="00465B2A">
        <w:rPr>
          <w:rFonts w:eastAsia="Times New Roman"/>
          <w:color w:val="000000"/>
          <w:lang w:eastAsia="hu-HU"/>
        </w:rPr>
        <w:t>a</w:t>
      </w:r>
      <w:proofErr w:type="spellEnd"/>
      <w:r w:rsidRPr="00465B2A">
        <w:rPr>
          <w:rFonts w:eastAsia="Times New Roman"/>
          <w:color w:val="000000"/>
          <w:lang w:eastAsia="hu-HU"/>
        </w:rPr>
        <w:t xml:space="preserve"> forgalmazott készítmény engedélyének meglétét, és az engedélyben foglalt előírások betartását,</w:t>
      </w: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i/>
          <w:iCs/>
          <w:color w:val="000000"/>
          <w:lang w:eastAsia="hu-HU"/>
        </w:rPr>
        <w:t>b)</w:t>
      </w:r>
      <w:r w:rsidRPr="00465B2A">
        <w:rPr>
          <w:rFonts w:eastAsia="Times New Roman"/>
          <w:color w:val="000000"/>
          <w:lang w:eastAsia="hu-HU"/>
        </w:rPr>
        <w:t> a 4. számú mellékletben és az engedélyben előírtak feltüntetését a címkén, illetve a kísérőokmányokon,</w:t>
      </w: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i/>
          <w:iCs/>
          <w:color w:val="000000"/>
          <w:lang w:eastAsia="hu-HU"/>
        </w:rPr>
        <w:t>c)</w:t>
      </w:r>
      <w:r w:rsidRPr="00465B2A">
        <w:rPr>
          <w:rFonts w:eastAsia="Times New Roman"/>
          <w:color w:val="000000"/>
          <w:lang w:eastAsia="hu-HU"/>
        </w:rPr>
        <w:t xml:space="preserve"> a helyszínen megállapítható minőségi kifogásokat (küllem, </w:t>
      </w:r>
      <w:r w:rsidRPr="00465B2A">
        <w:t>csomagolásra vonatkozó előírások,</w:t>
      </w:r>
      <w:r w:rsidRPr="00465B2A">
        <w:rPr>
          <w:rFonts w:eastAsia="Times New Roman"/>
          <w:color w:val="000000"/>
          <w:lang w:eastAsia="hu-HU"/>
        </w:rPr>
        <w:t xml:space="preserve"> tárolási körülmények),</w:t>
      </w: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i/>
          <w:iCs/>
          <w:color w:val="000000"/>
          <w:lang w:eastAsia="hu-HU"/>
        </w:rPr>
        <w:t>d)</w:t>
      </w:r>
      <w:r w:rsidRPr="00465B2A">
        <w:rPr>
          <w:rFonts w:eastAsia="Times New Roman"/>
          <w:color w:val="000000"/>
          <w:lang w:eastAsia="hu-HU"/>
        </w:rPr>
        <w:t> a gyártási és eltarthatósági időt,</w:t>
      </w:r>
    </w:p>
    <w:p w:rsidR="005561A7" w:rsidRPr="00465B2A" w:rsidRDefault="005561A7" w:rsidP="005561A7">
      <w:pPr>
        <w:spacing w:after="0"/>
        <w:jc w:val="both"/>
      </w:pPr>
      <w:r w:rsidRPr="00497BDA">
        <w:rPr>
          <w:i/>
        </w:rPr>
        <w:t>e)</w:t>
      </w:r>
      <w:r w:rsidRPr="00497BDA">
        <w:t xml:space="preserve"> hulladék feldolgozása esetén a hulladékkezelési engedély, állati eredetű melléktermékek feldolgozása esetén a</w:t>
      </w:r>
      <w:r w:rsidR="00A7417A" w:rsidRPr="00497BDA">
        <w:t xml:space="preserve"> fővárosi és megyei kormányhivatal élelmiszerlánc-biztonsági és állategészségügyi igazgatósága</w:t>
      </w:r>
      <w:r w:rsidRPr="00497BDA">
        <w:t xml:space="preserve"> engedélyének, telepengedélynek a meglétét,</w:t>
      </w:r>
      <w:r w:rsidRPr="00465B2A">
        <w:t xml:space="preserve"> </w:t>
      </w:r>
    </w:p>
    <w:p w:rsidR="005561A7" w:rsidRPr="00465B2A" w:rsidRDefault="005561A7" w:rsidP="005561A7">
      <w:pPr>
        <w:spacing w:after="0" w:line="240" w:lineRule="auto"/>
        <w:jc w:val="both"/>
      </w:pPr>
      <w:r w:rsidRPr="00465B2A">
        <w:rPr>
          <w:i/>
        </w:rPr>
        <w:t>f)</w:t>
      </w:r>
      <w:r w:rsidRPr="00465B2A">
        <w:t xml:space="preserve"> a termékállandóság biztosítására tett intézkedéseket, különösen a gyártási folyamat átláthatóságát, és a gyártási folyamathoz szükséges berendezések, alapanyagok, valamint az alapanyagok és a kész termékek elkülönült tárolására alkalmas tárolóterek rendelkezésre állását.</w:t>
      </w:r>
    </w:p>
    <w:p w:rsidR="005561A7" w:rsidRPr="00465B2A" w:rsidRDefault="005561A7" w:rsidP="005561A7">
      <w:pPr>
        <w:spacing w:after="0" w:line="240" w:lineRule="auto"/>
        <w:jc w:val="both"/>
        <w:rPr>
          <w:rFonts w:eastAsia="Times New Roman"/>
          <w:color w:val="000000"/>
          <w:lang w:eastAsia="hu-HU"/>
        </w:rPr>
      </w:pP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color w:val="000000"/>
          <w:lang w:eastAsia="hu-HU"/>
        </w:rPr>
        <w:t>(2) Az ellenőrzés során a növény- és talajvédelmi igazgatóság a készítmény adott tételére forgalomba hozatali, felhasználási tilalmat rendelhet el, ha a termésnövelő anyag</w:t>
      </w:r>
    </w:p>
    <w:p w:rsidR="005561A7" w:rsidRPr="00465B2A" w:rsidRDefault="005561A7" w:rsidP="005561A7">
      <w:pPr>
        <w:spacing w:after="0" w:line="240" w:lineRule="auto"/>
        <w:jc w:val="both"/>
        <w:rPr>
          <w:rFonts w:eastAsia="Times New Roman"/>
          <w:i/>
          <w:iCs/>
          <w:color w:val="000000"/>
          <w:lang w:eastAsia="hu-HU"/>
        </w:rPr>
      </w:pPr>
    </w:p>
    <w:p w:rsidR="005561A7" w:rsidRPr="00465B2A" w:rsidRDefault="005561A7" w:rsidP="005561A7">
      <w:pPr>
        <w:spacing w:after="0"/>
        <w:jc w:val="both"/>
      </w:pPr>
      <w:r w:rsidRPr="00465B2A">
        <w:rPr>
          <w:rFonts w:eastAsia="Times New Roman"/>
          <w:i/>
          <w:iCs/>
          <w:color w:val="000000"/>
          <w:lang w:eastAsia="hu-HU"/>
        </w:rPr>
        <w:t>a)</w:t>
      </w:r>
      <w:r w:rsidRPr="00465B2A">
        <w:rPr>
          <w:rFonts w:eastAsia="Times New Roman"/>
          <w:color w:val="000000"/>
          <w:lang w:eastAsia="hu-HU"/>
        </w:rPr>
        <w:t> az engedélytől eltér, vagy nem rendelkezik engedéllyel,</w:t>
      </w:r>
      <w:r w:rsidRPr="00465B2A">
        <w:t xml:space="preserve"> különösen, ha</w:t>
      </w:r>
    </w:p>
    <w:p w:rsidR="005561A7" w:rsidRPr="00465B2A" w:rsidRDefault="005561A7" w:rsidP="005561A7">
      <w:pPr>
        <w:spacing w:after="0"/>
        <w:jc w:val="both"/>
      </w:pPr>
      <w:proofErr w:type="spellStart"/>
      <w:r w:rsidRPr="00465B2A">
        <w:rPr>
          <w:i/>
        </w:rPr>
        <w:t>aa</w:t>
      </w:r>
      <w:proofErr w:type="spellEnd"/>
      <w:r w:rsidRPr="00465B2A">
        <w:rPr>
          <w:i/>
        </w:rPr>
        <w:t>)</w:t>
      </w:r>
      <w:r w:rsidRPr="00465B2A">
        <w:t xml:space="preserve"> az engedélyes gyártó nevét, vagy a termék nevét jogosulatlanul tüntették fel</w:t>
      </w:r>
      <w:r w:rsidR="00D146FB" w:rsidRPr="00465B2A">
        <w:t>,</w:t>
      </w:r>
      <w:r w:rsidRPr="00465B2A">
        <w:t xml:space="preserve"> vagy</w:t>
      </w:r>
    </w:p>
    <w:p w:rsidR="005561A7" w:rsidRPr="00465B2A" w:rsidRDefault="005561A7" w:rsidP="005561A7">
      <w:pPr>
        <w:spacing w:after="0"/>
        <w:jc w:val="both"/>
        <w:rPr>
          <w:rFonts w:eastAsia="Times New Roman"/>
          <w:i/>
          <w:iCs/>
          <w:color w:val="000000"/>
          <w:lang w:eastAsia="hu-HU"/>
        </w:rPr>
      </w:pPr>
      <w:r w:rsidRPr="00465B2A">
        <w:rPr>
          <w:i/>
        </w:rPr>
        <w:t>ab)</w:t>
      </w:r>
      <w:r w:rsidRPr="00465B2A">
        <w:t xml:space="preserve"> az engedélyre jogosultatlanul hivatkoztak,</w:t>
      </w:r>
    </w:p>
    <w:p w:rsidR="005561A7" w:rsidRPr="00465B2A" w:rsidRDefault="005561A7" w:rsidP="005561A7">
      <w:pPr>
        <w:spacing w:after="0"/>
        <w:jc w:val="both"/>
      </w:pPr>
      <w:r w:rsidRPr="00465B2A">
        <w:rPr>
          <w:rFonts w:eastAsia="Times New Roman"/>
          <w:i/>
          <w:iCs/>
          <w:color w:val="000000"/>
          <w:lang w:eastAsia="hu-HU"/>
        </w:rPr>
        <w:t>b)</w:t>
      </w:r>
      <w:r w:rsidRPr="00465B2A">
        <w:rPr>
          <w:rFonts w:eastAsia="Times New Roman"/>
          <w:color w:val="000000"/>
          <w:lang w:eastAsia="hu-HU"/>
        </w:rPr>
        <w:t> jelölése hiányos vagy a vonatkozó előírásoknak nem felel meg,</w:t>
      </w:r>
      <w:r w:rsidRPr="00465B2A">
        <w:t xml:space="preserve"> különösen</w:t>
      </w:r>
    </w:p>
    <w:p w:rsidR="005561A7" w:rsidRPr="00465B2A" w:rsidRDefault="005561A7" w:rsidP="005561A7">
      <w:pPr>
        <w:spacing w:after="0"/>
        <w:jc w:val="both"/>
      </w:pPr>
      <w:proofErr w:type="spellStart"/>
      <w:r w:rsidRPr="00465B2A">
        <w:rPr>
          <w:i/>
        </w:rPr>
        <w:t>ba</w:t>
      </w:r>
      <w:proofErr w:type="spellEnd"/>
      <w:r w:rsidRPr="00465B2A">
        <w:rPr>
          <w:i/>
        </w:rPr>
        <w:t>)</w:t>
      </w:r>
      <w:r w:rsidRPr="00465B2A">
        <w:t xml:space="preserve"> csomagolóanyag</w:t>
      </w:r>
      <w:r w:rsidR="00D571FD">
        <w:t>-</w:t>
      </w:r>
      <w:r w:rsidRPr="00465B2A">
        <w:t>utánzás esetén</w:t>
      </w:r>
      <w:r w:rsidR="00D146FB" w:rsidRPr="00465B2A">
        <w:t>,</w:t>
      </w:r>
      <w:r w:rsidRPr="00465B2A">
        <w:t xml:space="preserve"> vagy </w:t>
      </w:r>
    </w:p>
    <w:p w:rsidR="00D571FD" w:rsidRDefault="00D571FD" w:rsidP="005561A7">
      <w:pPr>
        <w:spacing w:after="0"/>
        <w:jc w:val="both"/>
      </w:pPr>
      <w:proofErr w:type="spellStart"/>
      <w:r w:rsidRPr="00465B2A">
        <w:rPr>
          <w:i/>
        </w:rPr>
        <w:t>b</w:t>
      </w:r>
      <w:r>
        <w:rPr>
          <w:i/>
        </w:rPr>
        <w:t>b</w:t>
      </w:r>
      <w:proofErr w:type="spellEnd"/>
      <w:r w:rsidR="005561A7" w:rsidRPr="00465B2A">
        <w:rPr>
          <w:i/>
        </w:rPr>
        <w:t>)</w:t>
      </w:r>
      <w:r w:rsidR="005561A7" w:rsidRPr="00465B2A">
        <w:t xml:space="preserve"> </w:t>
      </w:r>
      <w:proofErr w:type="spellStart"/>
      <w:r w:rsidR="005561A7" w:rsidRPr="00465B2A">
        <w:t>nyomonkövethetőségre</w:t>
      </w:r>
      <w:proofErr w:type="spellEnd"/>
      <w:r w:rsidR="005561A7" w:rsidRPr="00465B2A">
        <w:t xml:space="preserve"> vonatkozó jelölés hiánya esetén,</w:t>
      </w:r>
      <w:r w:rsidRPr="00D571FD">
        <w:t xml:space="preserve"> </w:t>
      </w:r>
      <w:r>
        <w:t>vagy</w:t>
      </w:r>
    </w:p>
    <w:p w:rsidR="005561A7" w:rsidRPr="00465B2A" w:rsidRDefault="00D571FD" w:rsidP="005561A7">
      <w:pPr>
        <w:spacing w:after="0"/>
        <w:jc w:val="both"/>
      </w:pPr>
      <w:proofErr w:type="spellStart"/>
      <w:r w:rsidRPr="00B55E36">
        <w:rPr>
          <w:i/>
        </w:rPr>
        <w:t>bc</w:t>
      </w:r>
      <w:proofErr w:type="spellEnd"/>
      <w:r w:rsidRPr="00B55E36">
        <w:rPr>
          <w:i/>
        </w:rPr>
        <w:t>)</w:t>
      </w:r>
      <w:r>
        <w:t xml:space="preserve"> </w:t>
      </w:r>
      <w:r w:rsidRPr="00465B2A">
        <w:t>ha valótlan, megtévesztő adatokat tartalmaz a címke</w:t>
      </w:r>
      <w:r>
        <w:t>,</w:t>
      </w:r>
    </w:p>
    <w:p w:rsidR="005561A7" w:rsidRPr="00465B2A" w:rsidRDefault="005561A7" w:rsidP="005561A7">
      <w:pPr>
        <w:spacing w:after="0"/>
        <w:jc w:val="both"/>
      </w:pPr>
      <w:r w:rsidRPr="00465B2A">
        <w:rPr>
          <w:rFonts w:eastAsia="Times New Roman"/>
          <w:i/>
          <w:iCs/>
          <w:color w:val="000000"/>
          <w:lang w:eastAsia="hu-HU"/>
        </w:rPr>
        <w:t>c)</w:t>
      </w:r>
      <w:r w:rsidRPr="00465B2A">
        <w:rPr>
          <w:rFonts w:eastAsia="Times New Roman"/>
          <w:color w:val="000000"/>
          <w:lang w:eastAsia="hu-HU"/>
        </w:rPr>
        <w:t> küllemi, csomagolástechnikai, tárolási szempontból minőségi kifogás alá esik,</w:t>
      </w:r>
      <w:r w:rsidRPr="00465B2A">
        <w:t xml:space="preserve"> különösen, ha az</w:t>
      </w:r>
    </w:p>
    <w:p w:rsidR="005561A7" w:rsidRPr="00465B2A" w:rsidRDefault="005561A7" w:rsidP="005561A7">
      <w:pPr>
        <w:spacing w:after="0"/>
        <w:jc w:val="both"/>
      </w:pPr>
      <w:proofErr w:type="spellStart"/>
      <w:r w:rsidRPr="00465B2A">
        <w:rPr>
          <w:i/>
        </w:rPr>
        <w:t>ca</w:t>
      </w:r>
      <w:proofErr w:type="spellEnd"/>
      <w:r w:rsidRPr="00465B2A">
        <w:rPr>
          <w:i/>
        </w:rPr>
        <w:t>)</w:t>
      </w:r>
      <w:r w:rsidRPr="00465B2A">
        <w:t xml:space="preserve"> jogosulatlan gyártási tevékenységből származik</w:t>
      </w:r>
      <w:r w:rsidR="00D146FB" w:rsidRPr="00465B2A">
        <w:t>,</w:t>
      </w:r>
      <w:r w:rsidRPr="00465B2A">
        <w:t xml:space="preserve"> vagy</w:t>
      </w:r>
    </w:p>
    <w:p w:rsidR="005561A7" w:rsidRPr="00465B2A" w:rsidRDefault="005561A7" w:rsidP="005561A7">
      <w:pPr>
        <w:spacing w:after="0" w:line="240" w:lineRule="auto"/>
        <w:jc w:val="both"/>
        <w:rPr>
          <w:rFonts w:eastAsia="Times New Roman"/>
          <w:i/>
          <w:iCs/>
          <w:color w:val="000000"/>
          <w:lang w:eastAsia="hu-HU"/>
        </w:rPr>
      </w:pPr>
      <w:proofErr w:type="spellStart"/>
      <w:r w:rsidRPr="00465B2A">
        <w:rPr>
          <w:i/>
        </w:rPr>
        <w:t>cb</w:t>
      </w:r>
      <w:proofErr w:type="spellEnd"/>
      <w:r w:rsidRPr="00465B2A">
        <w:rPr>
          <w:i/>
        </w:rPr>
        <w:t>)</w:t>
      </w:r>
      <w:r w:rsidRPr="00465B2A">
        <w:t xml:space="preserve"> átcímkézett, felülcímkézett, kivéve a hatóság erre vonatkozó kötelezése esetén</w:t>
      </w:r>
      <w:r w:rsidR="00D146FB" w:rsidRPr="00465B2A">
        <w:t>,</w:t>
      </w:r>
      <w:r w:rsidRPr="00465B2A">
        <w:t xml:space="preserve"> vagy</w:t>
      </w:r>
    </w:p>
    <w:p w:rsidR="005561A7" w:rsidRPr="00465B2A" w:rsidRDefault="005561A7" w:rsidP="005561A7">
      <w:pPr>
        <w:spacing w:after="0" w:line="240" w:lineRule="auto"/>
        <w:jc w:val="both"/>
        <w:rPr>
          <w:rFonts w:eastAsia="Times New Roman"/>
          <w:color w:val="000000"/>
          <w:lang w:eastAsia="hu-HU"/>
        </w:rPr>
      </w:pPr>
      <w:r w:rsidRPr="00465B2A">
        <w:rPr>
          <w:rFonts w:eastAsia="Times New Roman"/>
          <w:i/>
          <w:iCs/>
          <w:color w:val="000000"/>
          <w:lang w:eastAsia="hu-HU"/>
        </w:rPr>
        <w:t>d)</w:t>
      </w:r>
      <w:r w:rsidRPr="00465B2A">
        <w:rPr>
          <w:rFonts w:eastAsia="Times New Roman"/>
          <w:color w:val="000000"/>
          <w:lang w:eastAsia="hu-HU"/>
        </w:rPr>
        <w:t> lejárt szavatossági idejű.”</w:t>
      </w:r>
    </w:p>
    <w:p w:rsidR="005561A7" w:rsidRPr="00465B2A" w:rsidRDefault="005561A7" w:rsidP="007A42E4">
      <w:pPr>
        <w:autoSpaceDE w:val="0"/>
        <w:autoSpaceDN w:val="0"/>
        <w:adjustRightInd w:val="0"/>
        <w:spacing w:after="0" w:line="240" w:lineRule="auto"/>
        <w:jc w:val="both"/>
        <w:rPr>
          <w:rFonts w:cs="Times New Roman"/>
        </w:rPr>
      </w:pPr>
    </w:p>
    <w:p w:rsidR="00D146FB" w:rsidRPr="00465B2A" w:rsidRDefault="00D146FB" w:rsidP="007A42E4">
      <w:pPr>
        <w:autoSpaceDE w:val="0"/>
        <w:autoSpaceDN w:val="0"/>
        <w:adjustRightInd w:val="0"/>
        <w:spacing w:after="0" w:line="240" w:lineRule="auto"/>
        <w:jc w:val="both"/>
        <w:rPr>
          <w:rFonts w:cs="Times New Roman"/>
        </w:rPr>
      </w:pPr>
      <w:r w:rsidRPr="00465B2A">
        <w:rPr>
          <w:rFonts w:cs="Times New Roman"/>
        </w:rPr>
        <w:t>(2) Az R. 13. § (4) és (5) bekezdése helyébe a következő rendelkezések lépnek, egyidejűleg a következő (5a) és (5b) bekezdéssel egészül ki:</w:t>
      </w:r>
    </w:p>
    <w:p w:rsidR="00D146FB" w:rsidRPr="00465B2A" w:rsidRDefault="00D146FB" w:rsidP="007A42E4">
      <w:pPr>
        <w:autoSpaceDE w:val="0"/>
        <w:autoSpaceDN w:val="0"/>
        <w:adjustRightInd w:val="0"/>
        <w:spacing w:after="0" w:line="240" w:lineRule="auto"/>
        <w:jc w:val="both"/>
        <w:rPr>
          <w:rFonts w:cs="Times New Roman"/>
        </w:rPr>
      </w:pPr>
    </w:p>
    <w:p w:rsidR="00D146FB" w:rsidRPr="00465B2A" w:rsidRDefault="00D146FB" w:rsidP="00D146FB">
      <w:pPr>
        <w:spacing w:after="0"/>
        <w:jc w:val="both"/>
      </w:pPr>
      <w:r w:rsidRPr="00465B2A">
        <w:rPr>
          <w:rFonts w:cs="Times New Roman"/>
        </w:rPr>
        <w:t>„</w:t>
      </w:r>
      <w:r w:rsidRPr="00465B2A">
        <w:rPr>
          <w:rFonts w:eastAsia="Times New Roman"/>
          <w:color w:val="000000"/>
          <w:lang w:eastAsia="hu-HU"/>
        </w:rPr>
        <w:t xml:space="preserve">(4) A </w:t>
      </w:r>
      <w:r w:rsidRPr="00465B2A">
        <w:t>minták vizsgálata az engedélyben előírt paraméterekre terjedhet ki, amely indokolt esetben további adatok ellenőrző vizsgálatával is bővíthető.</w:t>
      </w:r>
    </w:p>
    <w:p w:rsidR="00D146FB" w:rsidRPr="00465B2A" w:rsidRDefault="00D146FB" w:rsidP="00D146FB">
      <w:pPr>
        <w:spacing w:after="0" w:line="240" w:lineRule="auto"/>
        <w:jc w:val="both"/>
        <w:rPr>
          <w:rFonts w:eastAsia="Times New Roman"/>
          <w:color w:val="000000"/>
          <w:lang w:eastAsia="hu-HU"/>
        </w:rPr>
      </w:pPr>
    </w:p>
    <w:p w:rsidR="00D146FB" w:rsidRPr="00465B2A" w:rsidRDefault="00D146FB" w:rsidP="00D146FB">
      <w:pPr>
        <w:spacing w:after="0"/>
        <w:jc w:val="both"/>
      </w:pPr>
      <w:r w:rsidRPr="00465B2A">
        <w:rPr>
          <w:rFonts w:eastAsia="Times New Roman"/>
          <w:color w:val="000000"/>
          <w:lang w:eastAsia="hu-HU"/>
        </w:rPr>
        <w:t xml:space="preserve">(5) Ha a toxikus elem, a só és a szerves szennyezőanyag-tartalom akár egy paraméter vonatkozásában is meghaladja a 3. számú mellékletben meghatározott határértéket, </w:t>
      </w:r>
      <w:r w:rsidRPr="00465B2A">
        <w:t xml:space="preserve">vagy nem felel meg a 3. számú melléklet szerinti higiénés mikrobiológiai határértékeknek, vagy a termék </w:t>
      </w:r>
      <w:proofErr w:type="spellStart"/>
      <w:r w:rsidRPr="00465B2A">
        <w:t>csírázásgátló</w:t>
      </w:r>
      <w:proofErr w:type="spellEnd"/>
      <w:r w:rsidRPr="00465B2A">
        <w:t xml:space="preserve"> hatású, a növény- és talajvédelmi igazgatóság az azonos gyártási számmal, vagy egyéb azonosításra alkalmas egyedi jelöléssel ellátott tétel</w:t>
      </w:r>
    </w:p>
    <w:p w:rsidR="00D146FB" w:rsidRPr="00465B2A" w:rsidRDefault="00D146FB" w:rsidP="00D146FB">
      <w:pPr>
        <w:spacing w:after="0"/>
        <w:jc w:val="both"/>
      </w:pPr>
      <w:r w:rsidRPr="00465B2A">
        <w:rPr>
          <w:i/>
        </w:rPr>
        <w:t>a)</w:t>
      </w:r>
      <w:r w:rsidRPr="00465B2A">
        <w:t xml:space="preserve"> további forgalmazását megtiltja és visszahívását elrendeli</w:t>
      </w:r>
      <w:r w:rsidR="00914B67">
        <w:t>,</w:t>
      </w:r>
      <w:r w:rsidRPr="00465B2A">
        <w:t xml:space="preserve"> vagy</w:t>
      </w:r>
    </w:p>
    <w:p w:rsidR="00D146FB" w:rsidRPr="00465B2A" w:rsidRDefault="00D146FB" w:rsidP="00D146FB">
      <w:pPr>
        <w:spacing w:after="0"/>
        <w:jc w:val="both"/>
      </w:pPr>
      <w:r w:rsidRPr="00465B2A">
        <w:rPr>
          <w:i/>
        </w:rPr>
        <w:t>b)</w:t>
      </w:r>
      <w:r w:rsidRPr="00465B2A">
        <w:t xml:space="preserve"> zár alá vételét elrendeli, amíg a termék biztonságáért és minőségéért felelős megállapításra kerül.</w:t>
      </w:r>
    </w:p>
    <w:p w:rsidR="00D146FB" w:rsidRPr="00465B2A" w:rsidRDefault="00D146FB" w:rsidP="00D146FB">
      <w:pPr>
        <w:spacing w:after="0" w:line="240" w:lineRule="auto"/>
        <w:ind w:firstLine="180"/>
        <w:jc w:val="both"/>
        <w:rPr>
          <w:rFonts w:eastAsia="Times New Roman"/>
          <w:color w:val="000000"/>
          <w:lang w:eastAsia="hu-HU"/>
        </w:rPr>
      </w:pPr>
    </w:p>
    <w:p w:rsidR="00D146FB" w:rsidRPr="00465B2A" w:rsidRDefault="00D146FB" w:rsidP="00D146FB">
      <w:pPr>
        <w:spacing w:after="0"/>
        <w:jc w:val="both"/>
      </w:pPr>
      <w:r w:rsidRPr="00465B2A">
        <w:t>(5a) Amennyiben a visszahívott termék egy megismételt gyártási folyamatot követően, minőségellenőrzés alapján a készítmény megfelel az engedélyokirat előírásainak a növény- és talajvédelmi igazgatóság jóváhagyásával ismét forgalomba hozható. A vizsgálatot a termék biztonságáért és minőségéért felelősnek az engedélyokiratban előírt paraméterekre, akkreditált mintavételt követően akkreditált laboratóriumban kell elvégeztetnie.</w:t>
      </w:r>
    </w:p>
    <w:p w:rsidR="00D146FB" w:rsidRPr="00465B2A" w:rsidRDefault="00D146FB" w:rsidP="00D146FB">
      <w:pPr>
        <w:autoSpaceDE w:val="0"/>
        <w:autoSpaceDN w:val="0"/>
        <w:adjustRightInd w:val="0"/>
        <w:spacing w:after="0" w:line="240" w:lineRule="auto"/>
        <w:jc w:val="both"/>
      </w:pPr>
    </w:p>
    <w:p w:rsidR="00D146FB" w:rsidRPr="00465B2A" w:rsidRDefault="00D146FB" w:rsidP="00D146FB">
      <w:pPr>
        <w:autoSpaceDE w:val="0"/>
        <w:autoSpaceDN w:val="0"/>
        <w:adjustRightInd w:val="0"/>
        <w:spacing w:after="0" w:line="240" w:lineRule="auto"/>
        <w:jc w:val="both"/>
        <w:rPr>
          <w:rFonts w:cs="Times New Roman"/>
        </w:rPr>
      </w:pPr>
      <w:r w:rsidRPr="00465B2A">
        <w:t>(5b) Amennyiben a megismételt gyártási folyamatot követően keletkezett</w:t>
      </w:r>
      <w:r w:rsidRPr="00465B2A" w:rsidDel="00A364E7">
        <w:t xml:space="preserve"> </w:t>
      </w:r>
      <w:r w:rsidRPr="00465B2A">
        <w:t>termék a minőség ellenőrzése alapján nem megfelelőséget mutat</w:t>
      </w:r>
      <w:r w:rsidR="00091FA4">
        <w:t>,</w:t>
      </w:r>
      <w:r w:rsidRPr="00465B2A">
        <w:t xml:space="preserve"> a hulladékokra vonatkozó jogszabály rendelkezéseit kell alkalmazni.”</w:t>
      </w:r>
    </w:p>
    <w:p w:rsidR="00D146FB" w:rsidRPr="00465B2A" w:rsidRDefault="00D146FB" w:rsidP="00D146FB">
      <w:pPr>
        <w:autoSpaceDE w:val="0"/>
        <w:autoSpaceDN w:val="0"/>
        <w:adjustRightInd w:val="0"/>
        <w:spacing w:after="0" w:line="240" w:lineRule="auto"/>
        <w:jc w:val="both"/>
        <w:rPr>
          <w:rFonts w:cs="Times New Roman"/>
        </w:rPr>
      </w:pPr>
    </w:p>
    <w:p w:rsidR="00D146FB" w:rsidRPr="00465B2A" w:rsidRDefault="00D146FB" w:rsidP="007A42E4">
      <w:pPr>
        <w:autoSpaceDE w:val="0"/>
        <w:autoSpaceDN w:val="0"/>
        <w:adjustRightInd w:val="0"/>
        <w:spacing w:after="0" w:line="240" w:lineRule="auto"/>
        <w:jc w:val="both"/>
        <w:rPr>
          <w:rFonts w:cs="Times New Roman"/>
        </w:rPr>
      </w:pPr>
      <w:r w:rsidRPr="00465B2A">
        <w:rPr>
          <w:rFonts w:cs="Times New Roman"/>
        </w:rPr>
        <w:t>(3) Az R. 13. § (6) és (7) bekezdése helyébe a következő rendelkezések lépnek, egyidejűleg a következő (8) bekezdéssel egészül ki:</w:t>
      </w:r>
    </w:p>
    <w:p w:rsidR="00D146FB" w:rsidRPr="00465B2A" w:rsidRDefault="00D146FB" w:rsidP="007A42E4">
      <w:pPr>
        <w:autoSpaceDE w:val="0"/>
        <w:autoSpaceDN w:val="0"/>
        <w:adjustRightInd w:val="0"/>
        <w:spacing w:after="0" w:line="240" w:lineRule="auto"/>
        <w:jc w:val="both"/>
        <w:rPr>
          <w:rFonts w:cs="Times New Roman"/>
        </w:rPr>
      </w:pPr>
    </w:p>
    <w:p w:rsidR="00D146FB" w:rsidRPr="00465B2A" w:rsidRDefault="00D146FB" w:rsidP="00D146FB">
      <w:pPr>
        <w:spacing w:after="0"/>
        <w:jc w:val="both"/>
      </w:pPr>
      <w:r w:rsidRPr="00465B2A">
        <w:rPr>
          <w:rFonts w:cs="Times New Roman"/>
        </w:rPr>
        <w:t>„</w:t>
      </w:r>
      <w:r w:rsidRPr="00465B2A">
        <w:rPr>
          <w:rFonts w:eastAsia="Times New Roman"/>
          <w:color w:val="000000"/>
          <w:lang w:eastAsia="hu-HU"/>
        </w:rPr>
        <w:t xml:space="preserve">(6) Az engedélyben előírt hatóanyag-tartalom csökkenése esetén </w:t>
      </w:r>
      <w:r w:rsidRPr="00465B2A">
        <w:t>a növény- és talajvédelmi igazgatóság elrendeli az azonos gyártási számmal, vagy egyéb azonosításra alkalmas egyedi jelöléssel ellátott tétel</w:t>
      </w:r>
      <w:r w:rsidRPr="00465B2A">
        <w:rPr>
          <w:strike/>
        </w:rPr>
        <w:t>t</w:t>
      </w:r>
      <w:r w:rsidRPr="00465B2A">
        <w:t xml:space="preserve"> forgalomba hozatali tilalmát. A növény- és talajvédelmi igazgatóság a forgalomba hozatali tilalmat kérelemre feloldja, amennyiben a mért hatóanyag tartalmat a </w:t>
      </w:r>
      <w:r w:rsidRPr="00465B2A">
        <w:lastRenderedPageBreak/>
        <w:t>tétel tulajdonosa a címkén vagy a kísérőokmányon feltünteti. A termésnövelő anyag a mért hatóanyag tartalom feltüntetésével legfeljebb fél évig hozható forgalomba.</w:t>
      </w:r>
    </w:p>
    <w:p w:rsidR="00D146FB" w:rsidRPr="00465B2A" w:rsidRDefault="00D146FB" w:rsidP="00D146FB">
      <w:pPr>
        <w:spacing w:after="0" w:line="240" w:lineRule="auto"/>
        <w:ind w:firstLine="180"/>
        <w:jc w:val="both"/>
        <w:rPr>
          <w:rFonts w:eastAsia="Times New Roman"/>
          <w:color w:val="000000"/>
          <w:lang w:eastAsia="hu-HU"/>
        </w:rPr>
      </w:pPr>
    </w:p>
    <w:p w:rsidR="00D146FB" w:rsidRPr="00465B2A" w:rsidRDefault="00D146FB" w:rsidP="00D146FB">
      <w:pPr>
        <w:spacing w:after="0" w:line="240" w:lineRule="auto"/>
        <w:jc w:val="both"/>
      </w:pPr>
      <w:r w:rsidRPr="00465B2A">
        <w:rPr>
          <w:rFonts w:eastAsia="Times New Roman"/>
          <w:color w:val="000000"/>
          <w:lang w:eastAsia="hu-HU"/>
        </w:rPr>
        <w:t>(7) </w:t>
      </w:r>
      <w:r w:rsidRPr="00465B2A">
        <w:t>A termésnövelő anyag reklámjának valamennyi marketingkommunikációs eszköz vonatkozásában összhangban kell lennie az engedély tartalmával, valamint a reklámokban szereplő valamennyi állításnak technikailag igazolhatónak kell lennie. A termésnövelő anyagnak nem tulajdonítható olyan hatás, melynek igazolhatóságát az engedélyező hatóság az engedélyezési eljárás során nem vizsgálta, és amely a termék engedélyokiratában nem szerepel.</w:t>
      </w:r>
    </w:p>
    <w:p w:rsidR="00D146FB" w:rsidRPr="00465B2A" w:rsidRDefault="00D146FB" w:rsidP="00D146FB">
      <w:pPr>
        <w:spacing w:after="0" w:line="240" w:lineRule="auto"/>
        <w:jc w:val="both"/>
      </w:pPr>
    </w:p>
    <w:p w:rsidR="00D146FB" w:rsidRPr="00CC345D" w:rsidRDefault="00D146FB" w:rsidP="00E0554E">
      <w:pPr>
        <w:spacing w:after="0" w:line="240" w:lineRule="auto"/>
        <w:jc w:val="both"/>
      </w:pPr>
      <w:r w:rsidRPr="00D2731F">
        <w:t xml:space="preserve">(8) </w:t>
      </w:r>
      <w:r w:rsidR="00CC345D" w:rsidRPr="00E0554E">
        <w:t>A Nemzeti Adó- és Vámhivatal az engedélyköteles termésnövelő anyag szállítmányok szabad forgalomba bocsátás vámeljárás alá vonása esetén ellenőrzi, hogy a beérkező készítmény szerepel-e a Magyarországon engedélyezett termésnövelő anyagok listáján.</w:t>
      </w:r>
      <w:r w:rsidRPr="00465B2A">
        <w:t>”</w:t>
      </w:r>
    </w:p>
    <w:p w:rsidR="00D146FB" w:rsidRPr="00465B2A" w:rsidRDefault="00D146FB" w:rsidP="007A42E4">
      <w:pPr>
        <w:autoSpaceDE w:val="0"/>
        <w:autoSpaceDN w:val="0"/>
        <w:adjustRightInd w:val="0"/>
        <w:spacing w:after="0" w:line="240" w:lineRule="auto"/>
        <w:jc w:val="both"/>
        <w:rPr>
          <w:rFonts w:cs="Times New Roman"/>
        </w:rPr>
      </w:pPr>
    </w:p>
    <w:p w:rsidR="005561A7" w:rsidRPr="00465B2A" w:rsidRDefault="005561A7" w:rsidP="00D146FB">
      <w:pPr>
        <w:autoSpaceDE w:val="0"/>
        <w:autoSpaceDN w:val="0"/>
        <w:adjustRightInd w:val="0"/>
        <w:spacing w:after="0" w:line="240" w:lineRule="auto"/>
        <w:jc w:val="center"/>
        <w:rPr>
          <w:rFonts w:cs="Times New Roman"/>
          <w:b/>
        </w:rPr>
      </w:pPr>
      <w:r w:rsidRPr="00465B2A">
        <w:rPr>
          <w:rFonts w:cs="Times New Roman"/>
          <w:b/>
        </w:rPr>
        <w:t>12. §</w:t>
      </w:r>
    </w:p>
    <w:p w:rsidR="002A4B5C" w:rsidRPr="00465B2A" w:rsidRDefault="002A4B5C" w:rsidP="007A42E4">
      <w:pPr>
        <w:autoSpaceDE w:val="0"/>
        <w:autoSpaceDN w:val="0"/>
        <w:adjustRightInd w:val="0"/>
        <w:spacing w:after="0" w:line="240" w:lineRule="auto"/>
        <w:jc w:val="both"/>
        <w:rPr>
          <w:rFonts w:cs="Times New Roman"/>
        </w:rPr>
      </w:pPr>
    </w:p>
    <w:p w:rsidR="002A4B5C" w:rsidRPr="00465B2A" w:rsidRDefault="00D146FB" w:rsidP="007A42E4">
      <w:pPr>
        <w:autoSpaceDE w:val="0"/>
        <w:autoSpaceDN w:val="0"/>
        <w:adjustRightInd w:val="0"/>
        <w:spacing w:after="0" w:line="240" w:lineRule="auto"/>
        <w:jc w:val="both"/>
        <w:rPr>
          <w:rFonts w:cs="Times New Roman"/>
        </w:rPr>
      </w:pPr>
      <w:r w:rsidRPr="00465B2A">
        <w:rPr>
          <w:rFonts w:cs="Times New Roman"/>
        </w:rPr>
        <w:t>Az R. 14. és 15. §</w:t>
      </w:r>
      <w:proofErr w:type="spellStart"/>
      <w:r w:rsidRPr="00465B2A">
        <w:rPr>
          <w:rFonts w:cs="Times New Roman"/>
        </w:rPr>
        <w:t>-a</w:t>
      </w:r>
      <w:proofErr w:type="spellEnd"/>
      <w:r w:rsidRPr="00465B2A">
        <w:rPr>
          <w:rFonts w:cs="Times New Roman"/>
        </w:rPr>
        <w:t xml:space="preserve"> helyébe a következő rendelkezés</w:t>
      </w:r>
      <w:r w:rsidR="00314195" w:rsidRPr="00465B2A">
        <w:rPr>
          <w:rFonts w:cs="Times New Roman"/>
        </w:rPr>
        <w:t>ek</w:t>
      </w:r>
      <w:r w:rsidRPr="00465B2A">
        <w:rPr>
          <w:rFonts w:cs="Times New Roman"/>
        </w:rPr>
        <w:t xml:space="preserve"> lép</w:t>
      </w:r>
      <w:r w:rsidR="00314195" w:rsidRPr="00465B2A">
        <w:rPr>
          <w:rFonts w:cs="Times New Roman"/>
        </w:rPr>
        <w:t>nek</w:t>
      </w:r>
      <w:r w:rsidRPr="00465B2A">
        <w:rPr>
          <w:rFonts w:cs="Times New Roman"/>
        </w:rPr>
        <w:t>:</w:t>
      </w:r>
    </w:p>
    <w:p w:rsidR="00D146FB" w:rsidRPr="00465B2A" w:rsidRDefault="00D146FB" w:rsidP="007A42E4">
      <w:pPr>
        <w:autoSpaceDE w:val="0"/>
        <w:autoSpaceDN w:val="0"/>
        <w:adjustRightInd w:val="0"/>
        <w:spacing w:after="0" w:line="240" w:lineRule="auto"/>
        <w:jc w:val="both"/>
        <w:rPr>
          <w:rFonts w:cs="Times New Roman"/>
        </w:rPr>
      </w:pPr>
    </w:p>
    <w:p w:rsidR="00D146FB" w:rsidRPr="00465B2A" w:rsidRDefault="00D146FB" w:rsidP="00327AFB">
      <w:pPr>
        <w:autoSpaceDE w:val="0"/>
        <w:autoSpaceDN w:val="0"/>
        <w:adjustRightInd w:val="0"/>
        <w:spacing w:after="0" w:line="240" w:lineRule="auto"/>
        <w:jc w:val="both"/>
        <w:rPr>
          <w:rFonts w:cs="Times New Roman"/>
        </w:rPr>
      </w:pPr>
      <w:r w:rsidRPr="00465B2A">
        <w:rPr>
          <w:rFonts w:cs="Times New Roman"/>
        </w:rPr>
        <w:t>„</w:t>
      </w:r>
      <w:r w:rsidRPr="00465B2A">
        <w:rPr>
          <w:bCs/>
        </w:rPr>
        <w:t>14. §</w:t>
      </w:r>
      <w:r w:rsidRPr="00465B2A">
        <w:t xml:space="preserve"> Import termékek esetében minden év január 31-ig az engedélyesnek nyilatkozni kell az első magyarországi forgalmazójáról és a raktárakról. A nyilatkozatot az engedélyező hatóság részére kell benyújtani.</w:t>
      </w:r>
    </w:p>
    <w:p w:rsidR="00D146FB" w:rsidRPr="00465B2A" w:rsidRDefault="00D146FB" w:rsidP="00327AFB">
      <w:pPr>
        <w:autoSpaceDE w:val="0"/>
        <w:autoSpaceDN w:val="0"/>
        <w:adjustRightInd w:val="0"/>
        <w:spacing w:after="0" w:line="240" w:lineRule="auto"/>
        <w:jc w:val="both"/>
        <w:rPr>
          <w:rFonts w:cs="Times New Roman"/>
        </w:rPr>
      </w:pPr>
    </w:p>
    <w:p w:rsidR="00D146FB" w:rsidRPr="00465B2A" w:rsidRDefault="00D146FB" w:rsidP="00327AFB">
      <w:pPr>
        <w:spacing w:after="0" w:line="240" w:lineRule="auto"/>
        <w:jc w:val="both"/>
        <w:rPr>
          <w:rFonts w:eastAsia="Times New Roman"/>
          <w:color w:val="000000"/>
          <w:lang w:eastAsia="hu-HU"/>
        </w:rPr>
      </w:pPr>
      <w:r w:rsidRPr="00465B2A">
        <w:rPr>
          <w:rFonts w:eastAsia="Times New Roman"/>
          <w:bCs/>
          <w:color w:val="000000"/>
          <w:lang w:eastAsia="hu-HU"/>
        </w:rPr>
        <w:t>15. §</w:t>
      </w:r>
      <w:r w:rsidRPr="00465B2A">
        <w:rPr>
          <w:rFonts w:eastAsia="Times New Roman"/>
          <w:color w:val="000000"/>
          <w:lang w:eastAsia="hu-HU"/>
        </w:rPr>
        <w:t xml:space="preserve"> (1) Lejárt  eltarthatósági idejű készítmény a minőség ellenőrzése nélkül nem hozható forgalomba A vizsgálatot a forgalmazónak, illetve a tétel tulajdonosának </w:t>
      </w:r>
      <w:r w:rsidRPr="00465B2A">
        <w:t xml:space="preserve">engedélyokiratban előírt paraméterekre, akkreditált mintavételt követően akkreditált laboratóriumban </w:t>
      </w:r>
      <w:r w:rsidRPr="00465B2A">
        <w:rPr>
          <w:rFonts w:eastAsia="Times New Roman"/>
          <w:color w:val="000000"/>
          <w:lang w:eastAsia="hu-HU"/>
        </w:rPr>
        <w:t xml:space="preserve">kell elvégeztetnie. </w:t>
      </w:r>
    </w:p>
    <w:p w:rsidR="00D146FB" w:rsidRPr="00465B2A" w:rsidRDefault="00D146FB" w:rsidP="00327AFB">
      <w:pPr>
        <w:spacing w:after="0" w:line="240" w:lineRule="auto"/>
        <w:ind w:firstLine="180"/>
        <w:jc w:val="both"/>
        <w:rPr>
          <w:rFonts w:eastAsia="Times New Roman"/>
          <w:color w:val="000000"/>
          <w:lang w:eastAsia="hu-HU"/>
        </w:rPr>
      </w:pPr>
    </w:p>
    <w:p w:rsidR="00D146FB" w:rsidRPr="00465B2A" w:rsidRDefault="00D146FB" w:rsidP="00327AFB">
      <w:pPr>
        <w:spacing w:after="0" w:line="240" w:lineRule="auto"/>
        <w:jc w:val="both"/>
      </w:pPr>
      <w:r w:rsidRPr="00465B2A">
        <w:rPr>
          <w:rFonts w:eastAsia="Times New Roman"/>
          <w:color w:val="000000"/>
          <w:lang w:eastAsia="hu-HU"/>
        </w:rPr>
        <w:t>(</w:t>
      </w:r>
      <w:r w:rsidR="009E577C">
        <w:rPr>
          <w:rFonts w:eastAsia="Times New Roman"/>
          <w:color w:val="000000"/>
          <w:lang w:eastAsia="hu-HU"/>
        </w:rPr>
        <w:t>2</w:t>
      </w:r>
      <w:r w:rsidRPr="00465B2A">
        <w:rPr>
          <w:rFonts w:eastAsia="Times New Roman"/>
          <w:color w:val="000000"/>
          <w:lang w:eastAsia="hu-HU"/>
        </w:rPr>
        <w:t xml:space="preserve">) Amennyiben a minőség-ellenőrzési vizsgálatok eredményei alapján a készítmény </w:t>
      </w:r>
      <w:r w:rsidRPr="00465B2A">
        <w:t>megfelel az engedélyokirat előírásainak, a megvizsgált tétel további 1 évig hozható forgalomba. A tétel tulajdonosa vagy a forgalmazó köteles a vizsgálattal kapcsolatos dokumentumokat kérésre a vevő vagy a hatósági ellenőrzés során az NTI rendelkezésére bocsátani.</w:t>
      </w:r>
    </w:p>
    <w:p w:rsidR="00D146FB" w:rsidRPr="00465B2A" w:rsidRDefault="00D146FB" w:rsidP="00186CC1">
      <w:pPr>
        <w:spacing w:after="0" w:line="240" w:lineRule="auto"/>
        <w:jc w:val="both"/>
      </w:pPr>
    </w:p>
    <w:p w:rsidR="00D146FB" w:rsidRPr="00465B2A" w:rsidRDefault="00D146FB" w:rsidP="00186CC1">
      <w:pPr>
        <w:spacing w:after="0" w:line="240" w:lineRule="auto"/>
        <w:jc w:val="both"/>
      </w:pPr>
      <w:r w:rsidRPr="00465B2A">
        <w:t>(</w:t>
      </w:r>
      <w:r w:rsidR="009E577C">
        <w:t>3</w:t>
      </w:r>
      <w:r w:rsidRPr="00465B2A">
        <w:t>) Az engedélyben előírt hatóanyag-tartalom csökkenése esetén a termésnövelő anyag a mért hatóanyag tartalom feltüntetésével legfeljebb fél évig forgalomba hozható.</w:t>
      </w:r>
    </w:p>
    <w:p w:rsidR="00D146FB" w:rsidRPr="00465B2A" w:rsidRDefault="00D146FB" w:rsidP="00186CC1">
      <w:pPr>
        <w:spacing w:after="0" w:line="240" w:lineRule="auto"/>
        <w:jc w:val="both"/>
      </w:pPr>
    </w:p>
    <w:p w:rsidR="00D146FB" w:rsidRPr="00465B2A" w:rsidRDefault="00D146FB" w:rsidP="00186CC1">
      <w:pPr>
        <w:spacing w:after="0" w:line="240" w:lineRule="auto"/>
        <w:jc w:val="both"/>
      </w:pPr>
      <w:r w:rsidRPr="00465B2A">
        <w:t>(</w:t>
      </w:r>
      <w:r w:rsidR="009E577C">
        <w:t>4</w:t>
      </w:r>
      <w:r w:rsidRPr="00465B2A">
        <w:t>) Amennyiben a termék minőségi kifogást mutat, azaz ha a termék nem felel meg a 3. számú mellékletben meghatározott határértékeknek,</w:t>
      </w:r>
      <w:r w:rsidR="00D20926">
        <w:t xml:space="preserve"> </w:t>
      </w:r>
      <w:r w:rsidRPr="00465B2A">
        <w:t xml:space="preserve">vagy a termék </w:t>
      </w:r>
      <w:proofErr w:type="spellStart"/>
      <w:r w:rsidRPr="00465B2A">
        <w:t>csírázásgátló</w:t>
      </w:r>
      <w:proofErr w:type="spellEnd"/>
      <w:r w:rsidRPr="00465B2A">
        <w:t xml:space="preserve"> hatású akkor hulladékként kell kezelni. </w:t>
      </w:r>
    </w:p>
    <w:p w:rsidR="00D146FB" w:rsidRPr="00465B2A" w:rsidRDefault="00D146FB" w:rsidP="00327AFB">
      <w:pPr>
        <w:spacing w:after="0" w:line="240" w:lineRule="auto"/>
        <w:jc w:val="both"/>
        <w:rPr>
          <w:rFonts w:eastAsia="Times New Roman"/>
          <w:color w:val="000000"/>
          <w:lang w:eastAsia="hu-HU"/>
        </w:rPr>
      </w:pPr>
    </w:p>
    <w:p w:rsidR="00D146FB" w:rsidRPr="00465B2A" w:rsidRDefault="00D146FB" w:rsidP="00327AFB">
      <w:pPr>
        <w:autoSpaceDE w:val="0"/>
        <w:autoSpaceDN w:val="0"/>
        <w:adjustRightInd w:val="0"/>
        <w:spacing w:after="0" w:line="240" w:lineRule="auto"/>
        <w:jc w:val="both"/>
        <w:rPr>
          <w:rFonts w:cs="Times New Roman"/>
        </w:rPr>
      </w:pPr>
      <w:r w:rsidRPr="00465B2A">
        <w:rPr>
          <w:rFonts w:eastAsia="Times New Roman"/>
          <w:color w:val="000000"/>
          <w:lang w:eastAsia="hu-HU"/>
        </w:rPr>
        <w:t>(</w:t>
      </w:r>
      <w:r w:rsidR="009E577C">
        <w:rPr>
          <w:rFonts w:eastAsia="Times New Roman"/>
          <w:color w:val="000000"/>
          <w:lang w:eastAsia="hu-HU"/>
        </w:rPr>
        <w:t>5</w:t>
      </w:r>
      <w:r w:rsidRPr="00465B2A">
        <w:rPr>
          <w:rFonts w:eastAsia="Times New Roman"/>
          <w:color w:val="000000"/>
          <w:lang w:eastAsia="hu-HU"/>
        </w:rPr>
        <w:t>) Az azonosíthatatlanná vált termék és csomagoló anyag kezelésére a hulladékokra vonatkozó jogszabály rendelkezéseit kell alkalmazni.”</w:t>
      </w:r>
    </w:p>
    <w:p w:rsidR="00D146FB" w:rsidRPr="00465B2A" w:rsidRDefault="00D146FB" w:rsidP="007A42E4">
      <w:pPr>
        <w:autoSpaceDE w:val="0"/>
        <w:autoSpaceDN w:val="0"/>
        <w:adjustRightInd w:val="0"/>
        <w:spacing w:after="0" w:line="240" w:lineRule="auto"/>
        <w:jc w:val="both"/>
        <w:rPr>
          <w:rFonts w:cs="Times New Roman"/>
        </w:rPr>
      </w:pPr>
    </w:p>
    <w:p w:rsidR="00D146FB" w:rsidRPr="00465B2A" w:rsidRDefault="00D146FB" w:rsidP="00314195">
      <w:pPr>
        <w:autoSpaceDE w:val="0"/>
        <w:autoSpaceDN w:val="0"/>
        <w:adjustRightInd w:val="0"/>
        <w:spacing w:after="0" w:line="240" w:lineRule="auto"/>
        <w:jc w:val="center"/>
        <w:rPr>
          <w:rFonts w:cs="Times New Roman"/>
          <w:b/>
        </w:rPr>
      </w:pPr>
      <w:r w:rsidRPr="00465B2A">
        <w:rPr>
          <w:rFonts w:cs="Times New Roman"/>
          <w:b/>
        </w:rPr>
        <w:t>13. §</w:t>
      </w:r>
    </w:p>
    <w:p w:rsidR="00D146FB" w:rsidRPr="00465B2A" w:rsidRDefault="00D146FB" w:rsidP="007A42E4">
      <w:pPr>
        <w:autoSpaceDE w:val="0"/>
        <w:autoSpaceDN w:val="0"/>
        <w:adjustRightInd w:val="0"/>
        <w:spacing w:after="0" w:line="240" w:lineRule="auto"/>
        <w:jc w:val="both"/>
        <w:rPr>
          <w:rFonts w:cs="Times New Roman"/>
        </w:rPr>
      </w:pPr>
    </w:p>
    <w:p w:rsidR="00D146FB" w:rsidRPr="00465B2A" w:rsidRDefault="00295B69" w:rsidP="007A42E4">
      <w:pPr>
        <w:autoSpaceDE w:val="0"/>
        <w:autoSpaceDN w:val="0"/>
        <w:adjustRightInd w:val="0"/>
        <w:spacing w:after="0" w:line="240" w:lineRule="auto"/>
        <w:jc w:val="both"/>
        <w:rPr>
          <w:rFonts w:cs="Times New Roman"/>
        </w:rPr>
      </w:pPr>
      <w:r w:rsidRPr="00465B2A">
        <w:rPr>
          <w:rFonts w:cs="Times New Roman"/>
        </w:rPr>
        <w:t xml:space="preserve">(1) </w:t>
      </w:r>
      <w:r w:rsidR="00314195" w:rsidRPr="00465B2A">
        <w:rPr>
          <w:rFonts w:cs="Times New Roman"/>
        </w:rPr>
        <w:t xml:space="preserve">Az R. 17. § </w:t>
      </w:r>
      <w:r w:rsidRPr="00465B2A">
        <w:rPr>
          <w:rFonts w:cs="Times New Roman"/>
        </w:rPr>
        <w:t>(5) bekezdése helyébe a következő rendelkezés lép:</w:t>
      </w:r>
    </w:p>
    <w:p w:rsidR="00295B69" w:rsidRPr="00465B2A" w:rsidRDefault="00295B69" w:rsidP="007A42E4">
      <w:pPr>
        <w:autoSpaceDE w:val="0"/>
        <w:autoSpaceDN w:val="0"/>
        <w:adjustRightInd w:val="0"/>
        <w:spacing w:after="0" w:line="240" w:lineRule="auto"/>
        <w:jc w:val="both"/>
        <w:rPr>
          <w:rFonts w:cs="Times New Roman"/>
        </w:rPr>
      </w:pPr>
    </w:p>
    <w:p w:rsidR="00295B69" w:rsidRPr="00465B2A" w:rsidRDefault="00295B69" w:rsidP="00295B69">
      <w:pPr>
        <w:spacing w:after="2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(5) A kísérleti terület méretét a kérelem elbírálása során az engedélyező hatóság határozza meg.</w:t>
      </w:r>
      <w:r w:rsidRPr="00465B2A">
        <w:t xml:space="preserve"> de az összes kísérleti terület nagysága nem haladhatja meg az 5 ha-t.”</w:t>
      </w:r>
    </w:p>
    <w:p w:rsidR="00295B69" w:rsidRPr="00465B2A" w:rsidRDefault="00295B69" w:rsidP="007A42E4">
      <w:pPr>
        <w:autoSpaceDE w:val="0"/>
        <w:autoSpaceDN w:val="0"/>
        <w:adjustRightInd w:val="0"/>
        <w:spacing w:after="0" w:line="240" w:lineRule="auto"/>
        <w:jc w:val="both"/>
        <w:rPr>
          <w:rFonts w:cs="Times New Roman"/>
        </w:rPr>
      </w:pPr>
    </w:p>
    <w:p w:rsidR="00314195" w:rsidRPr="00465B2A" w:rsidRDefault="00295B69" w:rsidP="007A42E4">
      <w:pPr>
        <w:autoSpaceDE w:val="0"/>
        <w:autoSpaceDN w:val="0"/>
        <w:adjustRightInd w:val="0"/>
        <w:spacing w:after="0" w:line="240" w:lineRule="auto"/>
        <w:jc w:val="both"/>
        <w:rPr>
          <w:rFonts w:cs="Times New Roman"/>
        </w:rPr>
      </w:pPr>
      <w:r w:rsidRPr="00465B2A">
        <w:rPr>
          <w:rFonts w:cs="Times New Roman"/>
        </w:rPr>
        <w:lastRenderedPageBreak/>
        <w:t>(2) Az R. 17. §</w:t>
      </w:r>
      <w:proofErr w:type="spellStart"/>
      <w:r w:rsidRPr="00465B2A">
        <w:rPr>
          <w:rFonts w:cs="Times New Roman"/>
        </w:rPr>
        <w:t>-a</w:t>
      </w:r>
      <w:proofErr w:type="spellEnd"/>
      <w:r w:rsidRPr="00465B2A">
        <w:rPr>
          <w:rFonts w:cs="Times New Roman"/>
        </w:rPr>
        <w:t xml:space="preserve"> a következő (7) bekezdéssel egészül ki:</w:t>
      </w:r>
    </w:p>
    <w:p w:rsidR="00295B69" w:rsidRPr="00465B2A" w:rsidRDefault="00295B69" w:rsidP="007A42E4">
      <w:pPr>
        <w:autoSpaceDE w:val="0"/>
        <w:autoSpaceDN w:val="0"/>
        <w:adjustRightInd w:val="0"/>
        <w:spacing w:after="0" w:line="240" w:lineRule="auto"/>
        <w:jc w:val="both"/>
        <w:rPr>
          <w:rFonts w:cs="Times New Roman"/>
        </w:rPr>
      </w:pPr>
    </w:p>
    <w:p w:rsidR="00295B69" w:rsidRPr="00465B2A" w:rsidRDefault="00295B69" w:rsidP="007A42E4">
      <w:pPr>
        <w:autoSpaceDE w:val="0"/>
        <w:autoSpaceDN w:val="0"/>
        <w:adjustRightInd w:val="0"/>
        <w:spacing w:after="0" w:line="240" w:lineRule="auto"/>
        <w:jc w:val="both"/>
        <w:rPr>
          <w:rFonts w:cs="Times New Roman"/>
        </w:rPr>
      </w:pPr>
      <w:r w:rsidRPr="00465B2A">
        <w:rPr>
          <w:rFonts w:cs="Times New Roman"/>
        </w:rPr>
        <w:t>„</w:t>
      </w:r>
      <w:r w:rsidRPr="00465B2A">
        <w:t>(7) A még nem engedélyezett készítményekkel folytatott szabadföldi kísérleteket nyilvánosan bemutatni, illetve a vizsgálati eredményeket ismertetni csak az engedélyező hatóság előzetes engedélye alapján lehet. Ez a tevékenység kísérleti célú felhasználásnak minősül.”</w:t>
      </w:r>
    </w:p>
    <w:p w:rsidR="00314195" w:rsidRPr="00465B2A" w:rsidRDefault="00314195" w:rsidP="007A42E4">
      <w:pPr>
        <w:autoSpaceDE w:val="0"/>
        <w:autoSpaceDN w:val="0"/>
        <w:adjustRightInd w:val="0"/>
        <w:spacing w:after="0" w:line="240" w:lineRule="auto"/>
        <w:jc w:val="both"/>
        <w:rPr>
          <w:rFonts w:cs="Times New Roman"/>
        </w:rPr>
      </w:pPr>
    </w:p>
    <w:p w:rsidR="00314195" w:rsidRPr="00465B2A" w:rsidRDefault="00314195" w:rsidP="0041279F">
      <w:pPr>
        <w:autoSpaceDE w:val="0"/>
        <w:autoSpaceDN w:val="0"/>
        <w:adjustRightInd w:val="0"/>
        <w:spacing w:after="0" w:line="240" w:lineRule="auto"/>
        <w:jc w:val="center"/>
        <w:rPr>
          <w:rFonts w:cs="Times New Roman"/>
          <w:b/>
        </w:rPr>
      </w:pPr>
      <w:r w:rsidRPr="00465B2A">
        <w:rPr>
          <w:rFonts w:cs="Times New Roman"/>
          <w:b/>
        </w:rPr>
        <w:t>14. §</w:t>
      </w:r>
    </w:p>
    <w:p w:rsidR="002A4B5C" w:rsidRPr="00465B2A" w:rsidRDefault="002A4B5C" w:rsidP="007A42E4">
      <w:pPr>
        <w:autoSpaceDE w:val="0"/>
        <w:autoSpaceDN w:val="0"/>
        <w:adjustRightInd w:val="0"/>
        <w:spacing w:after="0" w:line="240" w:lineRule="auto"/>
        <w:jc w:val="both"/>
        <w:rPr>
          <w:rFonts w:cs="Times New Roman"/>
        </w:rPr>
      </w:pPr>
    </w:p>
    <w:p w:rsidR="0041279F" w:rsidRPr="00465B2A" w:rsidRDefault="005E37D4" w:rsidP="007A42E4">
      <w:pPr>
        <w:autoSpaceDE w:val="0"/>
        <w:autoSpaceDN w:val="0"/>
        <w:adjustRightInd w:val="0"/>
        <w:spacing w:after="0" w:line="240" w:lineRule="auto"/>
        <w:jc w:val="both"/>
        <w:rPr>
          <w:rFonts w:cs="Times New Roman"/>
        </w:rPr>
      </w:pPr>
      <w:r>
        <w:rPr>
          <w:rFonts w:cs="Times New Roman"/>
        </w:rPr>
        <w:t xml:space="preserve">(1) </w:t>
      </w:r>
      <w:r w:rsidR="0043103A" w:rsidRPr="00465B2A">
        <w:rPr>
          <w:rFonts w:cs="Times New Roman"/>
        </w:rPr>
        <w:t>Az R. 18. §</w:t>
      </w:r>
      <w:proofErr w:type="spellStart"/>
      <w:r w:rsidR="0043103A" w:rsidRPr="00465B2A">
        <w:rPr>
          <w:rFonts w:cs="Times New Roman"/>
        </w:rPr>
        <w:t>-a</w:t>
      </w:r>
      <w:proofErr w:type="spellEnd"/>
      <w:r w:rsidR="0043103A" w:rsidRPr="00465B2A">
        <w:rPr>
          <w:rFonts w:cs="Times New Roman"/>
        </w:rPr>
        <w:t xml:space="preserve"> a következő (2)</w:t>
      </w:r>
      <w:r w:rsidR="00C871C9" w:rsidRPr="00465B2A">
        <w:rPr>
          <w:rFonts w:cs="Times New Roman"/>
        </w:rPr>
        <w:t xml:space="preserve"> és</w:t>
      </w:r>
      <w:r w:rsidR="002A3D99" w:rsidRPr="00465B2A">
        <w:rPr>
          <w:rFonts w:cs="Times New Roman"/>
        </w:rPr>
        <w:t xml:space="preserve"> (3)</w:t>
      </w:r>
      <w:r w:rsidR="00C871C9" w:rsidRPr="00465B2A">
        <w:rPr>
          <w:rFonts w:cs="Times New Roman"/>
        </w:rPr>
        <w:t>-(3d)</w:t>
      </w:r>
      <w:r w:rsidR="002A3D99" w:rsidRPr="00465B2A">
        <w:rPr>
          <w:rFonts w:cs="Times New Roman"/>
        </w:rPr>
        <w:t xml:space="preserve"> </w:t>
      </w:r>
      <w:r w:rsidR="0043103A" w:rsidRPr="00465B2A">
        <w:rPr>
          <w:rFonts w:cs="Times New Roman"/>
        </w:rPr>
        <w:t>bekezdéssel egészül ki:</w:t>
      </w:r>
    </w:p>
    <w:p w:rsidR="00E642B4" w:rsidRPr="00465B2A" w:rsidRDefault="00E642B4" w:rsidP="007A42E4">
      <w:pPr>
        <w:autoSpaceDE w:val="0"/>
        <w:autoSpaceDN w:val="0"/>
        <w:adjustRightInd w:val="0"/>
        <w:spacing w:after="0" w:line="240" w:lineRule="auto"/>
        <w:jc w:val="both"/>
        <w:rPr>
          <w:rFonts w:cs="Times New Roman"/>
        </w:rPr>
      </w:pPr>
    </w:p>
    <w:p w:rsidR="002A3D99" w:rsidRPr="00465B2A" w:rsidRDefault="0004506B" w:rsidP="007A42E4">
      <w:pPr>
        <w:autoSpaceDE w:val="0"/>
        <w:autoSpaceDN w:val="0"/>
        <w:adjustRightInd w:val="0"/>
        <w:spacing w:after="0" w:line="240" w:lineRule="auto"/>
        <w:jc w:val="both"/>
        <w:rPr>
          <w:rFonts w:cs="Times New Roman"/>
        </w:rPr>
      </w:pPr>
      <w:r w:rsidRPr="00465B2A">
        <w:rPr>
          <w:rFonts w:cs="Times New Roman"/>
        </w:rPr>
        <w:t xml:space="preserve">„(2) </w:t>
      </w:r>
      <w:r w:rsidR="005A4FD4" w:rsidRPr="00465B2A">
        <w:rPr>
          <w:rFonts w:cs="Times New Roman"/>
        </w:rPr>
        <w:t xml:space="preserve">A termésnövelő anyagok engedélyezéséről, tárolásáról, forgalmazásáról és felhasználásáról szóló 36/2006. (V. 18.) FVM rendelet módosításáról szóló …/2014. (…) FM rendelettel (a továbbiakban: </w:t>
      </w:r>
      <w:proofErr w:type="spellStart"/>
      <w:r w:rsidR="005A4FD4" w:rsidRPr="00465B2A">
        <w:rPr>
          <w:rFonts w:cs="Times New Roman"/>
        </w:rPr>
        <w:t>MódR</w:t>
      </w:r>
      <w:proofErr w:type="spellEnd"/>
      <w:r w:rsidR="005A4FD4" w:rsidRPr="00465B2A">
        <w:rPr>
          <w:rFonts w:cs="Times New Roman"/>
        </w:rPr>
        <w:t xml:space="preserve">.) megállapított </w:t>
      </w:r>
      <w:r w:rsidR="000815D7" w:rsidRPr="00465B2A">
        <w:rPr>
          <w:rFonts w:cs="Times New Roman"/>
        </w:rPr>
        <w:t xml:space="preserve">rendelkezéseknek való megfelelés érdekében </w:t>
      </w:r>
      <w:r w:rsidR="002A3D99" w:rsidRPr="00465B2A">
        <w:rPr>
          <w:rFonts w:eastAsia="Times New Roman"/>
          <w:color w:val="000000"/>
          <w:lang w:eastAsia="hu-HU"/>
        </w:rPr>
        <w:t xml:space="preserve">az engedélyező hatóság hivatalból felülvizsgálja a termesztő közeg típusokra vonatkozó előírásokat a már kiadott engedélyekben a </w:t>
      </w:r>
      <w:proofErr w:type="spellStart"/>
      <w:r w:rsidR="002A3D99" w:rsidRPr="00465B2A">
        <w:rPr>
          <w:rFonts w:eastAsia="Times New Roman"/>
          <w:color w:val="000000"/>
          <w:lang w:eastAsia="hu-HU"/>
        </w:rPr>
        <w:t>MódR</w:t>
      </w:r>
      <w:proofErr w:type="spellEnd"/>
      <w:r w:rsidR="002A3D99" w:rsidRPr="00465B2A">
        <w:rPr>
          <w:rFonts w:eastAsia="Times New Roman"/>
          <w:color w:val="000000"/>
          <w:lang w:eastAsia="hu-HU"/>
        </w:rPr>
        <w:t>. hatályba lépését követő két éven belül.</w:t>
      </w:r>
    </w:p>
    <w:p w:rsidR="003F1202" w:rsidRPr="00465B2A" w:rsidRDefault="003F1202" w:rsidP="007A42E4">
      <w:pPr>
        <w:autoSpaceDE w:val="0"/>
        <w:autoSpaceDN w:val="0"/>
        <w:adjustRightInd w:val="0"/>
        <w:spacing w:after="0" w:line="240" w:lineRule="auto"/>
        <w:jc w:val="both"/>
        <w:rPr>
          <w:rFonts w:cs="Times New Roman"/>
        </w:rPr>
      </w:pPr>
    </w:p>
    <w:p w:rsidR="00E65B8C" w:rsidRPr="00465B2A" w:rsidRDefault="002A3D99" w:rsidP="00C871C9">
      <w:pPr>
        <w:spacing w:after="20" w:line="240" w:lineRule="auto"/>
        <w:jc w:val="both"/>
        <w:rPr>
          <w:rFonts w:cs="Times New Roman"/>
        </w:rPr>
      </w:pPr>
      <w:r w:rsidRPr="00465B2A">
        <w:rPr>
          <w:rFonts w:cs="Times New Roman"/>
        </w:rPr>
        <w:t xml:space="preserve">(3) </w:t>
      </w:r>
      <w:r w:rsidR="00E65B8C" w:rsidRPr="00465B2A">
        <w:rPr>
          <w:rFonts w:eastAsia="Times New Roman"/>
          <w:color w:val="000000"/>
          <w:lang w:eastAsia="hu-HU"/>
        </w:rPr>
        <w:t xml:space="preserve">A </w:t>
      </w:r>
      <w:proofErr w:type="spellStart"/>
      <w:r w:rsidR="00E65B8C" w:rsidRPr="00465B2A">
        <w:rPr>
          <w:rFonts w:eastAsia="Times New Roman"/>
          <w:color w:val="000000"/>
          <w:lang w:eastAsia="hu-HU"/>
        </w:rPr>
        <w:t>MódR.-tel</w:t>
      </w:r>
      <w:proofErr w:type="spellEnd"/>
      <w:r w:rsidR="00E65B8C" w:rsidRPr="00465B2A">
        <w:rPr>
          <w:rFonts w:eastAsia="Times New Roman"/>
          <w:color w:val="000000"/>
          <w:lang w:eastAsia="hu-HU"/>
        </w:rPr>
        <w:t xml:space="preserve"> megállapított 3. § (5) bekezdésének való megfelelés érdekében a </w:t>
      </w:r>
      <w:proofErr w:type="spellStart"/>
      <w:r w:rsidR="00E65B8C" w:rsidRPr="00465B2A">
        <w:rPr>
          <w:rFonts w:eastAsia="Times New Roman"/>
          <w:color w:val="000000"/>
          <w:lang w:eastAsia="hu-HU"/>
        </w:rPr>
        <w:t>MódR</w:t>
      </w:r>
      <w:proofErr w:type="spellEnd"/>
      <w:r w:rsidR="00E65B8C" w:rsidRPr="00465B2A">
        <w:rPr>
          <w:rFonts w:eastAsia="Times New Roman"/>
          <w:color w:val="000000"/>
          <w:lang w:eastAsia="hu-HU"/>
        </w:rPr>
        <w:t xml:space="preserve">. hatálybalépését megelőzően kiadott engedélyek esetében az engedélyező hatóság a </w:t>
      </w:r>
      <w:proofErr w:type="spellStart"/>
      <w:r w:rsidR="00E65B8C" w:rsidRPr="00465B2A">
        <w:rPr>
          <w:rFonts w:eastAsia="Times New Roman"/>
          <w:color w:val="000000"/>
          <w:lang w:eastAsia="hu-HU"/>
        </w:rPr>
        <w:t>MódR</w:t>
      </w:r>
      <w:proofErr w:type="spellEnd"/>
      <w:r w:rsidR="00E65B8C" w:rsidRPr="00465B2A">
        <w:rPr>
          <w:rFonts w:eastAsia="Times New Roman"/>
          <w:color w:val="000000"/>
          <w:lang w:eastAsia="hu-HU"/>
        </w:rPr>
        <w:t>.  hatályba lépését követő egy éven belül nyilatkozattételre szólítja fel az engedélyest.</w:t>
      </w:r>
    </w:p>
    <w:p w:rsidR="00E65B8C" w:rsidRPr="00465B2A" w:rsidRDefault="00E65B8C" w:rsidP="00C871C9">
      <w:pPr>
        <w:spacing w:after="20" w:line="240" w:lineRule="auto"/>
        <w:jc w:val="both"/>
        <w:rPr>
          <w:rFonts w:cs="Times New Roman"/>
        </w:rPr>
      </w:pPr>
    </w:p>
    <w:p w:rsidR="00C871C9" w:rsidRPr="00465B2A" w:rsidRDefault="00E65B8C" w:rsidP="00C871C9">
      <w:pPr>
        <w:spacing w:after="20" w:line="240" w:lineRule="auto"/>
        <w:jc w:val="both"/>
        <w:rPr>
          <w:rFonts w:eastAsia="Times New Roman"/>
          <w:color w:val="000000"/>
          <w:lang w:eastAsia="hu-HU"/>
        </w:rPr>
      </w:pPr>
      <w:r w:rsidRPr="00465B2A">
        <w:rPr>
          <w:rFonts w:cs="Times New Roman"/>
        </w:rPr>
        <w:t xml:space="preserve">(3a) </w:t>
      </w:r>
      <w:r w:rsidR="00C871C9" w:rsidRPr="00465B2A">
        <w:rPr>
          <w:rFonts w:eastAsia="Times New Roman"/>
          <w:color w:val="000000"/>
          <w:lang w:eastAsia="hu-HU"/>
        </w:rPr>
        <w:t xml:space="preserve">A 2015. június 1. után kiadott engedélyben a 7. § (5) bekezdés </w:t>
      </w:r>
      <w:proofErr w:type="spellStart"/>
      <w:r w:rsidR="00C871C9" w:rsidRPr="00465B2A">
        <w:rPr>
          <w:rFonts w:eastAsia="Times New Roman"/>
          <w:color w:val="000000"/>
          <w:lang w:eastAsia="hu-HU"/>
        </w:rPr>
        <w:t>ga</w:t>
      </w:r>
      <w:proofErr w:type="spellEnd"/>
      <w:r w:rsidR="00C871C9" w:rsidRPr="00465B2A">
        <w:rPr>
          <w:rFonts w:eastAsia="Times New Roman"/>
          <w:color w:val="000000"/>
          <w:lang w:eastAsia="hu-HU"/>
        </w:rPr>
        <w:t>) pontja nem szerepelhet.</w:t>
      </w:r>
    </w:p>
    <w:p w:rsidR="002A3D99" w:rsidRPr="00465B2A" w:rsidRDefault="002A3D99" w:rsidP="007A42E4">
      <w:pPr>
        <w:autoSpaceDE w:val="0"/>
        <w:autoSpaceDN w:val="0"/>
        <w:adjustRightInd w:val="0"/>
        <w:spacing w:after="0" w:line="240" w:lineRule="auto"/>
        <w:jc w:val="both"/>
        <w:rPr>
          <w:rFonts w:cs="Times New Roman"/>
        </w:rPr>
      </w:pPr>
    </w:p>
    <w:p w:rsidR="000D5917" w:rsidRPr="00465B2A" w:rsidRDefault="00E65B8C" w:rsidP="000D5917">
      <w:pPr>
        <w:spacing w:after="20" w:line="240" w:lineRule="auto"/>
        <w:jc w:val="both"/>
        <w:rPr>
          <w:rFonts w:eastAsia="Times New Roman"/>
          <w:color w:val="000000"/>
          <w:lang w:eastAsia="hu-HU"/>
        </w:rPr>
      </w:pPr>
      <w:r w:rsidRPr="00465B2A">
        <w:rPr>
          <w:rFonts w:eastAsia="Times New Roman"/>
          <w:color w:val="000000"/>
          <w:lang w:eastAsia="hu-HU"/>
        </w:rPr>
        <w:t xml:space="preserve">(3b) </w:t>
      </w:r>
      <w:r w:rsidR="000D5917" w:rsidRPr="00465B2A">
        <w:rPr>
          <w:rFonts w:eastAsia="Times New Roman"/>
          <w:color w:val="000000"/>
          <w:lang w:eastAsia="hu-HU"/>
        </w:rPr>
        <w:t xml:space="preserve">Ahol egy engedélyben nem megállapítható meg a </w:t>
      </w:r>
      <w:proofErr w:type="spellStart"/>
      <w:r w:rsidR="00C96724" w:rsidRPr="00465B2A">
        <w:rPr>
          <w:rFonts w:eastAsia="Times New Roman"/>
          <w:color w:val="000000"/>
          <w:lang w:eastAsia="hu-HU"/>
        </w:rPr>
        <w:t>MódR.-tel</w:t>
      </w:r>
      <w:proofErr w:type="spellEnd"/>
      <w:r w:rsidR="00C96724" w:rsidRPr="00465B2A">
        <w:rPr>
          <w:rFonts w:eastAsia="Times New Roman"/>
          <w:color w:val="000000"/>
          <w:lang w:eastAsia="hu-HU"/>
        </w:rPr>
        <w:t xml:space="preserve"> megállapított </w:t>
      </w:r>
      <w:r w:rsidR="000D5917" w:rsidRPr="00465B2A">
        <w:rPr>
          <w:rFonts w:eastAsia="Times New Roman"/>
          <w:color w:val="000000"/>
          <w:lang w:eastAsia="hu-HU"/>
        </w:rPr>
        <w:t xml:space="preserve">2. § </w:t>
      </w:r>
      <w:r w:rsidR="00327AFB" w:rsidRPr="00465B2A">
        <w:rPr>
          <w:rFonts w:eastAsia="Times New Roman"/>
          <w:color w:val="000000"/>
          <w:lang w:eastAsia="hu-HU"/>
        </w:rPr>
        <w:t>1</w:t>
      </w:r>
      <w:r w:rsidR="00031441">
        <w:rPr>
          <w:rFonts w:eastAsia="Times New Roman"/>
          <w:color w:val="000000"/>
          <w:lang w:eastAsia="hu-HU"/>
        </w:rPr>
        <w:t>6</w:t>
      </w:r>
      <w:r w:rsidR="000D5917" w:rsidRPr="00465B2A">
        <w:rPr>
          <w:rFonts w:eastAsia="Times New Roman"/>
          <w:color w:val="000000"/>
          <w:lang w:eastAsia="hu-HU"/>
        </w:rPr>
        <w:t xml:space="preserve">. pontja szerinti referencia név, ott az engedélyező hatóság a </w:t>
      </w:r>
      <w:proofErr w:type="spellStart"/>
      <w:r w:rsidR="000D5917" w:rsidRPr="00465B2A">
        <w:rPr>
          <w:rFonts w:eastAsia="Times New Roman"/>
          <w:color w:val="000000"/>
          <w:lang w:eastAsia="hu-HU"/>
        </w:rPr>
        <w:t>MódR</w:t>
      </w:r>
      <w:proofErr w:type="spellEnd"/>
      <w:r w:rsidR="000D5917" w:rsidRPr="00465B2A">
        <w:rPr>
          <w:rFonts w:eastAsia="Times New Roman"/>
          <w:color w:val="000000"/>
          <w:lang w:eastAsia="hu-HU"/>
        </w:rPr>
        <w:t>. hatályba lépését követő egy éven belül nyilatkozattételre szólítja fel az engedélyest.</w:t>
      </w:r>
    </w:p>
    <w:p w:rsidR="000D5917" w:rsidRPr="00465B2A" w:rsidRDefault="000D5917" w:rsidP="000D5917">
      <w:pPr>
        <w:spacing w:after="20" w:line="240" w:lineRule="auto"/>
        <w:jc w:val="both"/>
        <w:rPr>
          <w:rFonts w:eastAsia="Times New Roman"/>
          <w:color w:val="000000"/>
          <w:lang w:eastAsia="hu-HU"/>
        </w:rPr>
      </w:pPr>
    </w:p>
    <w:p w:rsidR="00C871C9" w:rsidRPr="00465B2A" w:rsidRDefault="00A50EE3" w:rsidP="007A42E4">
      <w:pPr>
        <w:autoSpaceDE w:val="0"/>
        <w:autoSpaceDN w:val="0"/>
        <w:adjustRightInd w:val="0"/>
        <w:spacing w:after="0" w:line="240" w:lineRule="auto"/>
        <w:jc w:val="both"/>
        <w:rPr>
          <w:rFonts w:eastAsia="Times New Roman"/>
          <w:color w:val="000000"/>
          <w:lang w:eastAsia="hu-HU"/>
        </w:rPr>
      </w:pPr>
      <w:r w:rsidRPr="00465B2A">
        <w:rPr>
          <w:rFonts w:eastAsia="Times New Roman"/>
          <w:color w:val="000000"/>
          <w:lang w:eastAsia="hu-HU"/>
        </w:rPr>
        <w:t xml:space="preserve">(3c) A </w:t>
      </w:r>
      <w:proofErr w:type="spellStart"/>
      <w:r w:rsidR="00427728" w:rsidRPr="00465B2A">
        <w:rPr>
          <w:rFonts w:eastAsia="Times New Roman"/>
          <w:color w:val="000000"/>
          <w:lang w:eastAsia="hu-HU"/>
        </w:rPr>
        <w:t>MódR.-tel</w:t>
      </w:r>
      <w:proofErr w:type="spellEnd"/>
      <w:r w:rsidR="00427728" w:rsidRPr="00465B2A">
        <w:rPr>
          <w:rFonts w:eastAsia="Times New Roman"/>
          <w:color w:val="000000"/>
          <w:lang w:eastAsia="hu-HU"/>
        </w:rPr>
        <w:t xml:space="preserve"> megállapított 11. § (6)-(8) bekezdés</w:t>
      </w:r>
      <w:r w:rsidR="008B7996" w:rsidRPr="00465B2A">
        <w:rPr>
          <w:rFonts w:eastAsia="Times New Roman"/>
          <w:color w:val="000000"/>
          <w:lang w:eastAsia="hu-HU"/>
        </w:rPr>
        <w:t>ei</w:t>
      </w:r>
      <w:r w:rsidRPr="00465B2A">
        <w:rPr>
          <w:rFonts w:eastAsia="Times New Roman"/>
          <w:color w:val="000000"/>
          <w:lang w:eastAsia="hu-HU"/>
        </w:rPr>
        <w:t xml:space="preserve">ben és 12. § (1) bekezdésében foglaltaknak </w:t>
      </w:r>
      <w:r w:rsidR="00EE1D73" w:rsidRPr="00465B2A">
        <w:rPr>
          <w:rFonts w:eastAsia="Times New Roman"/>
          <w:color w:val="000000"/>
          <w:lang w:eastAsia="hu-HU"/>
        </w:rPr>
        <w:t xml:space="preserve">a </w:t>
      </w:r>
      <w:proofErr w:type="spellStart"/>
      <w:r w:rsidR="00EE1D73" w:rsidRPr="00465B2A">
        <w:rPr>
          <w:rFonts w:eastAsia="Times New Roman"/>
          <w:color w:val="000000"/>
          <w:lang w:eastAsia="hu-HU"/>
        </w:rPr>
        <w:t>MódR</w:t>
      </w:r>
      <w:proofErr w:type="spellEnd"/>
      <w:r w:rsidR="00EE1D73" w:rsidRPr="00465B2A">
        <w:rPr>
          <w:rFonts w:eastAsia="Times New Roman"/>
          <w:color w:val="000000"/>
          <w:lang w:eastAsia="hu-HU"/>
        </w:rPr>
        <w:t>.</w:t>
      </w:r>
      <w:r w:rsidRPr="00465B2A">
        <w:rPr>
          <w:rFonts w:eastAsia="Times New Roman"/>
          <w:color w:val="000000"/>
          <w:lang w:eastAsia="hu-HU"/>
        </w:rPr>
        <w:t xml:space="preserve"> hatályba lépését követő </w:t>
      </w:r>
      <w:r w:rsidR="00C175C0" w:rsidRPr="00465B2A">
        <w:rPr>
          <w:rFonts w:eastAsia="Times New Roman"/>
          <w:color w:val="000000"/>
          <w:lang w:eastAsia="hu-HU"/>
        </w:rPr>
        <w:t>három</w:t>
      </w:r>
      <w:r w:rsidRPr="00465B2A">
        <w:rPr>
          <w:rFonts w:eastAsia="Times New Roman"/>
          <w:color w:val="000000"/>
          <w:lang w:eastAsia="hu-HU"/>
        </w:rPr>
        <w:t xml:space="preserve"> hónap elteltével gyártott tételek esetében kell megfelelni.  </w:t>
      </w:r>
      <w:r w:rsidR="00C175C0" w:rsidRPr="00465B2A">
        <w:rPr>
          <w:rFonts w:eastAsia="Times New Roman"/>
          <w:color w:val="000000"/>
          <w:lang w:eastAsia="hu-HU"/>
        </w:rPr>
        <w:t xml:space="preserve">A </w:t>
      </w:r>
      <w:proofErr w:type="spellStart"/>
      <w:r w:rsidR="00C175C0" w:rsidRPr="00465B2A">
        <w:rPr>
          <w:rFonts w:eastAsia="Times New Roman"/>
          <w:color w:val="000000"/>
          <w:lang w:eastAsia="hu-HU"/>
        </w:rPr>
        <w:t>MódR</w:t>
      </w:r>
      <w:proofErr w:type="spellEnd"/>
      <w:r w:rsidR="00C175C0" w:rsidRPr="00465B2A">
        <w:rPr>
          <w:rFonts w:eastAsia="Times New Roman"/>
          <w:color w:val="000000"/>
          <w:lang w:eastAsia="hu-HU"/>
        </w:rPr>
        <w:t>.</w:t>
      </w:r>
      <w:r w:rsidRPr="00465B2A">
        <w:rPr>
          <w:rFonts w:eastAsia="Times New Roman"/>
          <w:color w:val="000000"/>
          <w:lang w:eastAsia="hu-HU"/>
        </w:rPr>
        <w:t xml:space="preserve"> hatályba</w:t>
      </w:r>
      <w:r w:rsidR="00C175C0" w:rsidRPr="00465B2A">
        <w:rPr>
          <w:rFonts w:eastAsia="Times New Roman"/>
          <w:color w:val="000000"/>
          <w:lang w:eastAsia="hu-HU"/>
        </w:rPr>
        <w:t xml:space="preserve"> </w:t>
      </w:r>
      <w:r w:rsidRPr="00465B2A">
        <w:rPr>
          <w:rFonts w:eastAsia="Times New Roman"/>
          <w:color w:val="000000"/>
          <w:lang w:eastAsia="hu-HU"/>
        </w:rPr>
        <w:t xml:space="preserve">lépését követő </w:t>
      </w:r>
      <w:r w:rsidR="00C175C0" w:rsidRPr="00465B2A">
        <w:rPr>
          <w:rFonts w:eastAsia="Times New Roman"/>
          <w:color w:val="000000"/>
          <w:lang w:eastAsia="hu-HU"/>
        </w:rPr>
        <w:t>három</w:t>
      </w:r>
      <w:r w:rsidRPr="00465B2A">
        <w:rPr>
          <w:rFonts w:eastAsia="Times New Roman"/>
          <w:color w:val="000000"/>
          <w:lang w:eastAsia="hu-HU"/>
        </w:rPr>
        <w:t xml:space="preserve"> hónapot megelőzően gyártott tételek raktárakban és kereskedelmi forgalomban található készletei legkésőbb </w:t>
      </w:r>
      <w:r w:rsidR="00C175C0" w:rsidRPr="00465B2A">
        <w:rPr>
          <w:rFonts w:eastAsia="Times New Roman"/>
          <w:color w:val="000000"/>
          <w:lang w:eastAsia="hu-HU"/>
        </w:rPr>
        <w:t xml:space="preserve">a </w:t>
      </w:r>
      <w:proofErr w:type="spellStart"/>
      <w:r w:rsidR="00C175C0" w:rsidRPr="00465B2A">
        <w:rPr>
          <w:rFonts w:eastAsia="Times New Roman"/>
          <w:color w:val="000000"/>
          <w:lang w:eastAsia="hu-HU"/>
        </w:rPr>
        <w:t>MódR</w:t>
      </w:r>
      <w:proofErr w:type="spellEnd"/>
      <w:r w:rsidR="00C175C0" w:rsidRPr="00465B2A">
        <w:rPr>
          <w:rFonts w:eastAsia="Times New Roman"/>
          <w:color w:val="000000"/>
          <w:lang w:eastAsia="hu-HU"/>
        </w:rPr>
        <w:t>.</w:t>
      </w:r>
      <w:r w:rsidRPr="00465B2A">
        <w:rPr>
          <w:rFonts w:eastAsia="Times New Roman"/>
          <w:color w:val="000000"/>
          <w:lang w:eastAsia="hu-HU"/>
        </w:rPr>
        <w:t xml:space="preserve"> hatályba</w:t>
      </w:r>
      <w:r w:rsidR="00C175C0" w:rsidRPr="00465B2A">
        <w:rPr>
          <w:rFonts w:eastAsia="Times New Roman"/>
          <w:color w:val="000000"/>
          <w:lang w:eastAsia="hu-HU"/>
        </w:rPr>
        <w:t xml:space="preserve"> </w:t>
      </w:r>
      <w:r w:rsidRPr="00465B2A">
        <w:rPr>
          <w:rFonts w:eastAsia="Times New Roman"/>
          <w:color w:val="000000"/>
          <w:lang w:eastAsia="hu-HU"/>
        </w:rPr>
        <w:t>lépését követő egy évig hozhatók forgalomba az eredeti csomagolásban, ezt követően a gyártó vagy az első magyarországi forgalomba hozó köteles a forgalomban maradó tételek csomagolóeszközét a 11. § (6)-(8) be</w:t>
      </w:r>
      <w:r w:rsidR="008B7996" w:rsidRPr="00465B2A">
        <w:rPr>
          <w:rFonts w:eastAsia="Times New Roman"/>
          <w:color w:val="000000"/>
          <w:lang w:eastAsia="hu-HU"/>
        </w:rPr>
        <w:t>kezdései</w:t>
      </w:r>
      <w:r w:rsidRPr="00465B2A">
        <w:rPr>
          <w:rFonts w:eastAsia="Times New Roman"/>
          <w:color w:val="000000"/>
          <w:lang w:eastAsia="hu-HU"/>
        </w:rPr>
        <w:t>nek és a 12. § (1) bekezdésének átcímkézéssel vagy átcsomagolással megfeleltetni.</w:t>
      </w:r>
    </w:p>
    <w:p w:rsidR="0098679B" w:rsidRPr="00465B2A" w:rsidRDefault="0098679B" w:rsidP="007A42E4">
      <w:pPr>
        <w:autoSpaceDE w:val="0"/>
        <w:autoSpaceDN w:val="0"/>
        <w:adjustRightInd w:val="0"/>
        <w:spacing w:after="0" w:line="240" w:lineRule="auto"/>
        <w:jc w:val="both"/>
        <w:rPr>
          <w:rFonts w:eastAsia="Times New Roman"/>
          <w:color w:val="000000"/>
          <w:lang w:eastAsia="hu-HU"/>
        </w:rPr>
      </w:pPr>
    </w:p>
    <w:p w:rsidR="0098679B" w:rsidRPr="00465B2A" w:rsidRDefault="0098679B" w:rsidP="007A42E4">
      <w:pPr>
        <w:autoSpaceDE w:val="0"/>
        <w:autoSpaceDN w:val="0"/>
        <w:adjustRightInd w:val="0"/>
        <w:spacing w:after="0" w:line="240" w:lineRule="auto"/>
        <w:jc w:val="both"/>
        <w:rPr>
          <w:rFonts w:cs="Times New Roman"/>
        </w:rPr>
      </w:pPr>
      <w:r w:rsidRPr="00465B2A">
        <w:rPr>
          <w:rFonts w:eastAsia="Times New Roman"/>
          <w:color w:val="000000"/>
          <w:lang w:eastAsia="hu-HU"/>
        </w:rPr>
        <w:t xml:space="preserve">(3d) A </w:t>
      </w:r>
      <w:proofErr w:type="spellStart"/>
      <w:r w:rsidRPr="00465B2A">
        <w:rPr>
          <w:rFonts w:eastAsia="Times New Roman"/>
          <w:color w:val="000000"/>
          <w:lang w:eastAsia="hu-HU"/>
        </w:rPr>
        <w:t>MódR</w:t>
      </w:r>
      <w:proofErr w:type="spellEnd"/>
      <w:r w:rsidRPr="00465B2A">
        <w:rPr>
          <w:rFonts w:eastAsia="Times New Roman"/>
          <w:color w:val="000000"/>
          <w:lang w:eastAsia="hu-HU"/>
        </w:rPr>
        <w:t>. hatályba lépését megelőzően kiadott engedélyek esetében a termékállandóság vizsgálatánál a toxikus elemek vonatkozásában a 3. mellékletében található maximális határértékek irányadóak.”</w:t>
      </w:r>
    </w:p>
    <w:p w:rsidR="002A3D99" w:rsidRPr="00465B2A" w:rsidRDefault="002A3D99" w:rsidP="007A42E4">
      <w:pPr>
        <w:autoSpaceDE w:val="0"/>
        <w:autoSpaceDN w:val="0"/>
        <w:adjustRightInd w:val="0"/>
        <w:spacing w:after="0" w:line="240" w:lineRule="auto"/>
        <w:jc w:val="both"/>
        <w:rPr>
          <w:rFonts w:cs="Times New Roman"/>
        </w:rPr>
      </w:pPr>
    </w:p>
    <w:p w:rsidR="005E37D4" w:rsidRPr="005E37D4" w:rsidRDefault="005E37D4" w:rsidP="00B55E36">
      <w:pPr>
        <w:autoSpaceDE w:val="0"/>
        <w:autoSpaceDN w:val="0"/>
        <w:adjustRightInd w:val="0"/>
        <w:spacing w:after="0" w:line="240" w:lineRule="auto"/>
        <w:rPr>
          <w:rFonts w:cs="Times New Roman"/>
        </w:rPr>
      </w:pPr>
      <w:r w:rsidRPr="00B55E36">
        <w:rPr>
          <w:rFonts w:cs="Times New Roman"/>
        </w:rPr>
        <w:t xml:space="preserve">(2) Az R. </w:t>
      </w:r>
      <w:r w:rsidRPr="005E37D4">
        <w:rPr>
          <w:rFonts w:cs="Times New Roman"/>
        </w:rPr>
        <w:t>18. §</w:t>
      </w:r>
      <w:proofErr w:type="spellStart"/>
      <w:r w:rsidRPr="005E37D4">
        <w:rPr>
          <w:rFonts w:cs="Times New Roman"/>
        </w:rPr>
        <w:t>-a</w:t>
      </w:r>
      <w:proofErr w:type="spellEnd"/>
      <w:r w:rsidRPr="005E37D4">
        <w:rPr>
          <w:rFonts w:cs="Times New Roman"/>
        </w:rPr>
        <w:t xml:space="preserve"> a következő (5) bekezdéssel egészül ki:</w:t>
      </w:r>
    </w:p>
    <w:p w:rsidR="005E37D4" w:rsidRDefault="005E37D4" w:rsidP="00B55E36">
      <w:pPr>
        <w:autoSpaceDE w:val="0"/>
        <w:autoSpaceDN w:val="0"/>
        <w:adjustRightInd w:val="0"/>
        <w:spacing w:after="0" w:line="240" w:lineRule="auto"/>
        <w:rPr>
          <w:rFonts w:cs="Times New Roman"/>
        </w:rPr>
      </w:pPr>
    </w:p>
    <w:p w:rsidR="005E37D4" w:rsidRPr="00465B2A" w:rsidRDefault="005E37D4" w:rsidP="005E37D4">
      <w:pPr>
        <w:autoSpaceDE w:val="0"/>
        <w:autoSpaceDN w:val="0"/>
        <w:adjustRightInd w:val="0"/>
        <w:spacing w:after="0" w:line="240" w:lineRule="auto"/>
        <w:jc w:val="both"/>
        <w:rPr>
          <w:rFonts w:eastAsia="Times New Roman"/>
          <w:color w:val="000000"/>
          <w:lang w:eastAsia="hu-HU"/>
        </w:rPr>
      </w:pPr>
      <w:r>
        <w:rPr>
          <w:rFonts w:eastAsia="Times New Roman"/>
          <w:color w:val="000000"/>
          <w:lang w:eastAsia="hu-HU"/>
        </w:rPr>
        <w:t>„</w:t>
      </w:r>
      <w:r w:rsidRPr="00465B2A">
        <w:rPr>
          <w:rFonts w:eastAsia="Times New Roman"/>
          <w:color w:val="000000"/>
          <w:lang w:eastAsia="hu-HU"/>
        </w:rPr>
        <w:t>A</w:t>
      </w:r>
      <w:r w:rsidR="00B55E36">
        <w:rPr>
          <w:rFonts w:eastAsia="Times New Roman"/>
          <w:color w:val="000000"/>
          <w:lang w:eastAsia="hu-HU"/>
        </w:rPr>
        <w:t>z 1. § (4) bekezdése, 2. § 8. és 12-19. pontja, 3. § (4) és (5) bekezdése, 4. § (1), (4) és (6) bekezdése, 4/A. §</w:t>
      </w:r>
      <w:proofErr w:type="spellStart"/>
      <w:r w:rsidR="00B55E36">
        <w:rPr>
          <w:rFonts w:eastAsia="Times New Roman"/>
          <w:color w:val="000000"/>
          <w:lang w:eastAsia="hu-HU"/>
        </w:rPr>
        <w:t>-a</w:t>
      </w:r>
      <w:proofErr w:type="spellEnd"/>
      <w:r w:rsidR="00B55E36">
        <w:rPr>
          <w:rFonts w:eastAsia="Times New Roman"/>
          <w:color w:val="000000"/>
          <w:lang w:eastAsia="hu-HU"/>
        </w:rPr>
        <w:t xml:space="preserve">, 7. § </w:t>
      </w:r>
      <w:r w:rsidR="00AE448E">
        <w:rPr>
          <w:rFonts w:eastAsia="Times New Roman"/>
          <w:color w:val="000000"/>
          <w:lang w:eastAsia="hu-HU"/>
        </w:rPr>
        <w:t xml:space="preserve">(4) bekezdése és </w:t>
      </w:r>
      <w:r w:rsidR="00B55E36">
        <w:rPr>
          <w:rFonts w:eastAsia="Times New Roman"/>
          <w:color w:val="000000"/>
          <w:lang w:eastAsia="hu-HU"/>
        </w:rPr>
        <w:t>(5) bekezdés c), e)</w:t>
      </w:r>
      <w:r w:rsidR="00AE448E">
        <w:rPr>
          <w:rFonts w:eastAsia="Times New Roman"/>
          <w:color w:val="000000"/>
          <w:lang w:eastAsia="hu-HU"/>
        </w:rPr>
        <w:t>,</w:t>
      </w:r>
      <w:r w:rsidR="00B55E36">
        <w:rPr>
          <w:rFonts w:eastAsia="Times New Roman"/>
          <w:color w:val="000000"/>
          <w:lang w:eastAsia="hu-HU"/>
        </w:rPr>
        <w:t xml:space="preserve"> g)</w:t>
      </w:r>
      <w:r w:rsidR="00AE448E">
        <w:rPr>
          <w:rFonts w:eastAsia="Times New Roman"/>
          <w:color w:val="000000"/>
          <w:lang w:eastAsia="hu-HU"/>
        </w:rPr>
        <w:t xml:space="preserve"> és n)</w:t>
      </w:r>
      <w:r w:rsidR="00B55E36">
        <w:rPr>
          <w:rFonts w:eastAsia="Times New Roman"/>
          <w:color w:val="000000"/>
          <w:lang w:eastAsia="hu-HU"/>
        </w:rPr>
        <w:t xml:space="preserve"> pontja, </w:t>
      </w:r>
      <w:r w:rsidR="00AE448E">
        <w:rPr>
          <w:rFonts w:eastAsia="Times New Roman"/>
          <w:color w:val="000000"/>
          <w:lang w:eastAsia="hu-HU"/>
        </w:rPr>
        <w:t>8. § (2) bekezdése, 9. §</w:t>
      </w:r>
      <w:proofErr w:type="spellStart"/>
      <w:r w:rsidR="00AE448E">
        <w:rPr>
          <w:rFonts w:eastAsia="Times New Roman"/>
          <w:color w:val="000000"/>
          <w:lang w:eastAsia="hu-HU"/>
        </w:rPr>
        <w:t>-át</w:t>
      </w:r>
      <w:proofErr w:type="spellEnd"/>
      <w:r w:rsidR="00AE448E">
        <w:rPr>
          <w:rFonts w:eastAsia="Times New Roman"/>
          <w:color w:val="000000"/>
          <w:lang w:eastAsia="hu-HU"/>
        </w:rPr>
        <w:t xml:space="preserve"> megelőző alcíme, </w:t>
      </w:r>
      <w:r w:rsidR="00B55E36">
        <w:rPr>
          <w:rFonts w:eastAsia="Times New Roman"/>
          <w:color w:val="000000"/>
          <w:lang w:eastAsia="hu-HU"/>
        </w:rPr>
        <w:t>9. § (2a) bekezdése</w:t>
      </w:r>
      <w:r w:rsidR="00AE448E">
        <w:rPr>
          <w:rFonts w:eastAsia="Times New Roman"/>
          <w:color w:val="000000"/>
          <w:lang w:eastAsia="hu-HU"/>
        </w:rPr>
        <w:t>,</w:t>
      </w:r>
      <w:r w:rsidR="00B55E36">
        <w:rPr>
          <w:rFonts w:eastAsia="Times New Roman"/>
          <w:color w:val="000000"/>
          <w:lang w:eastAsia="hu-HU"/>
        </w:rPr>
        <w:t xml:space="preserve"> (6) bekezdés b) pontja, (6a) és (6b) bekezdése és </w:t>
      </w:r>
      <w:r w:rsidR="00AE448E">
        <w:rPr>
          <w:rFonts w:eastAsia="Times New Roman"/>
          <w:color w:val="000000"/>
          <w:lang w:eastAsia="hu-HU"/>
        </w:rPr>
        <w:t>(9) bekezdése, 10. § (8) bekezdése, 11. § (3)-(9) bekezdése, 12. § (1)-(1b) bekezdése, 13. § (1), (2) és (4)-(8) bekezdése, 14. és 15. §</w:t>
      </w:r>
      <w:proofErr w:type="spellStart"/>
      <w:r w:rsidR="00AE448E">
        <w:rPr>
          <w:rFonts w:eastAsia="Times New Roman"/>
          <w:color w:val="000000"/>
          <w:lang w:eastAsia="hu-HU"/>
        </w:rPr>
        <w:t>-a</w:t>
      </w:r>
      <w:proofErr w:type="spellEnd"/>
      <w:r w:rsidR="00AE448E">
        <w:rPr>
          <w:rFonts w:eastAsia="Times New Roman"/>
          <w:color w:val="000000"/>
          <w:lang w:eastAsia="hu-HU"/>
        </w:rPr>
        <w:t xml:space="preserve">, 17. § (5) és (7) bekezdése, 18. § </w:t>
      </w:r>
      <w:r w:rsidR="00AE448E">
        <w:rPr>
          <w:rFonts w:eastAsia="Times New Roman"/>
          <w:color w:val="000000"/>
          <w:lang w:eastAsia="hu-HU"/>
        </w:rPr>
        <w:lastRenderedPageBreak/>
        <w:t>(2)-(3d) bekezdése, 1. számú melléklet 3., 7. pontja, 8. pont 8.3. alpontja,  13. pontja, 15. pont 15.6-15.13. alpontja, 2. számú melléklet 4.6.1., 5.6.1., 6.6.1</w:t>
      </w:r>
      <w:r w:rsidR="00CF22CA">
        <w:rPr>
          <w:rFonts w:eastAsia="Times New Roman"/>
          <w:color w:val="000000"/>
          <w:lang w:eastAsia="hu-HU"/>
        </w:rPr>
        <w:t>.</w:t>
      </w:r>
      <w:r w:rsidR="00AE448E">
        <w:rPr>
          <w:rFonts w:eastAsia="Times New Roman"/>
          <w:color w:val="000000"/>
          <w:lang w:eastAsia="hu-HU"/>
        </w:rPr>
        <w:t xml:space="preserve">, 8.6.1., 9.6.1., 10.5.1. pontja, </w:t>
      </w:r>
      <w:r w:rsidR="00CF22CA">
        <w:rPr>
          <w:rFonts w:eastAsia="Times New Roman"/>
          <w:color w:val="000000"/>
          <w:lang w:eastAsia="hu-HU"/>
        </w:rPr>
        <w:t xml:space="preserve">2. számú melléklet 4.6.1., 5.6.1., 6.6.1., 8.6.1., 9.6.1., 10.1., 10.5.1., 10.6. pontja, 8. pont 8.3. és 8.8-8.10. alpontja, 1.4., 1.7., 2.3., 2.7, </w:t>
      </w:r>
      <w:r w:rsidR="00404CA4">
        <w:rPr>
          <w:rFonts w:eastAsia="Times New Roman"/>
          <w:color w:val="000000"/>
          <w:lang w:eastAsia="hu-HU"/>
        </w:rPr>
        <w:t xml:space="preserve">4.2., </w:t>
      </w:r>
      <w:r w:rsidR="00CF22CA">
        <w:rPr>
          <w:rFonts w:eastAsia="Times New Roman"/>
          <w:color w:val="000000"/>
          <w:lang w:eastAsia="hu-HU"/>
        </w:rPr>
        <w:t xml:space="preserve">4.3., 5.3., 5.7., </w:t>
      </w:r>
      <w:r w:rsidR="00404CA4">
        <w:rPr>
          <w:rFonts w:eastAsia="Times New Roman"/>
          <w:color w:val="000000"/>
          <w:lang w:eastAsia="hu-HU"/>
        </w:rPr>
        <w:t xml:space="preserve">6.2., </w:t>
      </w:r>
      <w:r w:rsidR="00CF22CA">
        <w:rPr>
          <w:rFonts w:eastAsia="Times New Roman"/>
          <w:color w:val="000000"/>
          <w:lang w:eastAsia="hu-HU"/>
        </w:rPr>
        <w:t xml:space="preserve">6.3., 6.7., 7.3., 7.6., 9.3., 9.7., 10.3., 10.6. pontja, </w:t>
      </w:r>
      <w:r w:rsidR="00481B8B">
        <w:rPr>
          <w:rFonts w:eastAsia="Times New Roman"/>
          <w:color w:val="000000"/>
          <w:lang w:eastAsia="hu-HU"/>
        </w:rPr>
        <w:t xml:space="preserve">3. számú melléklet </w:t>
      </w:r>
      <w:r w:rsidR="009D217F">
        <w:rPr>
          <w:rFonts w:eastAsia="Times New Roman"/>
          <w:color w:val="000000"/>
          <w:lang w:eastAsia="hu-HU"/>
        </w:rPr>
        <w:t xml:space="preserve">2.1., 2.2., </w:t>
      </w:r>
      <w:r w:rsidR="00404CA4">
        <w:rPr>
          <w:rFonts w:eastAsia="Times New Roman"/>
          <w:color w:val="000000"/>
          <w:lang w:eastAsia="hu-HU"/>
        </w:rPr>
        <w:t xml:space="preserve">2.6., </w:t>
      </w:r>
      <w:r w:rsidR="009D217F">
        <w:rPr>
          <w:rFonts w:eastAsia="Times New Roman"/>
          <w:color w:val="000000"/>
          <w:lang w:eastAsia="hu-HU"/>
        </w:rPr>
        <w:t xml:space="preserve">3.2., </w:t>
      </w:r>
      <w:r w:rsidR="00404CA4">
        <w:rPr>
          <w:rFonts w:eastAsia="Times New Roman"/>
          <w:color w:val="000000"/>
          <w:lang w:eastAsia="hu-HU"/>
        </w:rPr>
        <w:t>4.1., 4.2., 4.6., 5.6., 6.4., 8.6., 9.1., 9.2., 9.6., 10.5. pontja, 3. számú melléklet függelék</w:t>
      </w:r>
      <w:r w:rsidR="009D217F">
        <w:rPr>
          <w:rFonts w:eastAsia="Times New Roman"/>
          <w:color w:val="000000"/>
          <w:lang w:eastAsia="hu-HU"/>
        </w:rPr>
        <w:t xml:space="preserve"> E és F pont, 4. számú melléklet 12. és 17. pontja</w:t>
      </w:r>
      <w:r w:rsidRPr="00465B2A">
        <w:rPr>
          <w:rFonts w:eastAsia="Times New Roman"/>
          <w:color w:val="000000"/>
          <w:lang w:eastAsia="hu-HU"/>
        </w:rPr>
        <w:t xml:space="preserve"> tervezetének a műszaki szabványok és szabályok, valamint az információs társadalom szolgáltatásaira vonatkozó szabályok terén információszolgáltatási eljárás megállapításáról szóló, – a 98/48/EK európai parlamenti és tanácsi irányelvvel módosított – 1998. június 22-i 98/34/EK európai parlamenti és tanácsi irányelv 8–10. cikkében előírt egyeztetése megtörtént.</w:t>
      </w:r>
      <w:r>
        <w:rPr>
          <w:rFonts w:eastAsia="Times New Roman"/>
          <w:color w:val="000000"/>
          <w:lang w:eastAsia="hu-HU"/>
        </w:rPr>
        <w:t>”</w:t>
      </w:r>
    </w:p>
    <w:p w:rsidR="005E37D4" w:rsidRDefault="005E37D4" w:rsidP="00B55E36">
      <w:pPr>
        <w:autoSpaceDE w:val="0"/>
        <w:autoSpaceDN w:val="0"/>
        <w:adjustRightInd w:val="0"/>
        <w:spacing w:after="0" w:line="240" w:lineRule="auto"/>
        <w:rPr>
          <w:rFonts w:cs="Times New Roman"/>
        </w:rPr>
      </w:pPr>
    </w:p>
    <w:p w:rsidR="005E37D4" w:rsidRPr="00B55E36" w:rsidRDefault="005E37D4" w:rsidP="005E37D4">
      <w:pPr>
        <w:autoSpaceDE w:val="0"/>
        <w:autoSpaceDN w:val="0"/>
        <w:adjustRightInd w:val="0"/>
        <w:spacing w:after="0" w:line="240" w:lineRule="auto"/>
        <w:jc w:val="center"/>
        <w:rPr>
          <w:rFonts w:cs="Times New Roman"/>
          <w:b/>
        </w:rPr>
      </w:pPr>
      <w:r w:rsidRPr="00B55E36">
        <w:rPr>
          <w:rFonts w:cs="Times New Roman"/>
          <w:b/>
        </w:rPr>
        <w:t>1</w:t>
      </w:r>
      <w:r>
        <w:rPr>
          <w:rFonts w:cs="Times New Roman"/>
          <w:b/>
        </w:rPr>
        <w:t>5</w:t>
      </w:r>
      <w:r w:rsidRPr="00B55E36">
        <w:rPr>
          <w:rFonts w:cs="Times New Roman"/>
          <w:b/>
        </w:rPr>
        <w:t>. §</w:t>
      </w:r>
    </w:p>
    <w:p w:rsidR="005E37D4" w:rsidRDefault="005E37D4" w:rsidP="00B55E36">
      <w:pPr>
        <w:autoSpaceDE w:val="0"/>
        <w:autoSpaceDN w:val="0"/>
        <w:adjustRightInd w:val="0"/>
        <w:spacing w:after="0" w:line="240" w:lineRule="auto"/>
        <w:rPr>
          <w:rFonts w:cs="Times New Roman"/>
        </w:rPr>
      </w:pPr>
    </w:p>
    <w:p w:rsidR="005E37D4" w:rsidRDefault="005E37D4" w:rsidP="00B55E36">
      <w:pPr>
        <w:autoSpaceDE w:val="0"/>
        <w:autoSpaceDN w:val="0"/>
        <w:adjustRightInd w:val="0"/>
        <w:spacing w:after="0" w:line="240" w:lineRule="auto"/>
        <w:rPr>
          <w:rFonts w:cs="Times New Roman"/>
        </w:rPr>
      </w:pPr>
      <w:r>
        <w:rPr>
          <w:rFonts w:cs="Times New Roman"/>
        </w:rPr>
        <w:t xml:space="preserve">Az R. </w:t>
      </w:r>
      <w:r w:rsidRPr="00B55E36">
        <w:rPr>
          <w:rFonts w:cs="Times New Roman"/>
        </w:rPr>
        <w:t>a követk</w:t>
      </w:r>
      <w:r>
        <w:rPr>
          <w:rFonts w:cs="Times New Roman"/>
        </w:rPr>
        <w:t>e</w:t>
      </w:r>
      <w:r w:rsidRPr="00B55E36">
        <w:rPr>
          <w:rFonts w:cs="Times New Roman"/>
        </w:rPr>
        <w:t>ző 19. §</w:t>
      </w:r>
      <w:proofErr w:type="spellStart"/>
      <w:r w:rsidRPr="00B55E36">
        <w:rPr>
          <w:rFonts w:cs="Times New Roman"/>
        </w:rPr>
        <w:t>-sal</w:t>
      </w:r>
      <w:proofErr w:type="spellEnd"/>
      <w:r>
        <w:rPr>
          <w:rFonts w:cs="Times New Roman"/>
        </w:rPr>
        <w:t xml:space="preserve"> </w:t>
      </w:r>
      <w:r w:rsidRPr="00B55E36">
        <w:rPr>
          <w:rFonts w:cs="Times New Roman"/>
        </w:rPr>
        <w:t>egészül ki:</w:t>
      </w:r>
    </w:p>
    <w:p w:rsidR="005E37D4" w:rsidRDefault="005E37D4" w:rsidP="00B55E36">
      <w:pPr>
        <w:autoSpaceDE w:val="0"/>
        <w:autoSpaceDN w:val="0"/>
        <w:adjustRightInd w:val="0"/>
        <w:spacing w:after="0" w:line="240" w:lineRule="auto"/>
        <w:rPr>
          <w:rFonts w:cs="Times New Roman"/>
        </w:rPr>
      </w:pPr>
    </w:p>
    <w:p w:rsidR="005E37D4" w:rsidRPr="00EE64AB" w:rsidRDefault="005E37D4" w:rsidP="00B55E36">
      <w:pPr>
        <w:spacing w:after="0" w:line="240" w:lineRule="auto"/>
        <w:ind w:right="150"/>
        <w:jc w:val="both"/>
        <w:rPr>
          <w:rFonts w:eastAsia="Times New Roman" w:cs="Times New Roman"/>
          <w:lang w:eastAsia="hu-HU"/>
        </w:rPr>
      </w:pPr>
      <w:r>
        <w:rPr>
          <w:rFonts w:eastAsia="Times New Roman" w:cs="Times New Roman"/>
          <w:lang w:eastAsia="hu-HU"/>
        </w:rPr>
        <w:t xml:space="preserve">„19. § </w:t>
      </w:r>
      <w:r w:rsidRPr="00EE64AB">
        <w:rPr>
          <w:rFonts w:eastAsia="Times New Roman" w:cs="Times New Roman"/>
          <w:lang w:eastAsia="hu-HU"/>
        </w:rPr>
        <w:t xml:space="preserve">Az ebben a rendeletben meghatározott technikai jellegű előírásoknak nem kell megfelelnie azon </w:t>
      </w:r>
      <w:r w:rsidRPr="00B55E36">
        <w:rPr>
          <w:rFonts w:eastAsia="Times New Roman" w:cs="Times New Roman"/>
          <w:lang w:eastAsia="hu-HU"/>
        </w:rPr>
        <w:t>termésnövelő anyagnak</w:t>
      </w:r>
      <w:r w:rsidRPr="00EE64AB">
        <w:rPr>
          <w:rFonts w:eastAsia="Times New Roman" w:cs="Times New Roman"/>
          <w:lang w:eastAsia="hu-HU"/>
        </w:rPr>
        <w:t xml:space="preserve">, amelyeket az Európai Unió valamely tagállamában vagy Törökországban állítottak elő, illetve hoztak forgalomba, vagy az Európai Gazdasági Térségről szóló megállapodásban részes valamely EFTA-államban állítottak elő, az ott irányadó előírásoknak megfelelően, feltéve, hogy az irányadó előírások a </w:t>
      </w:r>
      <w:r w:rsidRPr="00B55E36">
        <w:rPr>
          <w:rFonts w:eastAsia="Times New Roman" w:cs="Times New Roman"/>
          <w:lang w:eastAsia="hu-HU"/>
        </w:rPr>
        <w:t>termésnövelő anyagra</w:t>
      </w:r>
      <w:r w:rsidRPr="00EE64AB">
        <w:rPr>
          <w:rFonts w:eastAsia="Times New Roman" w:cs="Times New Roman"/>
          <w:lang w:eastAsia="hu-HU"/>
        </w:rPr>
        <w:t xml:space="preserve"> vonatkozó forgalmazási előírásai tekintetében e rendeletben meghatározottal egyenértékű védelmet nyújtanak.</w:t>
      </w:r>
      <w:r>
        <w:rPr>
          <w:rFonts w:eastAsia="Times New Roman" w:cs="Times New Roman"/>
          <w:lang w:eastAsia="hu-HU"/>
        </w:rPr>
        <w:t>”</w:t>
      </w:r>
    </w:p>
    <w:p w:rsidR="00B77380" w:rsidRDefault="00B77380" w:rsidP="008D528C">
      <w:pPr>
        <w:autoSpaceDE w:val="0"/>
        <w:autoSpaceDN w:val="0"/>
        <w:adjustRightInd w:val="0"/>
        <w:spacing w:after="0" w:line="240" w:lineRule="auto"/>
        <w:jc w:val="center"/>
        <w:rPr>
          <w:rFonts w:cs="Times New Roman"/>
          <w:b/>
        </w:rPr>
      </w:pPr>
    </w:p>
    <w:p w:rsidR="00B77380" w:rsidRPr="00465B2A" w:rsidRDefault="00B77380" w:rsidP="008D528C">
      <w:pPr>
        <w:autoSpaceDE w:val="0"/>
        <w:autoSpaceDN w:val="0"/>
        <w:adjustRightInd w:val="0"/>
        <w:spacing w:after="0" w:line="240" w:lineRule="auto"/>
        <w:jc w:val="center"/>
        <w:rPr>
          <w:rFonts w:cs="Times New Roman"/>
          <w:b/>
        </w:rPr>
      </w:pPr>
      <w:r>
        <w:rPr>
          <w:rFonts w:cs="Times New Roman"/>
          <w:b/>
        </w:rPr>
        <w:t>1</w:t>
      </w:r>
      <w:r w:rsidR="005E37D4">
        <w:rPr>
          <w:rFonts w:cs="Times New Roman"/>
          <w:b/>
        </w:rPr>
        <w:t>6</w:t>
      </w:r>
      <w:r>
        <w:rPr>
          <w:rFonts w:cs="Times New Roman"/>
          <w:b/>
        </w:rPr>
        <w:t>. §</w:t>
      </w:r>
    </w:p>
    <w:p w:rsidR="00537042" w:rsidRPr="00465B2A" w:rsidRDefault="00537042" w:rsidP="006C3BC9">
      <w:pPr>
        <w:autoSpaceDE w:val="0"/>
        <w:autoSpaceDN w:val="0"/>
        <w:adjustRightInd w:val="0"/>
        <w:spacing w:after="0" w:line="240" w:lineRule="auto"/>
        <w:rPr>
          <w:rFonts w:cs="Times New Roman"/>
        </w:rPr>
      </w:pPr>
    </w:p>
    <w:p w:rsidR="006C3BC9" w:rsidRPr="00465B2A" w:rsidRDefault="006C3BC9" w:rsidP="006C3BC9">
      <w:pPr>
        <w:autoSpaceDE w:val="0"/>
        <w:autoSpaceDN w:val="0"/>
        <w:adjustRightInd w:val="0"/>
        <w:spacing w:after="0" w:line="240" w:lineRule="auto"/>
        <w:rPr>
          <w:rFonts w:cs="Times New Roman"/>
        </w:rPr>
      </w:pPr>
      <w:r w:rsidRPr="00465B2A">
        <w:rPr>
          <w:rFonts w:cs="Times New Roman"/>
        </w:rPr>
        <w:t>(1) Az R. 1. számú melléklete az 1. melléklet szerint módosul.</w:t>
      </w:r>
    </w:p>
    <w:p w:rsidR="006C3BC9" w:rsidRPr="00465B2A" w:rsidRDefault="006C3BC9" w:rsidP="006C3BC9">
      <w:pPr>
        <w:autoSpaceDE w:val="0"/>
        <w:autoSpaceDN w:val="0"/>
        <w:adjustRightInd w:val="0"/>
        <w:spacing w:after="0" w:line="240" w:lineRule="auto"/>
        <w:rPr>
          <w:rFonts w:cs="Times New Roman"/>
        </w:rPr>
      </w:pPr>
    </w:p>
    <w:p w:rsidR="006C3BC9" w:rsidRPr="00465B2A" w:rsidRDefault="006C3BC9" w:rsidP="006C3BC9">
      <w:pPr>
        <w:autoSpaceDE w:val="0"/>
        <w:autoSpaceDN w:val="0"/>
        <w:adjustRightInd w:val="0"/>
        <w:spacing w:after="0" w:line="240" w:lineRule="auto"/>
        <w:rPr>
          <w:rFonts w:cs="Times New Roman"/>
        </w:rPr>
      </w:pPr>
      <w:r w:rsidRPr="00465B2A">
        <w:rPr>
          <w:rFonts w:cs="Times New Roman"/>
        </w:rPr>
        <w:t>(2) Az R. 2. számú melléklete a 2. melléklet szerint módosul.</w:t>
      </w:r>
    </w:p>
    <w:p w:rsidR="006C3BC9" w:rsidRPr="00465B2A" w:rsidRDefault="006C3BC9" w:rsidP="006C3BC9">
      <w:pPr>
        <w:autoSpaceDE w:val="0"/>
        <w:autoSpaceDN w:val="0"/>
        <w:adjustRightInd w:val="0"/>
        <w:spacing w:after="0" w:line="240" w:lineRule="auto"/>
        <w:rPr>
          <w:rFonts w:cs="Times New Roman"/>
        </w:rPr>
      </w:pPr>
    </w:p>
    <w:p w:rsidR="00311D6D" w:rsidRPr="00465B2A" w:rsidRDefault="00311D6D" w:rsidP="00311D6D">
      <w:pPr>
        <w:autoSpaceDE w:val="0"/>
        <w:autoSpaceDN w:val="0"/>
        <w:adjustRightInd w:val="0"/>
        <w:spacing w:after="0" w:line="240" w:lineRule="auto"/>
        <w:rPr>
          <w:rFonts w:cs="Times New Roman"/>
        </w:rPr>
      </w:pPr>
      <w:r w:rsidRPr="00465B2A">
        <w:rPr>
          <w:rFonts w:cs="Times New Roman"/>
        </w:rPr>
        <w:t>(3) Az R. 3. számú melléklete a 3. melléklet szerint módosul.</w:t>
      </w:r>
    </w:p>
    <w:p w:rsidR="00311D6D" w:rsidRPr="00465B2A" w:rsidRDefault="00311D6D" w:rsidP="006C3BC9">
      <w:pPr>
        <w:autoSpaceDE w:val="0"/>
        <w:autoSpaceDN w:val="0"/>
        <w:adjustRightInd w:val="0"/>
        <w:spacing w:after="0" w:line="240" w:lineRule="auto"/>
        <w:rPr>
          <w:rFonts w:cs="Times New Roman"/>
        </w:rPr>
      </w:pPr>
    </w:p>
    <w:p w:rsidR="001A2120" w:rsidRPr="00465B2A" w:rsidRDefault="001A2120" w:rsidP="001A2120">
      <w:pPr>
        <w:autoSpaceDE w:val="0"/>
        <w:autoSpaceDN w:val="0"/>
        <w:adjustRightInd w:val="0"/>
        <w:spacing w:after="0" w:line="240" w:lineRule="auto"/>
        <w:rPr>
          <w:rFonts w:cs="Times New Roman"/>
        </w:rPr>
      </w:pPr>
      <w:r w:rsidRPr="00465B2A">
        <w:rPr>
          <w:rFonts w:cs="Times New Roman"/>
        </w:rPr>
        <w:t>(4) Az R. 4. számú melléklete a 4. melléklet szerint módosul.</w:t>
      </w:r>
    </w:p>
    <w:p w:rsidR="006C3BC9" w:rsidRPr="00465B2A" w:rsidRDefault="006C3BC9" w:rsidP="006C3BC9">
      <w:pPr>
        <w:autoSpaceDE w:val="0"/>
        <w:autoSpaceDN w:val="0"/>
        <w:adjustRightInd w:val="0"/>
        <w:spacing w:after="0" w:line="240" w:lineRule="auto"/>
        <w:rPr>
          <w:rFonts w:cs="Times New Roman"/>
        </w:rPr>
      </w:pPr>
    </w:p>
    <w:p w:rsidR="00537042" w:rsidRPr="00465B2A" w:rsidRDefault="005E37D4" w:rsidP="008D528C">
      <w:pPr>
        <w:autoSpaceDE w:val="0"/>
        <w:autoSpaceDN w:val="0"/>
        <w:adjustRightInd w:val="0"/>
        <w:spacing w:after="0" w:line="240" w:lineRule="auto"/>
        <w:jc w:val="center"/>
        <w:rPr>
          <w:rFonts w:cs="Times New Roman"/>
          <w:b/>
        </w:rPr>
      </w:pPr>
      <w:r w:rsidRPr="00465B2A">
        <w:rPr>
          <w:rFonts w:cs="Times New Roman"/>
          <w:b/>
        </w:rPr>
        <w:t>1</w:t>
      </w:r>
      <w:r>
        <w:rPr>
          <w:rFonts w:cs="Times New Roman"/>
          <w:b/>
        </w:rPr>
        <w:t>7</w:t>
      </w:r>
      <w:r w:rsidR="00537042" w:rsidRPr="00465B2A">
        <w:rPr>
          <w:rFonts w:cs="Times New Roman"/>
          <w:b/>
        </w:rPr>
        <w:t>. §</w:t>
      </w:r>
    </w:p>
    <w:p w:rsidR="002432C9" w:rsidRPr="00465B2A" w:rsidRDefault="002432C9" w:rsidP="007A42E4">
      <w:pPr>
        <w:autoSpaceDE w:val="0"/>
        <w:autoSpaceDN w:val="0"/>
        <w:adjustRightInd w:val="0"/>
        <w:spacing w:after="0" w:line="240" w:lineRule="auto"/>
        <w:jc w:val="both"/>
        <w:rPr>
          <w:rFonts w:cs="Times New Roman"/>
        </w:rPr>
      </w:pPr>
    </w:p>
    <w:p w:rsidR="00D838B0" w:rsidRPr="00465B2A" w:rsidRDefault="002432C9" w:rsidP="00D838B0">
      <w:pPr>
        <w:autoSpaceDE w:val="0"/>
        <w:autoSpaceDN w:val="0"/>
        <w:adjustRightInd w:val="0"/>
        <w:spacing w:after="0" w:line="240" w:lineRule="auto"/>
        <w:jc w:val="both"/>
        <w:rPr>
          <w:rFonts w:cs="Times New Roman"/>
        </w:rPr>
      </w:pPr>
      <w:r w:rsidRPr="00465B2A">
        <w:rPr>
          <w:rFonts w:cs="Times New Roman"/>
        </w:rPr>
        <w:t xml:space="preserve">Az R. </w:t>
      </w:r>
    </w:p>
    <w:p w:rsidR="00D838B0" w:rsidRPr="00465B2A" w:rsidRDefault="00D838B0" w:rsidP="00D838B0">
      <w:pPr>
        <w:pStyle w:val="Listaszerbekezds"/>
        <w:numPr>
          <w:ilvl w:val="0"/>
          <w:numId w:val="35"/>
        </w:numPr>
        <w:autoSpaceDE w:val="0"/>
        <w:autoSpaceDN w:val="0"/>
        <w:adjustRightInd w:val="0"/>
        <w:spacing w:after="0" w:line="240" w:lineRule="auto"/>
        <w:jc w:val="both"/>
        <w:rPr>
          <w:rFonts w:cs="Times New Roman"/>
        </w:rPr>
      </w:pPr>
      <w:r w:rsidRPr="00465B2A">
        <w:rPr>
          <w:rFonts w:cs="Times New Roman"/>
        </w:rPr>
        <w:t>7. § (5) bekezdés n) pontjában a „szavatossági” szövegrész helyébe a „felhasználhatósági” szöveg</w:t>
      </w:r>
      <w:r w:rsidR="000F3BF9" w:rsidRPr="00465B2A">
        <w:rPr>
          <w:rFonts w:cs="Times New Roman"/>
        </w:rPr>
        <w:t>,</w:t>
      </w:r>
    </w:p>
    <w:p w:rsidR="009F6174" w:rsidRPr="00465B2A" w:rsidRDefault="000F3BF9" w:rsidP="00D838B0">
      <w:pPr>
        <w:pStyle w:val="Listaszerbekezds"/>
        <w:numPr>
          <w:ilvl w:val="0"/>
          <w:numId w:val="35"/>
        </w:numPr>
        <w:autoSpaceDE w:val="0"/>
        <w:autoSpaceDN w:val="0"/>
        <w:adjustRightInd w:val="0"/>
        <w:spacing w:after="0" w:line="240" w:lineRule="auto"/>
        <w:jc w:val="both"/>
        <w:rPr>
          <w:rFonts w:cs="Times New Roman"/>
        </w:rPr>
      </w:pPr>
      <w:r w:rsidRPr="00465B2A">
        <w:rPr>
          <w:rFonts w:cs="Times New Roman"/>
        </w:rPr>
        <w:t>8. § (2) bekezdésében a „4. és 7. §</w:t>
      </w:r>
      <w:proofErr w:type="spellStart"/>
      <w:r w:rsidRPr="00465B2A">
        <w:rPr>
          <w:rFonts w:cs="Times New Roman"/>
        </w:rPr>
        <w:t>-ban</w:t>
      </w:r>
      <w:proofErr w:type="spellEnd"/>
      <w:r w:rsidRPr="00465B2A">
        <w:rPr>
          <w:rFonts w:cs="Times New Roman"/>
        </w:rPr>
        <w:t>” szövegrész helyébe a „4-4/B. és 7. §</w:t>
      </w:r>
      <w:proofErr w:type="spellStart"/>
      <w:r w:rsidRPr="00465B2A">
        <w:rPr>
          <w:rFonts w:cs="Times New Roman"/>
        </w:rPr>
        <w:t>-ban</w:t>
      </w:r>
      <w:proofErr w:type="spellEnd"/>
      <w:r w:rsidRPr="00465B2A">
        <w:rPr>
          <w:rFonts w:cs="Times New Roman"/>
        </w:rPr>
        <w:t>” szöveg</w:t>
      </w:r>
      <w:r w:rsidR="009F6174" w:rsidRPr="00465B2A">
        <w:rPr>
          <w:rFonts w:cs="Times New Roman"/>
        </w:rPr>
        <w:t>,</w:t>
      </w:r>
    </w:p>
    <w:p w:rsidR="000F3BF9" w:rsidRPr="00465B2A" w:rsidRDefault="009F6174" w:rsidP="00D838B0">
      <w:pPr>
        <w:pStyle w:val="Listaszerbekezds"/>
        <w:numPr>
          <w:ilvl w:val="0"/>
          <w:numId w:val="35"/>
        </w:numPr>
        <w:autoSpaceDE w:val="0"/>
        <w:autoSpaceDN w:val="0"/>
        <w:adjustRightInd w:val="0"/>
        <w:spacing w:after="0" w:line="240" w:lineRule="auto"/>
        <w:jc w:val="both"/>
        <w:rPr>
          <w:rFonts w:cs="Times New Roman"/>
        </w:rPr>
      </w:pPr>
      <w:r w:rsidRPr="00465B2A">
        <w:rPr>
          <w:rFonts w:cs="Times New Roman"/>
        </w:rPr>
        <w:t>9. §</w:t>
      </w:r>
      <w:proofErr w:type="spellStart"/>
      <w:r w:rsidRPr="00465B2A">
        <w:rPr>
          <w:rFonts w:cs="Times New Roman"/>
        </w:rPr>
        <w:t>-át</w:t>
      </w:r>
      <w:proofErr w:type="spellEnd"/>
      <w:r w:rsidRPr="00465B2A">
        <w:rPr>
          <w:rFonts w:cs="Times New Roman"/>
        </w:rPr>
        <w:t xml:space="preserve"> megelőző alcímben a „szüneteltetése” szövegrész helyébe a „szüneteltetése, felfüggesztése” szöveg</w:t>
      </w:r>
      <w:r w:rsidR="000F3BF9" w:rsidRPr="00465B2A">
        <w:rPr>
          <w:rFonts w:cs="Times New Roman"/>
        </w:rPr>
        <w:t xml:space="preserve"> </w:t>
      </w:r>
    </w:p>
    <w:p w:rsidR="00D838B0" w:rsidRPr="00465B2A" w:rsidRDefault="00D838B0" w:rsidP="00D838B0">
      <w:pPr>
        <w:autoSpaceDE w:val="0"/>
        <w:autoSpaceDN w:val="0"/>
        <w:adjustRightInd w:val="0"/>
        <w:spacing w:after="0" w:line="240" w:lineRule="auto"/>
        <w:jc w:val="both"/>
        <w:rPr>
          <w:rFonts w:cs="Times New Roman"/>
        </w:rPr>
      </w:pPr>
      <w:r w:rsidRPr="00465B2A">
        <w:rPr>
          <w:rFonts w:cs="Times New Roman"/>
        </w:rPr>
        <w:t>lép.</w:t>
      </w:r>
    </w:p>
    <w:p w:rsidR="002432C9" w:rsidRPr="00465B2A" w:rsidRDefault="002432C9" w:rsidP="007A42E4">
      <w:pPr>
        <w:autoSpaceDE w:val="0"/>
        <w:autoSpaceDN w:val="0"/>
        <w:adjustRightInd w:val="0"/>
        <w:spacing w:after="0" w:line="240" w:lineRule="auto"/>
        <w:jc w:val="both"/>
        <w:rPr>
          <w:rFonts w:cs="Times New Roman"/>
        </w:rPr>
      </w:pPr>
    </w:p>
    <w:p w:rsidR="002A4B5C" w:rsidRPr="00465B2A" w:rsidRDefault="005E37D4" w:rsidP="008D528C">
      <w:pPr>
        <w:autoSpaceDE w:val="0"/>
        <w:autoSpaceDN w:val="0"/>
        <w:adjustRightInd w:val="0"/>
        <w:spacing w:after="0" w:line="240" w:lineRule="auto"/>
        <w:jc w:val="center"/>
        <w:rPr>
          <w:rFonts w:cs="Times New Roman"/>
          <w:b/>
        </w:rPr>
      </w:pPr>
      <w:r w:rsidRPr="00465B2A">
        <w:rPr>
          <w:rFonts w:cs="Times New Roman"/>
          <w:b/>
        </w:rPr>
        <w:t>1</w:t>
      </w:r>
      <w:r>
        <w:rPr>
          <w:rFonts w:cs="Times New Roman"/>
          <w:b/>
        </w:rPr>
        <w:t>8</w:t>
      </w:r>
      <w:r w:rsidR="002A4B5C" w:rsidRPr="00465B2A">
        <w:rPr>
          <w:rFonts w:cs="Times New Roman"/>
          <w:b/>
        </w:rPr>
        <w:t>. §</w:t>
      </w:r>
    </w:p>
    <w:p w:rsidR="002A4B5C" w:rsidRPr="00465B2A" w:rsidRDefault="002A4B5C" w:rsidP="007A42E4">
      <w:pPr>
        <w:autoSpaceDE w:val="0"/>
        <w:autoSpaceDN w:val="0"/>
        <w:adjustRightInd w:val="0"/>
        <w:spacing w:after="0" w:line="240" w:lineRule="auto"/>
        <w:jc w:val="both"/>
        <w:rPr>
          <w:rFonts w:cs="Times New Roman"/>
        </w:rPr>
      </w:pPr>
    </w:p>
    <w:p w:rsidR="00885C58" w:rsidRPr="00465B2A" w:rsidRDefault="00885C58" w:rsidP="007A42E4">
      <w:pPr>
        <w:autoSpaceDE w:val="0"/>
        <w:autoSpaceDN w:val="0"/>
        <w:adjustRightInd w:val="0"/>
        <w:spacing w:after="0" w:line="240" w:lineRule="auto"/>
        <w:jc w:val="both"/>
        <w:rPr>
          <w:rFonts w:cs="Times New Roman"/>
        </w:rPr>
      </w:pPr>
      <w:r w:rsidRPr="00465B2A">
        <w:rPr>
          <w:rFonts w:cs="Times New Roman"/>
        </w:rPr>
        <w:t>H</w:t>
      </w:r>
      <w:r w:rsidR="002A4B5C" w:rsidRPr="00465B2A">
        <w:rPr>
          <w:rFonts w:cs="Times New Roman"/>
        </w:rPr>
        <w:t xml:space="preserve">atályát veszti az R. </w:t>
      </w:r>
    </w:p>
    <w:p w:rsidR="002A4B5C" w:rsidRPr="00465B2A" w:rsidRDefault="002A4B5C" w:rsidP="00885C58">
      <w:pPr>
        <w:pStyle w:val="Listaszerbekezds"/>
        <w:numPr>
          <w:ilvl w:val="0"/>
          <w:numId w:val="36"/>
        </w:numPr>
        <w:autoSpaceDE w:val="0"/>
        <w:autoSpaceDN w:val="0"/>
        <w:adjustRightInd w:val="0"/>
        <w:spacing w:after="0" w:line="240" w:lineRule="auto"/>
        <w:jc w:val="both"/>
        <w:rPr>
          <w:rFonts w:cs="Times New Roman"/>
        </w:rPr>
      </w:pPr>
      <w:r w:rsidRPr="00465B2A">
        <w:rPr>
          <w:rFonts w:cs="Times New Roman"/>
        </w:rPr>
        <w:t>7. § (4) bekezdése</w:t>
      </w:r>
      <w:r w:rsidR="00885C58" w:rsidRPr="00465B2A">
        <w:rPr>
          <w:rFonts w:cs="Times New Roman"/>
        </w:rPr>
        <w:t>,</w:t>
      </w:r>
    </w:p>
    <w:p w:rsidR="00885C58" w:rsidRPr="00465B2A" w:rsidRDefault="00885C58" w:rsidP="00885C58">
      <w:pPr>
        <w:pStyle w:val="Listaszerbekezds"/>
        <w:numPr>
          <w:ilvl w:val="0"/>
          <w:numId w:val="36"/>
        </w:numPr>
        <w:autoSpaceDE w:val="0"/>
        <w:autoSpaceDN w:val="0"/>
        <w:adjustRightInd w:val="0"/>
        <w:spacing w:after="0" w:line="240" w:lineRule="auto"/>
        <w:jc w:val="both"/>
        <w:rPr>
          <w:rFonts w:cs="Times New Roman"/>
        </w:rPr>
      </w:pPr>
      <w:r w:rsidRPr="00465B2A">
        <w:rPr>
          <w:rFonts w:cs="Times New Roman"/>
        </w:rPr>
        <w:t>11. § (3) bekezdésében az „, i</w:t>
      </w:r>
      <w:r w:rsidR="00543096" w:rsidRPr="00465B2A">
        <w:rPr>
          <w:rFonts w:cs="Times New Roman"/>
        </w:rPr>
        <w:t>lletve a kiszerelés” szövegrész.</w:t>
      </w:r>
    </w:p>
    <w:p w:rsidR="0043103A" w:rsidRPr="00465B2A" w:rsidRDefault="0043103A" w:rsidP="0043103A">
      <w:pPr>
        <w:autoSpaceDE w:val="0"/>
        <w:autoSpaceDN w:val="0"/>
        <w:adjustRightInd w:val="0"/>
        <w:spacing w:after="0" w:line="240" w:lineRule="auto"/>
        <w:jc w:val="both"/>
        <w:rPr>
          <w:rFonts w:cs="Times New Roman"/>
        </w:rPr>
      </w:pPr>
    </w:p>
    <w:p w:rsidR="0043103A" w:rsidRPr="00465B2A" w:rsidRDefault="00091FA4" w:rsidP="00537042">
      <w:pPr>
        <w:autoSpaceDE w:val="0"/>
        <w:autoSpaceDN w:val="0"/>
        <w:adjustRightInd w:val="0"/>
        <w:spacing w:after="0" w:line="240" w:lineRule="auto"/>
        <w:jc w:val="center"/>
        <w:rPr>
          <w:rFonts w:cs="Times New Roman"/>
          <w:b/>
        </w:rPr>
      </w:pPr>
      <w:r>
        <w:rPr>
          <w:rFonts w:cs="Times New Roman"/>
          <w:b/>
        </w:rPr>
        <w:t>1</w:t>
      </w:r>
      <w:r w:rsidR="005E37D4">
        <w:rPr>
          <w:rFonts w:cs="Times New Roman"/>
          <w:b/>
        </w:rPr>
        <w:t>9</w:t>
      </w:r>
      <w:r w:rsidR="00537042" w:rsidRPr="00465B2A">
        <w:rPr>
          <w:rFonts w:cs="Times New Roman"/>
          <w:b/>
        </w:rPr>
        <w:t>. §</w:t>
      </w:r>
    </w:p>
    <w:p w:rsidR="00537042" w:rsidRPr="00465B2A" w:rsidRDefault="00537042" w:rsidP="0043103A">
      <w:pPr>
        <w:autoSpaceDE w:val="0"/>
        <w:autoSpaceDN w:val="0"/>
        <w:adjustRightInd w:val="0"/>
        <w:spacing w:after="0" w:line="240" w:lineRule="auto"/>
        <w:jc w:val="both"/>
        <w:rPr>
          <w:rFonts w:cs="Times New Roman"/>
        </w:rPr>
      </w:pPr>
    </w:p>
    <w:p w:rsidR="00537042" w:rsidRPr="00465B2A" w:rsidRDefault="00537042" w:rsidP="0043103A">
      <w:pPr>
        <w:autoSpaceDE w:val="0"/>
        <w:autoSpaceDN w:val="0"/>
        <w:adjustRightInd w:val="0"/>
        <w:spacing w:after="0" w:line="240" w:lineRule="auto"/>
        <w:jc w:val="both"/>
        <w:rPr>
          <w:rFonts w:cs="Times New Roman"/>
        </w:rPr>
      </w:pPr>
      <w:r w:rsidRPr="00465B2A">
        <w:rPr>
          <w:rFonts w:cs="Times New Roman"/>
        </w:rPr>
        <w:t xml:space="preserve">Ez a rendelet a kihirdetését követő </w:t>
      </w:r>
      <w:proofErr w:type="spellStart"/>
      <w:r w:rsidRPr="00465B2A">
        <w:rPr>
          <w:rFonts w:cs="Times New Roman"/>
        </w:rPr>
        <w:t>t</w:t>
      </w:r>
      <w:r w:rsidR="00E708AA" w:rsidRPr="00465B2A">
        <w:rPr>
          <w:rFonts w:cs="Times New Roman"/>
        </w:rPr>
        <w:t>i</w:t>
      </w:r>
      <w:r w:rsidRPr="00465B2A">
        <w:rPr>
          <w:rFonts w:cs="Times New Roman"/>
        </w:rPr>
        <w:t>zedik</w:t>
      </w:r>
      <w:proofErr w:type="spellEnd"/>
      <w:r w:rsidRPr="00465B2A">
        <w:rPr>
          <w:rFonts w:cs="Times New Roman"/>
        </w:rPr>
        <w:t xml:space="preserve"> napon lét hatályba.</w:t>
      </w:r>
    </w:p>
    <w:p w:rsidR="0075384A" w:rsidRDefault="0075384A" w:rsidP="0075384A">
      <w:pPr>
        <w:autoSpaceDE w:val="0"/>
        <w:autoSpaceDN w:val="0"/>
        <w:adjustRightInd w:val="0"/>
        <w:spacing w:after="0" w:line="240" w:lineRule="auto"/>
        <w:jc w:val="center"/>
        <w:rPr>
          <w:rFonts w:eastAsia="Times New Roman"/>
          <w:b/>
          <w:color w:val="000000"/>
          <w:lang w:eastAsia="hu-HU"/>
        </w:rPr>
      </w:pPr>
    </w:p>
    <w:p w:rsidR="005D3466" w:rsidRDefault="005D3466" w:rsidP="0043103A">
      <w:pPr>
        <w:autoSpaceDE w:val="0"/>
        <w:autoSpaceDN w:val="0"/>
        <w:adjustRightInd w:val="0"/>
        <w:spacing w:after="0" w:line="240" w:lineRule="auto"/>
        <w:jc w:val="both"/>
        <w:rPr>
          <w:rFonts w:eastAsia="Times New Roman"/>
          <w:color w:val="000000"/>
          <w:lang w:eastAsia="hu-HU"/>
        </w:rPr>
      </w:pPr>
    </w:p>
    <w:p w:rsidR="0049762B" w:rsidRPr="00465B2A" w:rsidRDefault="0049762B" w:rsidP="0043103A">
      <w:pPr>
        <w:autoSpaceDE w:val="0"/>
        <w:autoSpaceDN w:val="0"/>
        <w:adjustRightInd w:val="0"/>
        <w:spacing w:after="0" w:line="240" w:lineRule="auto"/>
        <w:jc w:val="both"/>
        <w:rPr>
          <w:rFonts w:eastAsia="Times New Roman"/>
          <w:color w:val="000000"/>
          <w:lang w:eastAsia="hu-HU"/>
        </w:rPr>
      </w:pPr>
    </w:p>
    <w:p w:rsidR="005D3466" w:rsidRPr="00465B2A" w:rsidRDefault="005D3466">
      <w:pPr>
        <w:spacing w:after="0" w:line="240" w:lineRule="auto"/>
        <w:rPr>
          <w:rFonts w:eastAsia="Times New Roman"/>
          <w:color w:val="000000"/>
          <w:lang w:eastAsia="hu-HU"/>
        </w:rPr>
      </w:pPr>
      <w:r w:rsidRPr="00465B2A">
        <w:rPr>
          <w:rFonts w:eastAsia="Times New Roman"/>
          <w:color w:val="000000"/>
          <w:lang w:eastAsia="hu-HU"/>
        </w:rPr>
        <w:br w:type="page"/>
      </w:r>
    </w:p>
    <w:p w:rsidR="005D3466" w:rsidRPr="00465B2A" w:rsidRDefault="005D3466" w:rsidP="005D3466">
      <w:pPr>
        <w:autoSpaceDE w:val="0"/>
        <w:autoSpaceDN w:val="0"/>
        <w:adjustRightInd w:val="0"/>
        <w:spacing w:after="0" w:line="240" w:lineRule="auto"/>
        <w:jc w:val="both"/>
        <w:rPr>
          <w:rFonts w:cs="Times New Roman"/>
          <w:i/>
          <w:u w:val="single"/>
        </w:rPr>
      </w:pPr>
      <w:r w:rsidRPr="00465B2A">
        <w:rPr>
          <w:rFonts w:cs="Times New Roman"/>
          <w:i/>
          <w:u w:val="single"/>
        </w:rPr>
        <w:lastRenderedPageBreak/>
        <w:t>1. melléklet a …/2014. (…) FM rendelethez</w:t>
      </w:r>
    </w:p>
    <w:p w:rsidR="005D3466" w:rsidRPr="00465B2A" w:rsidRDefault="005D3466" w:rsidP="005D3466">
      <w:pPr>
        <w:autoSpaceDE w:val="0"/>
        <w:autoSpaceDN w:val="0"/>
        <w:adjustRightInd w:val="0"/>
        <w:spacing w:after="0" w:line="240" w:lineRule="auto"/>
        <w:jc w:val="both"/>
        <w:rPr>
          <w:rFonts w:cs="Times New Roman"/>
        </w:rPr>
      </w:pPr>
    </w:p>
    <w:p w:rsidR="005D3466" w:rsidRPr="00465B2A" w:rsidRDefault="00BC4DC6" w:rsidP="005D3466">
      <w:pPr>
        <w:autoSpaceDE w:val="0"/>
        <w:autoSpaceDN w:val="0"/>
        <w:adjustRightInd w:val="0"/>
        <w:spacing w:after="0" w:line="240" w:lineRule="auto"/>
        <w:jc w:val="both"/>
        <w:rPr>
          <w:rFonts w:cs="Times New Roman"/>
        </w:rPr>
      </w:pPr>
      <w:r w:rsidRPr="00465B2A">
        <w:rPr>
          <w:rFonts w:cs="Times New Roman"/>
        </w:rPr>
        <w:t>1. Az R. 1. számú melléklet 3. pontja helyébe a következő rendelkezés lép:</w:t>
      </w:r>
    </w:p>
    <w:p w:rsidR="00BC4DC6" w:rsidRPr="00465B2A" w:rsidRDefault="00BC4DC6" w:rsidP="005D3466">
      <w:pPr>
        <w:autoSpaceDE w:val="0"/>
        <w:autoSpaceDN w:val="0"/>
        <w:adjustRightInd w:val="0"/>
        <w:spacing w:after="0" w:line="240" w:lineRule="auto"/>
        <w:jc w:val="both"/>
        <w:rPr>
          <w:rFonts w:cs="Times New Roman"/>
        </w:rPr>
      </w:pPr>
    </w:p>
    <w:p w:rsidR="00BC4DC6" w:rsidRPr="00465B2A" w:rsidRDefault="00BC4DC6" w:rsidP="005D3466">
      <w:pPr>
        <w:autoSpaceDE w:val="0"/>
        <w:autoSpaceDN w:val="0"/>
        <w:adjustRightInd w:val="0"/>
        <w:spacing w:after="0" w:line="240" w:lineRule="auto"/>
        <w:jc w:val="both"/>
      </w:pPr>
      <w:r w:rsidRPr="00465B2A">
        <w:rPr>
          <w:rFonts w:cs="Times New Roman"/>
        </w:rPr>
        <w:t>„</w:t>
      </w:r>
      <w:r w:rsidRPr="00465B2A">
        <w:rPr>
          <w:rFonts w:eastAsia="Times New Roman"/>
          <w:color w:val="000000"/>
          <w:lang w:eastAsia="hu-HU"/>
        </w:rPr>
        <w:t>3. Gyártó és az engedély jogosultjának neve, címe és statisztikai számjele</w:t>
      </w:r>
      <w:r w:rsidRPr="00465B2A">
        <w:t>, a gyártás helyszíne, bérgyártás esetén a bérgyártó neve, címe, statisztikai számjele.”</w:t>
      </w:r>
    </w:p>
    <w:p w:rsidR="001C2327" w:rsidRPr="00465B2A" w:rsidRDefault="001C2327" w:rsidP="005D3466">
      <w:pPr>
        <w:autoSpaceDE w:val="0"/>
        <w:autoSpaceDN w:val="0"/>
        <w:adjustRightInd w:val="0"/>
        <w:spacing w:after="0" w:line="240" w:lineRule="auto"/>
        <w:jc w:val="both"/>
      </w:pPr>
    </w:p>
    <w:p w:rsidR="001C2327" w:rsidRPr="00465B2A" w:rsidRDefault="001C2327" w:rsidP="005D3466">
      <w:pPr>
        <w:autoSpaceDE w:val="0"/>
        <w:autoSpaceDN w:val="0"/>
        <w:adjustRightInd w:val="0"/>
        <w:spacing w:after="0" w:line="240" w:lineRule="auto"/>
        <w:jc w:val="both"/>
        <w:rPr>
          <w:rFonts w:cs="Times New Roman"/>
        </w:rPr>
      </w:pPr>
      <w:r w:rsidRPr="00465B2A">
        <w:t xml:space="preserve">2. </w:t>
      </w:r>
      <w:r w:rsidRPr="00465B2A">
        <w:rPr>
          <w:rFonts w:cs="Times New Roman"/>
        </w:rPr>
        <w:t>Az R. 1. számú melléklet 7. pontja helyébe a következő rendelkezés lép:</w:t>
      </w:r>
    </w:p>
    <w:p w:rsidR="001C2327" w:rsidRPr="00465B2A" w:rsidRDefault="001C2327" w:rsidP="005D3466">
      <w:pPr>
        <w:autoSpaceDE w:val="0"/>
        <w:autoSpaceDN w:val="0"/>
        <w:adjustRightInd w:val="0"/>
        <w:spacing w:after="0" w:line="240" w:lineRule="auto"/>
        <w:jc w:val="both"/>
        <w:rPr>
          <w:rFonts w:cs="Times New Roman"/>
        </w:rPr>
      </w:pPr>
    </w:p>
    <w:p w:rsidR="001C2327" w:rsidRPr="00465B2A" w:rsidRDefault="001C2327" w:rsidP="005D3466">
      <w:pPr>
        <w:autoSpaceDE w:val="0"/>
        <w:autoSpaceDN w:val="0"/>
        <w:adjustRightInd w:val="0"/>
        <w:spacing w:after="0" w:line="240" w:lineRule="auto"/>
        <w:jc w:val="both"/>
      </w:pPr>
      <w:r w:rsidRPr="00465B2A">
        <w:rPr>
          <w:rFonts w:cs="Times New Roman"/>
        </w:rPr>
        <w:t>„</w:t>
      </w:r>
      <w:r w:rsidRPr="00465B2A">
        <w:rPr>
          <w:rFonts w:eastAsia="Times New Roman"/>
          <w:color w:val="000000"/>
          <w:lang w:eastAsia="hu-HU"/>
        </w:rPr>
        <w:t>7. A gyártó által megadott felhasználási lehetőségek és alkalmazási dózisok</w:t>
      </w:r>
      <w:r w:rsidRPr="00465B2A">
        <w:t>, a készítmény hatásmechanizmusa.”</w:t>
      </w:r>
    </w:p>
    <w:p w:rsidR="00007382" w:rsidRPr="00465B2A" w:rsidRDefault="00007382" w:rsidP="005D3466">
      <w:pPr>
        <w:autoSpaceDE w:val="0"/>
        <w:autoSpaceDN w:val="0"/>
        <w:adjustRightInd w:val="0"/>
        <w:spacing w:after="0" w:line="240" w:lineRule="auto"/>
        <w:jc w:val="both"/>
      </w:pPr>
    </w:p>
    <w:p w:rsidR="00007382" w:rsidRPr="00465B2A" w:rsidRDefault="00007382" w:rsidP="005D3466">
      <w:pPr>
        <w:autoSpaceDE w:val="0"/>
        <w:autoSpaceDN w:val="0"/>
        <w:adjustRightInd w:val="0"/>
        <w:spacing w:after="0" w:line="240" w:lineRule="auto"/>
        <w:jc w:val="both"/>
        <w:rPr>
          <w:rFonts w:cs="Times New Roman"/>
        </w:rPr>
      </w:pPr>
      <w:r w:rsidRPr="00465B2A">
        <w:t xml:space="preserve">3. </w:t>
      </w:r>
      <w:r w:rsidRPr="00465B2A">
        <w:rPr>
          <w:rFonts w:cs="Times New Roman"/>
        </w:rPr>
        <w:t xml:space="preserve">Az R. 1. számú melléklet </w:t>
      </w:r>
      <w:r w:rsidR="0001196F">
        <w:rPr>
          <w:rFonts w:cs="Times New Roman"/>
        </w:rPr>
        <w:t>13</w:t>
      </w:r>
      <w:r w:rsidRPr="00465B2A">
        <w:rPr>
          <w:rFonts w:cs="Times New Roman"/>
        </w:rPr>
        <w:t>. pontja helyébe a következő rendelkezés lép:</w:t>
      </w:r>
    </w:p>
    <w:p w:rsidR="00007382" w:rsidRPr="00465B2A" w:rsidRDefault="00007382" w:rsidP="005D3466">
      <w:pPr>
        <w:autoSpaceDE w:val="0"/>
        <w:autoSpaceDN w:val="0"/>
        <w:adjustRightInd w:val="0"/>
        <w:spacing w:after="0" w:line="240" w:lineRule="auto"/>
        <w:jc w:val="both"/>
        <w:rPr>
          <w:rFonts w:cs="Times New Roman"/>
        </w:rPr>
      </w:pPr>
    </w:p>
    <w:p w:rsidR="00007382" w:rsidRPr="00465B2A" w:rsidRDefault="00007382" w:rsidP="005D3466">
      <w:pPr>
        <w:autoSpaceDE w:val="0"/>
        <w:autoSpaceDN w:val="0"/>
        <w:adjustRightInd w:val="0"/>
        <w:spacing w:after="0" w:line="240" w:lineRule="auto"/>
        <w:jc w:val="both"/>
      </w:pPr>
      <w:r w:rsidRPr="00465B2A">
        <w:rPr>
          <w:rFonts w:cs="Times New Roman"/>
        </w:rPr>
        <w:t>„</w:t>
      </w:r>
      <w:r w:rsidRPr="00465B2A">
        <w:rPr>
          <w:rFonts w:eastAsia="Times New Roman"/>
          <w:color w:val="000000"/>
          <w:lang w:eastAsia="hu-HU"/>
        </w:rPr>
        <w:t xml:space="preserve">13. Bányászott termékek esetén </w:t>
      </w:r>
      <w:r w:rsidRPr="00465B2A">
        <w:t>a feltárási, kitermelési műszaki üzemi terv jóváhagyásáról szóló bányafelügyeleti határozat.”</w:t>
      </w:r>
    </w:p>
    <w:p w:rsidR="00007382" w:rsidRPr="00465B2A" w:rsidRDefault="00007382" w:rsidP="005D3466">
      <w:pPr>
        <w:autoSpaceDE w:val="0"/>
        <w:autoSpaceDN w:val="0"/>
        <w:adjustRightInd w:val="0"/>
        <w:spacing w:after="0" w:line="240" w:lineRule="auto"/>
        <w:jc w:val="both"/>
      </w:pPr>
    </w:p>
    <w:p w:rsidR="00007382" w:rsidRPr="00465B2A" w:rsidRDefault="00007382" w:rsidP="005D3466">
      <w:pPr>
        <w:autoSpaceDE w:val="0"/>
        <w:autoSpaceDN w:val="0"/>
        <w:adjustRightInd w:val="0"/>
        <w:spacing w:after="0" w:line="240" w:lineRule="auto"/>
        <w:jc w:val="both"/>
      </w:pPr>
      <w:r w:rsidRPr="00465B2A">
        <w:t>4. Az R. 1. számú melléklet 15. pontja a következő 15.6-15.13. alpontokkal egészül ki:</w:t>
      </w:r>
    </w:p>
    <w:p w:rsidR="00007382" w:rsidRPr="00465B2A" w:rsidRDefault="00007382" w:rsidP="005D3466">
      <w:pPr>
        <w:autoSpaceDE w:val="0"/>
        <w:autoSpaceDN w:val="0"/>
        <w:adjustRightInd w:val="0"/>
        <w:spacing w:after="0" w:line="240" w:lineRule="auto"/>
        <w:jc w:val="both"/>
      </w:pPr>
    </w:p>
    <w:p w:rsidR="00007382" w:rsidRPr="00465B2A" w:rsidRDefault="00007382" w:rsidP="008E239A">
      <w:pPr>
        <w:spacing w:after="0"/>
        <w:jc w:val="both"/>
      </w:pPr>
      <w:r w:rsidRPr="00465B2A">
        <w:t>„15.6. Írásbeli nyilatkozat arról, hogy az engedélyezni kívánt termék, vagy annak bármely jellemzője, valamint elnevezése harmadik személy szellemi tulajdonjogát nem sérti.</w:t>
      </w:r>
    </w:p>
    <w:p w:rsidR="00007382" w:rsidRPr="00465B2A" w:rsidRDefault="00007382" w:rsidP="008E239A">
      <w:pPr>
        <w:spacing w:after="0"/>
        <w:jc w:val="both"/>
      </w:pPr>
      <w:r w:rsidRPr="00465B2A">
        <w:t>15.7. Amennyiben a gyártó nem azonos a kérelmezővel, úgy gyártói felhatalmazás az engedélyezésre.</w:t>
      </w:r>
    </w:p>
    <w:p w:rsidR="00007382" w:rsidRPr="00465B2A" w:rsidRDefault="00007382" w:rsidP="008E239A">
      <w:pPr>
        <w:spacing w:after="0"/>
        <w:jc w:val="both"/>
      </w:pPr>
      <w:r w:rsidRPr="00465B2A">
        <w:t>15.8. Amennyiben a gyártó nem azonos az engedélyessel, úgy gyártói nyilatkozat az engedélyes megnevezésével.</w:t>
      </w:r>
    </w:p>
    <w:p w:rsidR="00007382" w:rsidRPr="00465B2A" w:rsidRDefault="00007382" w:rsidP="008E239A">
      <w:pPr>
        <w:spacing w:after="0"/>
        <w:jc w:val="both"/>
      </w:pPr>
      <w:r w:rsidRPr="00465B2A">
        <w:t>15.9. A védett márkanevek, kereskedelmi megnevezések tulajdonosainak hozzájárulását.</w:t>
      </w:r>
    </w:p>
    <w:p w:rsidR="00007382" w:rsidRPr="00465B2A" w:rsidRDefault="00007382" w:rsidP="008E239A">
      <w:pPr>
        <w:spacing w:after="0"/>
        <w:jc w:val="both"/>
      </w:pPr>
      <w:r w:rsidRPr="00465B2A">
        <w:t>15.10. A készítmények előállításhoz felhasznált alapanyagok gyártóinak igazolását arról, hogy adott készítményben az alapanyag felhasználásához hozzájárulnak és legalább 1 évig biztosítják az ellátást.</w:t>
      </w:r>
    </w:p>
    <w:p w:rsidR="00007382" w:rsidRPr="00465B2A" w:rsidRDefault="00007382" w:rsidP="008E239A">
      <w:pPr>
        <w:spacing w:after="0"/>
        <w:jc w:val="both"/>
      </w:pPr>
      <w:r w:rsidRPr="00465B2A">
        <w:t xml:space="preserve">15.11. Hulladékok feldolgozása esetén a hulladékkezelési engedélyt. </w:t>
      </w:r>
    </w:p>
    <w:p w:rsidR="00007382" w:rsidRPr="00465B2A" w:rsidRDefault="00007382" w:rsidP="008E239A">
      <w:pPr>
        <w:spacing w:after="0"/>
        <w:jc w:val="both"/>
      </w:pPr>
      <w:r w:rsidRPr="00465B2A">
        <w:t xml:space="preserve">15.12. Állati eredetű melléktermékek feldolgozása esetén az állategészségügyi hatóság engedélyét. </w:t>
      </w:r>
    </w:p>
    <w:p w:rsidR="00007382" w:rsidRPr="00465B2A" w:rsidRDefault="00007382" w:rsidP="00007382">
      <w:pPr>
        <w:spacing w:after="0"/>
      </w:pPr>
      <w:r w:rsidRPr="00465B2A">
        <w:t>15.13. Telepengedély.”</w:t>
      </w:r>
    </w:p>
    <w:p w:rsidR="00007382" w:rsidRPr="00465B2A" w:rsidRDefault="00007382" w:rsidP="00007382">
      <w:pPr>
        <w:autoSpaceDE w:val="0"/>
        <w:autoSpaceDN w:val="0"/>
        <w:adjustRightInd w:val="0"/>
        <w:spacing w:after="0" w:line="240" w:lineRule="auto"/>
        <w:jc w:val="both"/>
      </w:pPr>
    </w:p>
    <w:p w:rsidR="00B277A1" w:rsidRPr="00465B2A" w:rsidRDefault="00B277A1">
      <w:pPr>
        <w:spacing w:after="0" w:line="240" w:lineRule="auto"/>
        <w:rPr>
          <w:rFonts w:cs="Times New Roman"/>
        </w:rPr>
      </w:pPr>
      <w:r w:rsidRPr="00465B2A">
        <w:rPr>
          <w:rFonts w:cs="Times New Roman"/>
        </w:rPr>
        <w:br w:type="page"/>
      </w:r>
    </w:p>
    <w:p w:rsidR="00007382" w:rsidRPr="00465B2A" w:rsidRDefault="00B277A1" w:rsidP="005D3466">
      <w:pPr>
        <w:autoSpaceDE w:val="0"/>
        <w:autoSpaceDN w:val="0"/>
        <w:adjustRightInd w:val="0"/>
        <w:spacing w:after="0" w:line="240" w:lineRule="auto"/>
        <w:jc w:val="both"/>
        <w:rPr>
          <w:rFonts w:cs="Times New Roman"/>
          <w:i/>
          <w:u w:val="single"/>
        </w:rPr>
      </w:pPr>
      <w:r w:rsidRPr="00465B2A">
        <w:rPr>
          <w:rFonts w:cs="Times New Roman"/>
          <w:i/>
          <w:u w:val="single"/>
        </w:rPr>
        <w:lastRenderedPageBreak/>
        <w:t>2. melléklet a …/2014. (…) FM rendelethez</w:t>
      </w:r>
    </w:p>
    <w:p w:rsidR="00B277A1" w:rsidRPr="00465B2A" w:rsidRDefault="00B277A1" w:rsidP="005D3466">
      <w:pPr>
        <w:autoSpaceDE w:val="0"/>
        <w:autoSpaceDN w:val="0"/>
        <w:adjustRightInd w:val="0"/>
        <w:spacing w:after="0" w:line="240" w:lineRule="auto"/>
        <w:jc w:val="both"/>
        <w:rPr>
          <w:rFonts w:cs="Times New Roman"/>
        </w:rPr>
      </w:pPr>
    </w:p>
    <w:p w:rsidR="00BC257C" w:rsidRPr="00465B2A" w:rsidRDefault="00BC257C" w:rsidP="00BC257C">
      <w:pPr>
        <w:autoSpaceDE w:val="0"/>
        <w:autoSpaceDN w:val="0"/>
        <w:adjustRightInd w:val="0"/>
        <w:spacing w:after="0" w:line="240" w:lineRule="auto"/>
        <w:jc w:val="both"/>
        <w:rPr>
          <w:rFonts w:cs="Times New Roman"/>
        </w:rPr>
      </w:pPr>
      <w:r w:rsidRPr="00465B2A">
        <w:rPr>
          <w:rFonts w:cs="Times New Roman"/>
        </w:rPr>
        <w:t>1. Az R. 2. számú melléklet 4.6.1. pont</w:t>
      </w:r>
      <w:r w:rsidR="001F15BF" w:rsidRPr="00465B2A">
        <w:rPr>
          <w:rFonts w:cs="Times New Roman"/>
        </w:rPr>
        <w:t>já</w:t>
      </w:r>
      <w:r w:rsidRPr="00465B2A">
        <w:rPr>
          <w:rFonts w:cs="Times New Roman"/>
        </w:rPr>
        <w:t>ban</w:t>
      </w:r>
      <w:r w:rsidR="00110E3C" w:rsidRPr="00465B2A">
        <w:rPr>
          <w:rFonts w:cs="Times New Roman"/>
        </w:rPr>
        <w:t>, 5.6.1. pont</w:t>
      </w:r>
      <w:r w:rsidR="001F15BF" w:rsidRPr="00465B2A">
        <w:rPr>
          <w:rFonts w:cs="Times New Roman"/>
        </w:rPr>
        <w:t>já</w:t>
      </w:r>
      <w:r w:rsidR="00110E3C" w:rsidRPr="00465B2A">
        <w:rPr>
          <w:rFonts w:cs="Times New Roman"/>
        </w:rPr>
        <w:t>ban</w:t>
      </w:r>
      <w:r w:rsidR="001F15BF" w:rsidRPr="00465B2A">
        <w:rPr>
          <w:rFonts w:cs="Times New Roman"/>
        </w:rPr>
        <w:t>, 6.6.1. pontjában</w:t>
      </w:r>
      <w:r w:rsidR="00753440" w:rsidRPr="00465B2A">
        <w:rPr>
          <w:rFonts w:cs="Times New Roman"/>
        </w:rPr>
        <w:t>, 8.6.1. pontjában, 9.6.1. pontjában</w:t>
      </w:r>
      <w:r w:rsidR="003A420C" w:rsidRPr="00465B2A">
        <w:rPr>
          <w:rFonts w:cs="Times New Roman"/>
        </w:rPr>
        <w:t>, 10.5.1. pontjában</w:t>
      </w:r>
      <w:r w:rsidR="001F15BF" w:rsidRPr="00465B2A">
        <w:rPr>
          <w:rFonts w:cs="Times New Roman"/>
        </w:rPr>
        <w:t xml:space="preserve"> </w:t>
      </w:r>
      <w:r w:rsidRPr="00465B2A">
        <w:rPr>
          <w:rFonts w:cs="Times New Roman"/>
        </w:rPr>
        <w:t xml:space="preserve">szereplő felsorolás a második </w:t>
      </w:r>
      <w:r w:rsidR="00C7377C">
        <w:rPr>
          <w:rFonts w:cs="Times New Roman"/>
        </w:rPr>
        <w:t>sort</w:t>
      </w:r>
      <w:r w:rsidRPr="00465B2A">
        <w:rPr>
          <w:rFonts w:cs="Times New Roman"/>
        </w:rPr>
        <w:t xml:space="preserve"> követően a következő sorral egészül ki:</w:t>
      </w:r>
    </w:p>
    <w:p w:rsidR="00BC257C" w:rsidRPr="00465B2A" w:rsidRDefault="00BC257C" w:rsidP="00BC257C">
      <w:pPr>
        <w:autoSpaceDE w:val="0"/>
        <w:autoSpaceDN w:val="0"/>
        <w:adjustRightInd w:val="0"/>
        <w:spacing w:after="0" w:line="240" w:lineRule="auto"/>
        <w:jc w:val="both"/>
        <w:rPr>
          <w:rFonts w:cs="Times New Roman"/>
        </w:rPr>
      </w:pPr>
    </w:p>
    <w:p w:rsidR="00BC257C" w:rsidRPr="00465B2A" w:rsidRDefault="007867CE" w:rsidP="00BC257C">
      <w:pPr>
        <w:autoSpaceDE w:val="0"/>
        <w:autoSpaceDN w:val="0"/>
        <w:adjustRightInd w:val="0"/>
        <w:spacing w:after="0" w:line="240" w:lineRule="auto"/>
        <w:jc w:val="both"/>
        <w:rPr>
          <w:rFonts w:cs="Times New Roman"/>
        </w:rPr>
      </w:pPr>
      <w:r w:rsidRPr="00465B2A">
        <w:rPr>
          <w:rFonts w:cs="Times New Roman"/>
        </w:rPr>
        <w:t>„</w:t>
      </w:r>
      <w:r w:rsidRPr="00465B2A">
        <w:rPr>
          <w:rFonts w:eastAsia="Times New Roman"/>
          <w:color w:val="000000"/>
          <w:lang w:eastAsia="hu-HU"/>
        </w:rPr>
        <w:t>–</w:t>
      </w:r>
      <w:r w:rsidR="00C7377C">
        <w:rPr>
          <w:rFonts w:eastAsia="Times New Roman"/>
          <w:color w:val="000000"/>
          <w:lang w:eastAsia="hu-HU"/>
        </w:rPr>
        <w:t xml:space="preserve"> </w:t>
      </w:r>
      <w:r w:rsidRPr="00465B2A">
        <w:rPr>
          <w:rFonts w:eastAsia="Times New Roman"/>
          <w:color w:val="000000"/>
          <w:lang w:eastAsia="hu-HU"/>
        </w:rPr>
        <w:t xml:space="preserve"> </w:t>
      </w:r>
      <w:proofErr w:type="spellStart"/>
      <w:r w:rsidRPr="00465B2A">
        <w:rPr>
          <w:rFonts w:eastAsia="Times New Roman"/>
          <w:color w:val="000000"/>
          <w:lang w:eastAsia="hu-HU"/>
        </w:rPr>
        <w:t>Pseudomonas</w:t>
      </w:r>
      <w:proofErr w:type="spellEnd"/>
      <w:r w:rsidRPr="00465B2A">
        <w:rPr>
          <w:rFonts w:eastAsia="Times New Roman"/>
          <w:color w:val="000000"/>
          <w:lang w:eastAsia="hu-HU"/>
        </w:rPr>
        <w:t xml:space="preserve"> </w:t>
      </w:r>
      <w:proofErr w:type="spellStart"/>
      <w:r w:rsidRPr="00465B2A">
        <w:rPr>
          <w:rFonts w:eastAsia="Times New Roman"/>
          <w:color w:val="000000"/>
          <w:lang w:eastAsia="hu-HU"/>
        </w:rPr>
        <w:t>Aeruginosa</w:t>
      </w:r>
      <w:proofErr w:type="spellEnd"/>
      <w:r w:rsidRPr="00465B2A">
        <w:rPr>
          <w:rFonts w:eastAsia="Times New Roman"/>
          <w:color w:val="000000"/>
          <w:lang w:eastAsia="hu-HU"/>
        </w:rPr>
        <w:t xml:space="preserve"> szám meghatározása,”</w:t>
      </w:r>
    </w:p>
    <w:p w:rsidR="00BC257C" w:rsidRPr="00465B2A" w:rsidRDefault="00BC257C" w:rsidP="005D3466">
      <w:pPr>
        <w:autoSpaceDE w:val="0"/>
        <w:autoSpaceDN w:val="0"/>
        <w:adjustRightInd w:val="0"/>
        <w:spacing w:after="0" w:line="240" w:lineRule="auto"/>
        <w:jc w:val="both"/>
        <w:rPr>
          <w:rFonts w:cs="Times New Roman"/>
        </w:rPr>
      </w:pPr>
    </w:p>
    <w:p w:rsidR="00737EF5" w:rsidRPr="00465B2A" w:rsidRDefault="00BC257C" w:rsidP="005D3466">
      <w:pPr>
        <w:autoSpaceDE w:val="0"/>
        <w:autoSpaceDN w:val="0"/>
        <w:adjustRightInd w:val="0"/>
        <w:spacing w:after="0" w:line="240" w:lineRule="auto"/>
        <w:jc w:val="both"/>
        <w:rPr>
          <w:rFonts w:cs="Times New Roman"/>
        </w:rPr>
      </w:pPr>
      <w:r w:rsidRPr="00465B2A">
        <w:rPr>
          <w:rFonts w:cs="Times New Roman"/>
        </w:rPr>
        <w:t xml:space="preserve">2. </w:t>
      </w:r>
      <w:r w:rsidR="00737EF5" w:rsidRPr="00465B2A">
        <w:rPr>
          <w:rFonts w:cs="Times New Roman"/>
        </w:rPr>
        <w:t>Az R. 2. számú melléklet 8.3. pontja helyébe a következő pont lép:</w:t>
      </w:r>
    </w:p>
    <w:p w:rsidR="00737EF5" w:rsidRPr="00465B2A" w:rsidRDefault="00737EF5" w:rsidP="005D3466">
      <w:pPr>
        <w:autoSpaceDE w:val="0"/>
        <w:autoSpaceDN w:val="0"/>
        <w:adjustRightInd w:val="0"/>
        <w:spacing w:after="0" w:line="240" w:lineRule="auto"/>
        <w:jc w:val="both"/>
        <w:rPr>
          <w:rFonts w:cs="Times New Roman"/>
        </w:rPr>
      </w:pPr>
    </w:p>
    <w:p w:rsidR="00737EF5" w:rsidRPr="00465B2A" w:rsidRDefault="00737EF5" w:rsidP="00671B32">
      <w:pPr>
        <w:spacing w:after="2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8.3. Mikrobiológiai minősítés 3 x 1 kg vagy liter mintából</w:t>
      </w:r>
      <w:r w:rsidRPr="00465B2A">
        <w:t>, illetve a vizsgáló laboratóriummal előzetesen egyeztetetett mennyiségből</w:t>
      </w:r>
      <w:r w:rsidRPr="00465B2A">
        <w:rPr>
          <w:rFonts w:eastAsia="Times New Roman"/>
          <w:color w:val="000000"/>
          <w:lang w:eastAsia="hu-HU"/>
        </w:rPr>
        <w:t>.</w:t>
      </w:r>
    </w:p>
    <w:p w:rsidR="00737EF5" w:rsidRPr="00465B2A" w:rsidRDefault="00737EF5" w:rsidP="00737EF5">
      <w:pPr>
        <w:spacing w:after="20" w:line="240" w:lineRule="auto"/>
        <w:jc w:val="both"/>
      </w:pPr>
      <w:r w:rsidRPr="00465B2A">
        <w:t>8.3.1. mikroorganizmusok számszerű meghatározása,</w:t>
      </w:r>
    </w:p>
    <w:p w:rsidR="00737EF5" w:rsidRPr="00465B2A" w:rsidRDefault="00737EF5" w:rsidP="00737EF5">
      <w:pPr>
        <w:spacing w:after="20" w:line="240" w:lineRule="auto"/>
        <w:jc w:val="both"/>
      </w:pPr>
      <w:r w:rsidRPr="00465B2A">
        <w:t>8.3.2. enzimaktivitás vizsgálat,</w:t>
      </w:r>
    </w:p>
    <w:p w:rsidR="00737EF5" w:rsidRPr="00465B2A" w:rsidRDefault="00737EF5" w:rsidP="00737EF5">
      <w:pPr>
        <w:spacing w:after="20" w:line="240" w:lineRule="auto"/>
        <w:jc w:val="both"/>
        <w:rPr>
          <w:rFonts w:cs="Times New Roman"/>
        </w:rPr>
      </w:pPr>
      <w:r w:rsidRPr="00465B2A">
        <w:t xml:space="preserve">8.3.3. </w:t>
      </w:r>
      <w:proofErr w:type="spellStart"/>
      <w:r w:rsidRPr="00465B2A">
        <w:t>mikorrhiza</w:t>
      </w:r>
      <w:proofErr w:type="spellEnd"/>
      <w:r w:rsidRPr="00465B2A">
        <w:t xml:space="preserve"> vizsgálat.”</w:t>
      </w:r>
    </w:p>
    <w:p w:rsidR="00737EF5" w:rsidRPr="00465B2A" w:rsidRDefault="00737EF5" w:rsidP="005D3466">
      <w:pPr>
        <w:autoSpaceDE w:val="0"/>
        <w:autoSpaceDN w:val="0"/>
        <w:adjustRightInd w:val="0"/>
        <w:spacing w:after="0" w:line="240" w:lineRule="auto"/>
        <w:jc w:val="both"/>
        <w:rPr>
          <w:rFonts w:cs="Times New Roman"/>
        </w:rPr>
      </w:pPr>
    </w:p>
    <w:p w:rsidR="00753440" w:rsidRPr="00465B2A" w:rsidRDefault="00737EF5" w:rsidP="005D3466">
      <w:pPr>
        <w:autoSpaceDE w:val="0"/>
        <w:autoSpaceDN w:val="0"/>
        <w:adjustRightInd w:val="0"/>
        <w:spacing w:after="0" w:line="240" w:lineRule="auto"/>
        <w:jc w:val="both"/>
        <w:rPr>
          <w:rFonts w:cs="Times New Roman"/>
        </w:rPr>
      </w:pPr>
      <w:r w:rsidRPr="00465B2A">
        <w:rPr>
          <w:rFonts w:cs="Times New Roman"/>
        </w:rPr>
        <w:t xml:space="preserve">3. </w:t>
      </w:r>
      <w:r w:rsidR="00753440" w:rsidRPr="00465B2A">
        <w:rPr>
          <w:rFonts w:cs="Times New Roman"/>
        </w:rPr>
        <w:t>Az R. 2. számú melléklet 8.8</w:t>
      </w:r>
      <w:r w:rsidR="00416C47">
        <w:rPr>
          <w:rFonts w:cs="Times New Roman"/>
        </w:rPr>
        <w:t xml:space="preserve">. és 8.9. </w:t>
      </w:r>
      <w:r w:rsidR="00753440" w:rsidRPr="00465B2A">
        <w:rPr>
          <w:rFonts w:cs="Times New Roman"/>
        </w:rPr>
        <w:t>pontja helyébe a következő pontok lépnek</w:t>
      </w:r>
      <w:r w:rsidR="00416C47">
        <w:rPr>
          <w:rFonts w:cs="Times New Roman"/>
        </w:rPr>
        <w:t>, egyidejűleg a következő 8.10. ponttal egészül ki</w:t>
      </w:r>
      <w:r w:rsidR="00753440" w:rsidRPr="00465B2A">
        <w:rPr>
          <w:rFonts w:cs="Times New Roman"/>
        </w:rPr>
        <w:t>:</w:t>
      </w:r>
    </w:p>
    <w:p w:rsidR="00753440" w:rsidRPr="00465B2A" w:rsidRDefault="00753440" w:rsidP="005D3466">
      <w:pPr>
        <w:autoSpaceDE w:val="0"/>
        <w:autoSpaceDN w:val="0"/>
        <w:adjustRightInd w:val="0"/>
        <w:spacing w:after="0" w:line="240" w:lineRule="auto"/>
        <w:jc w:val="both"/>
        <w:rPr>
          <w:rFonts w:cs="Times New Roman"/>
        </w:rPr>
      </w:pPr>
    </w:p>
    <w:p w:rsidR="00753440" w:rsidRPr="00465B2A" w:rsidRDefault="00753440" w:rsidP="005D3466">
      <w:pPr>
        <w:autoSpaceDE w:val="0"/>
        <w:autoSpaceDN w:val="0"/>
        <w:adjustRightInd w:val="0"/>
        <w:spacing w:after="0" w:line="240" w:lineRule="auto"/>
        <w:jc w:val="both"/>
        <w:rPr>
          <w:rFonts w:eastAsia="Times New Roman"/>
          <w:color w:val="000000"/>
          <w:lang w:eastAsia="hu-HU"/>
        </w:rPr>
      </w:pPr>
      <w:r w:rsidRPr="00465B2A">
        <w:rPr>
          <w:rFonts w:cs="Times New Roman"/>
        </w:rPr>
        <w:t xml:space="preserve">„8.8. </w:t>
      </w:r>
      <w:r w:rsidRPr="00465B2A">
        <w:rPr>
          <w:rFonts w:eastAsia="Times New Roman"/>
          <w:color w:val="000000"/>
          <w:lang w:eastAsia="hu-HU"/>
        </w:rPr>
        <w:t>A készítményt alkotó törzseket egyenként a Szent István Egyetem Kertészeti Kar törzsgyűjteményében kell elhelyezni.</w:t>
      </w:r>
    </w:p>
    <w:p w:rsidR="00753440" w:rsidRPr="00465B2A" w:rsidRDefault="00753440" w:rsidP="00753440">
      <w:pPr>
        <w:autoSpaceDE w:val="0"/>
        <w:autoSpaceDN w:val="0"/>
        <w:adjustRightInd w:val="0"/>
        <w:spacing w:after="0" w:line="240" w:lineRule="auto"/>
        <w:jc w:val="both"/>
        <w:rPr>
          <w:rFonts w:eastAsia="Times New Roman"/>
          <w:color w:val="000000"/>
          <w:lang w:eastAsia="hu-HU"/>
        </w:rPr>
      </w:pPr>
      <w:r w:rsidRPr="00465B2A">
        <w:rPr>
          <w:rFonts w:eastAsia="Times New Roman"/>
          <w:color w:val="000000"/>
          <w:lang w:eastAsia="hu-HU"/>
        </w:rPr>
        <w:t>8.9. A mikroorganizmusok megnevezése az alábbiak szerint:</w:t>
      </w:r>
    </w:p>
    <w:p w:rsidR="00753440" w:rsidRPr="00465B2A" w:rsidRDefault="00753440" w:rsidP="00753440">
      <w:pPr>
        <w:autoSpaceDE w:val="0"/>
        <w:autoSpaceDN w:val="0"/>
        <w:adjustRightInd w:val="0"/>
        <w:spacing w:after="0" w:line="240" w:lineRule="auto"/>
        <w:jc w:val="both"/>
        <w:rPr>
          <w:rFonts w:eastAsia="Times New Roman"/>
          <w:color w:val="000000"/>
          <w:lang w:eastAsia="hu-HU"/>
        </w:rPr>
      </w:pPr>
      <w:r w:rsidRPr="00465B2A">
        <w:rPr>
          <w:rFonts w:eastAsia="Times New Roman"/>
          <w:color w:val="000000"/>
          <w:lang w:eastAsia="hu-HU"/>
        </w:rPr>
        <w:t>8.9.1. fajnév,</w:t>
      </w:r>
    </w:p>
    <w:p w:rsidR="00753440" w:rsidRPr="00465B2A" w:rsidRDefault="00753440" w:rsidP="00753440">
      <w:pPr>
        <w:autoSpaceDE w:val="0"/>
        <w:autoSpaceDN w:val="0"/>
        <w:adjustRightInd w:val="0"/>
        <w:spacing w:after="0" w:line="240" w:lineRule="auto"/>
        <w:jc w:val="both"/>
        <w:rPr>
          <w:rFonts w:eastAsia="Times New Roman"/>
          <w:color w:val="000000"/>
          <w:lang w:eastAsia="hu-HU"/>
        </w:rPr>
      </w:pPr>
      <w:r w:rsidRPr="00465B2A">
        <w:rPr>
          <w:rFonts w:eastAsia="Times New Roman"/>
          <w:color w:val="000000"/>
          <w:lang w:eastAsia="hu-HU"/>
        </w:rPr>
        <w:t>8.9.2. faj alatti rendszertani kategóriák (törzsig).</w:t>
      </w:r>
    </w:p>
    <w:p w:rsidR="00753440" w:rsidRPr="00465B2A" w:rsidRDefault="00753440" w:rsidP="005D3466">
      <w:pPr>
        <w:autoSpaceDE w:val="0"/>
        <w:autoSpaceDN w:val="0"/>
        <w:adjustRightInd w:val="0"/>
        <w:spacing w:after="0" w:line="240" w:lineRule="auto"/>
        <w:jc w:val="both"/>
        <w:rPr>
          <w:rFonts w:cs="Times New Roman"/>
        </w:rPr>
      </w:pPr>
      <w:r w:rsidRPr="00465B2A">
        <w:rPr>
          <w:rFonts w:eastAsia="Times New Roman"/>
          <w:color w:val="000000"/>
          <w:lang w:eastAsia="hu-HU"/>
        </w:rPr>
        <w:t>8.10. A mikroorganizmus törzsre jellemző toxinspektrum megnevezése toxintermelő törzsek esetén.”</w:t>
      </w:r>
    </w:p>
    <w:p w:rsidR="00753440" w:rsidRPr="00465B2A" w:rsidRDefault="00753440" w:rsidP="005D3466">
      <w:pPr>
        <w:autoSpaceDE w:val="0"/>
        <w:autoSpaceDN w:val="0"/>
        <w:adjustRightInd w:val="0"/>
        <w:spacing w:after="0" w:line="240" w:lineRule="auto"/>
        <w:jc w:val="both"/>
        <w:rPr>
          <w:rFonts w:cs="Times New Roman"/>
        </w:rPr>
      </w:pPr>
    </w:p>
    <w:p w:rsidR="00B277A1" w:rsidRPr="00465B2A" w:rsidRDefault="00753440" w:rsidP="005D3466">
      <w:pPr>
        <w:autoSpaceDE w:val="0"/>
        <w:autoSpaceDN w:val="0"/>
        <w:adjustRightInd w:val="0"/>
        <w:spacing w:after="0" w:line="240" w:lineRule="auto"/>
        <w:jc w:val="both"/>
        <w:rPr>
          <w:rFonts w:cs="Times New Roman"/>
        </w:rPr>
      </w:pPr>
      <w:r w:rsidRPr="00465B2A">
        <w:rPr>
          <w:rFonts w:cs="Times New Roman"/>
        </w:rPr>
        <w:t xml:space="preserve">4. </w:t>
      </w:r>
      <w:r w:rsidR="00A31E0A" w:rsidRPr="00465B2A">
        <w:rPr>
          <w:rFonts w:cs="Times New Roman"/>
        </w:rPr>
        <w:t>Az R. 2. számú melléklet 1.4. pontjában</w:t>
      </w:r>
      <w:r w:rsidR="00EC4AC6" w:rsidRPr="00465B2A">
        <w:rPr>
          <w:rFonts w:cs="Times New Roman"/>
        </w:rPr>
        <w:t>, 2.3. pontjában, 4.3. pontjában</w:t>
      </w:r>
      <w:r w:rsidR="00110E3C" w:rsidRPr="00465B2A">
        <w:rPr>
          <w:rFonts w:cs="Times New Roman"/>
        </w:rPr>
        <w:t>, 5.3. pontjában</w:t>
      </w:r>
      <w:r w:rsidR="001F15BF" w:rsidRPr="00465B2A">
        <w:rPr>
          <w:rFonts w:cs="Times New Roman"/>
        </w:rPr>
        <w:t>, 6.3. pontjában, 7.3. pontjában</w:t>
      </w:r>
      <w:r w:rsidRPr="00465B2A">
        <w:rPr>
          <w:rFonts w:cs="Times New Roman"/>
        </w:rPr>
        <w:t>, 9.3. pontjában</w:t>
      </w:r>
      <w:r w:rsidR="00897B19" w:rsidRPr="00465B2A">
        <w:rPr>
          <w:rFonts w:cs="Times New Roman"/>
        </w:rPr>
        <w:t>, 10.3. pontjában</w:t>
      </w:r>
      <w:r w:rsidR="00EC4AC6" w:rsidRPr="00465B2A">
        <w:rPr>
          <w:rFonts w:cs="Times New Roman"/>
        </w:rPr>
        <w:t xml:space="preserve"> </w:t>
      </w:r>
      <w:r w:rsidR="00A31E0A" w:rsidRPr="00465B2A">
        <w:rPr>
          <w:rFonts w:cs="Times New Roman"/>
        </w:rPr>
        <w:t>a „szennyezők vizsgálata” szövegrész helyébe a „szennyezők vizsgálata 3 x 1 kg vagy liter mintából” szöveg lép.</w:t>
      </w:r>
    </w:p>
    <w:p w:rsidR="00971DC0" w:rsidRPr="00465B2A" w:rsidRDefault="00971DC0" w:rsidP="005D3466">
      <w:pPr>
        <w:autoSpaceDE w:val="0"/>
        <w:autoSpaceDN w:val="0"/>
        <w:adjustRightInd w:val="0"/>
        <w:spacing w:after="0" w:line="240" w:lineRule="auto"/>
        <w:jc w:val="both"/>
        <w:rPr>
          <w:rFonts w:cs="Times New Roman"/>
        </w:rPr>
      </w:pPr>
    </w:p>
    <w:p w:rsidR="00971DC0" w:rsidRPr="00465B2A" w:rsidRDefault="00753440" w:rsidP="005D3466">
      <w:pPr>
        <w:autoSpaceDE w:val="0"/>
        <w:autoSpaceDN w:val="0"/>
        <w:adjustRightInd w:val="0"/>
        <w:spacing w:after="0" w:line="240" w:lineRule="auto"/>
        <w:jc w:val="both"/>
        <w:rPr>
          <w:rFonts w:cs="Times New Roman"/>
        </w:rPr>
      </w:pPr>
      <w:r w:rsidRPr="00465B2A">
        <w:rPr>
          <w:rFonts w:cs="Times New Roman"/>
        </w:rPr>
        <w:t>5</w:t>
      </w:r>
      <w:r w:rsidR="00971DC0" w:rsidRPr="00465B2A">
        <w:rPr>
          <w:rFonts w:cs="Times New Roman"/>
        </w:rPr>
        <w:t xml:space="preserve">. </w:t>
      </w:r>
      <w:r w:rsidR="00543B86" w:rsidRPr="00465B2A">
        <w:rPr>
          <w:rFonts w:cs="Times New Roman"/>
        </w:rPr>
        <w:t xml:space="preserve">Az R. 2. számú melléklet </w:t>
      </w:r>
      <w:r w:rsidR="00EC4AC6" w:rsidRPr="00465B2A">
        <w:rPr>
          <w:rFonts w:cs="Times New Roman"/>
        </w:rPr>
        <w:t>1.7. pontjában</w:t>
      </w:r>
      <w:r w:rsidR="001F15BF" w:rsidRPr="00465B2A">
        <w:rPr>
          <w:rFonts w:cs="Times New Roman"/>
        </w:rPr>
        <w:t>,</w:t>
      </w:r>
      <w:r w:rsidR="00EC4AC6" w:rsidRPr="00465B2A">
        <w:rPr>
          <w:rFonts w:cs="Times New Roman"/>
        </w:rPr>
        <w:t xml:space="preserve"> 2</w:t>
      </w:r>
      <w:r w:rsidR="00543B86" w:rsidRPr="00465B2A">
        <w:rPr>
          <w:rFonts w:cs="Times New Roman"/>
        </w:rPr>
        <w:t>.7. pontjában</w:t>
      </w:r>
      <w:r w:rsidR="001F15BF" w:rsidRPr="00465B2A">
        <w:rPr>
          <w:rFonts w:cs="Times New Roman"/>
        </w:rPr>
        <w:t xml:space="preserve"> 5.7. pontjában, 6.7. pontjában, 7.6. pontjában</w:t>
      </w:r>
      <w:r w:rsidRPr="00465B2A">
        <w:rPr>
          <w:rFonts w:cs="Times New Roman"/>
        </w:rPr>
        <w:t>, 9.7. pontjában</w:t>
      </w:r>
      <w:r w:rsidR="003A420C" w:rsidRPr="00465B2A">
        <w:rPr>
          <w:rFonts w:cs="Times New Roman"/>
        </w:rPr>
        <w:t>, 10.6. pontjában</w:t>
      </w:r>
      <w:r w:rsidR="00543B86" w:rsidRPr="00465B2A">
        <w:rPr>
          <w:rFonts w:cs="Times New Roman"/>
        </w:rPr>
        <w:t xml:space="preserve"> </w:t>
      </w:r>
      <w:r w:rsidR="00352CC8" w:rsidRPr="00465B2A">
        <w:rPr>
          <w:rFonts w:cs="Times New Roman"/>
        </w:rPr>
        <w:t>az „</w:t>
      </w:r>
      <w:proofErr w:type="spellStart"/>
      <w:r w:rsidR="00352CC8" w:rsidRPr="00465B2A">
        <w:rPr>
          <w:rFonts w:cs="Times New Roman"/>
        </w:rPr>
        <w:t>ökotoxikológiai</w:t>
      </w:r>
      <w:proofErr w:type="spellEnd"/>
      <w:r w:rsidR="00352CC8" w:rsidRPr="00465B2A">
        <w:rPr>
          <w:rFonts w:cs="Times New Roman"/>
        </w:rPr>
        <w:t xml:space="preserve"> (</w:t>
      </w:r>
      <w:proofErr w:type="spellStart"/>
      <w:r w:rsidR="00352CC8" w:rsidRPr="00465B2A">
        <w:rPr>
          <w:rFonts w:cs="Times New Roman"/>
        </w:rPr>
        <w:t>Daphnia-teszt</w:t>
      </w:r>
      <w:proofErr w:type="spellEnd"/>
      <w:r w:rsidR="00352CC8" w:rsidRPr="00465B2A">
        <w:rPr>
          <w:rFonts w:cs="Times New Roman"/>
        </w:rPr>
        <w:t xml:space="preserve">, halteszt, algateszt) és” szövegrész helyébe a „toxikológiai, </w:t>
      </w:r>
      <w:proofErr w:type="spellStart"/>
      <w:r w:rsidR="00352CC8" w:rsidRPr="00465B2A">
        <w:rPr>
          <w:rFonts w:cs="Times New Roman"/>
        </w:rPr>
        <w:t>ökotoxikológiai</w:t>
      </w:r>
      <w:proofErr w:type="spellEnd"/>
      <w:r w:rsidR="00352CC8" w:rsidRPr="00465B2A">
        <w:rPr>
          <w:rFonts w:cs="Times New Roman"/>
        </w:rPr>
        <w:t xml:space="preserve"> és” szöveg lép.</w:t>
      </w:r>
    </w:p>
    <w:p w:rsidR="00B277A1" w:rsidRPr="00465B2A" w:rsidRDefault="00B277A1" w:rsidP="005D3466">
      <w:pPr>
        <w:autoSpaceDE w:val="0"/>
        <w:autoSpaceDN w:val="0"/>
        <w:adjustRightInd w:val="0"/>
        <w:spacing w:after="0" w:line="240" w:lineRule="auto"/>
        <w:jc w:val="both"/>
        <w:rPr>
          <w:rFonts w:cs="Times New Roman"/>
        </w:rPr>
      </w:pPr>
    </w:p>
    <w:p w:rsidR="001F15BF" w:rsidRPr="00465B2A" w:rsidRDefault="00753440" w:rsidP="005D3466">
      <w:pPr>
        <w:autoSpaceDE w:val="0"/>
        <w:autoSpaceDN w:val="0"/>
        <w:adjustRightInd w:val="0"/>
        <w:spacing w:after="0" w:line="240" w:lineRule="auto"/>
        <w:jc w:val="both"/>
        <w:rPr>
          <w:rFonts w:cs="Times New Roman"/>
        </w:rPr>
      </w:pPr>
      <w:r w:rsidRPr="00465B2A">
        <w:rPr>
          <w:rFonts w:cs="Times New Roman"/>
        </w:rPr>
        <w:t>6</w:t>
      </w:r>
      <w:r w:rsidR="001F15BF" w:rsidRPr="00465B2A">
        <w:rPr>
          <w:rFonts w:cs="Times New Roman"/>
        </w:rPr>
        <w:t>. Az R. 2. számú melléklet 7.1. pontjában</w:t>
      </w:r>
      <w:r w:rsidRPr="00465B2A">
        <w:rPr>
          <w:rFonts w:cs="Times New Roman"/>
        </w:rPr>
        <w:t>, 10.1. pontjában</w:t>
      </w:r>
      <w:r w:rsidR="001F15BF" w:rsidRPr="00465B2A">
        <w:rPr>
          <w:rFonts w:cs="Times New Roman"/>
        </w:rPr>
        <w:t xml:space="preserve"> szereplő felsorolás hatodik </w:t>
      </w:r>
      <w:r w:rsidR="00C7377C">
        <w:rPr>
          <w:rFonts w:cs="Times New Roman"/>
        </w:rPr>
        <w:t>sorában</w:t>
      </w:r>
      <w:r w:rsidR="001F15BF" w:rsidRPr="00465B2A">
        <w:rPr>
          <w:rFonts w:cs="Times New Roman"/>
        </w:rPr>
        <w:t xml:space="preserve"> a „</w:t>
      </w:r>
      <w:proofErr w:type="spellStart"/>
      <w:r w:rsidR="001F15BF" w:rsidRPr="00465B2A">
        <w:rPr>
          <w:rFonts w:cs="Times New Roman"/>
        </w:rPr>
        <w:t>Zn</w:t>
      </w:r>
      <w:proofErr w:type="spellEnd"/>
      <w:r w:rsidR="001F15BF" w:rsidRPr="00465B2A">
        <w:rPr>
          <w:rFonts w:cs="Times New Roman"/>
        </w:rPr>
        <w:t xml:space="preserve"> stb.” szövegrész helyébe a „</w:t>
      </w:r>
      <w:proofErr w:type="spellStart"/>
      <w:r w:rsidR="001F15BF" w:rsidRPr="00465B2A">
        <w:rPr>
          <w:rFonts w:cs="Times New Roman"/>
        </w:rPr>
        <w:t>Zn</w:t>
      </w:r>
      <w:proofErr w:type="spellEnd"/>
      <w:r w:rsidR="001F15BF" w:rsidRPr="00465B2A">
        <w:rPr>
          <w:rFonts w:cs="Times New Roman"/>
        </w:rPr>
        <w:t>, szerves anyag, stb.” szöveg lép.</w:t>
      </w:r>
    </w:p>
    <w:p w:rsidR="00B277A1" w:rsidRPr="00465B2A" w:rsidRDefault="00B277A1" w:rsidP="005D3466">
      <w:pPr>
        <w:autoSpaceDE w:val="0"/>
        <w:autoSpaceDN w:val="0"/>
        <w:adjustRightInd w:val="0"/>
        <w:spacing w:after="0" w:line="240" w:lineRule="auto"/>
        <w:jc w:val="both"/>
        <w:rPr>
          <w:rFonts w:cs="Times New Roman"/>
        </w:rPr>
      </w:pPr>
    </w:p>
    <w:p w:rsidR="003A420C" w:rsidRPr="00465B2A" w:rsidRDefault="003A420C">
      <w:pPr>
        <w:spacing w:after="0" w:line="240" w:lineRule="auto"/>
        <w:rPr>
          <w:rFonts w:cs="Times New Roman"/>
        </w:rPr>
      </w:pPr>
      <w:r w:rsidRPr="00465B2A">
        <w:rPr>
          <w:rFonts w:cs="Times New Roman"/>
        </w:rPr>
        <w:br w:type="page"/>
      </w:r>
    </w:p>
    <w:p w:rsidR="003A420C" w:rsidRPr="00465B2A" w:rsidRDefault="003A420C" w:rsidP="005D3466">
      <w:pPr>
        <w:autoSpaceDE w:val="0"/>
        <w:autoSpaceDN w:val="0"/>
        <w:adjustRightInd w:val="0"/>
        <w:spacing w:after="0" w:line="240" w:lineRule="auto"/>
        <w:jc w:val="both"/>
        <w:rPr>
          <w:rFonts w:cs="Times New Roman"/>
          <w:i/>
          <w:u w:val="single"/>
        </w:rPr>
      </w:pPr>
      <w:r w:rsidRPr="00465B2A">
        <w:rPr>
          <w:rFonts w:cs="Times New Roman"/>
          <w:i/>
          <w:u w:val="single"/>
        </w:rPr>
        <w:lastRenderedPageBreak/>
        <w:t>3. melléklet a …/2014. (…) FM rendelethez</w:t>
      </w:r>
    </w:p>
    <w:p w:rsidR="006B346D" w:rsidRPr="00465B2A" w:rsidRDefault="006B346D" w:rsidP="005D3466">
      <w:pPr>
        <w:autoSpaceDE w:val="0"/>
        <w:autoSpaceDN w:val="0"/>
        <w:adjustRightInd w:val="0"/>
        <w:spacing w:after="0" w:line="240" w:lineRule="auto"/>
        <w:jc w:val="both"/>
        <w:rPr>
          <w:rFonts w:cs="Times New Roman"/>
        </w:rPr>
      </w:pPr>
    </w:p>
    <w:p w:rsidR="00AA6EF5" w:rsidRPr="00465B2A" w:rsidRDefault="00AA6EF5" w:rsidP="00AA6EF5">
      <w:pPr>
        <w:autoSpaceDE w:val="0"/>
        <w:autoSpaceDN w:val="0"/>
        <w:adjustRightInd w:val="0"/>
        <w:spacing w:after="0" w:line="240" w:lineRule="auto"/>
        <w:jc w:val="both"/>
        <w:rPr>
          <w:rFonts w:cs="Times New Roman"/>
        </w:rPr>
      </w:pPr>
      <w:r w:rsidRPr="00465B2A">
        <w:rPr>
          <w:rFonts w:cs="Times New Roman"/>
        </w:rPr>
        <w:t>1. Az R. 3. számú melléklet 2.6. pontj</w:t>
      </w:r>
      <w:r w:rsidR="00031002">
        <w:rPr>
          <w:rFonts w:cs="Times New Roman"/>
        </w:rPr>
        <w:t xml:space="preserve">ában, </w:t>
      </w:r>
      <w:r w:rsidR="00031002" w:rsidRPr="00465B2A">
        <w:rPr>
          <w:rFonts w:cs="Times New Roman"/>
        </w:rPr>
        <w:t>4.6. pontj</w:t>
      </w:r>
      <w:r w:rsidR="00031002">
        <w:rPr>
          <w:rFonts w:cs="Times New Roman"/>
        </w:rPr>
        <w:t xml:space="preserve">ában, </w:t>
      </w:r>
      <w:r w:rsidR="009B4077">
        <w:rPr>
          <w:rFonts w:cs="Times New Roman"/>
        </w:rPr>
        <w:t xml:space="preserve">5.6. pontjában </w:t>
      </w:r>
      <w:r w:rsidR="00031002" w:rsidRPr="00465B2A">
        <w:rPr>
          <w:rFonts w:cs="Times New Roman"/>
        </w:rPr>
        <w:t>6.4. pontj</w:t>
      </w:r>
      <w:r w:rsidR="00031002">
        <w:rPr>
          <w:rFonts w:cs="Times New Roman"/>
        </w:rPr>
        <w:t xml:space="preserve">ában, </w:t>
      </w:r>
      <w:r w:rsidR="00031002" w:rsidRPr="00465B2A">
        <w:rPr>
          <w:rFonts w:cs="Times New Roman"/>
        </w:rPr>
        <w:t>8.6. pontj</w:t>
      </w:r>
      <w:r w:rsidR="00031002">
        <w:rPr>
          <w:rFonts w:cs="Times New Roman"/>
        </w:rPr>
        <w:t xml:space="preserve">ában, </w:t>
      </w:r>
      <w:r w:rsidR="00031002" w:rsidRPr="00465B2A">
        <w:rPr>
          <w:rFonts w:cs="Times New Roman"/>
        </w:rPr>
        <w:t>9.6. pontj</w:t>
      </w:r>
      <w:r w:rsidR="000742C4">
        <w:rPr>
          <w:rFonts w:cs="Times New Roman"/>
        </w:rPr>
        <w:t xml:space="preserve">ában és </w:t>
      </w:r>
      <w:r w:rsidR="000742C4" w:rsidRPr="00465B2A">
        <w:rPr>
          <w:rFonts w:cs="Times New Roman"/>
        </w:rPr>
        <w:t>10.5. pontj</w:t>
      </w:r>
      <w:r w:rsidR="000742C4">
        <w:rPr>
          <w:rFonts w:cs="Times New Roman"/>
        </w:rPr>
        <w:t>ában</w:t>
      </w:r>
      <w:r w:rsidR="00031002">
        <w:rPr>
          <w:rFonts w:cs="Times New Roman"/>
        </w:rPr>
        <w:t xml:space="preserve"> szereplő felsorolás harmadik és negyedik </w:t>
      </w:r>
      <w:r w:rsidR="002F2B99">
        <w:rPr>
          <w:rFonts w:cs="Times New Roman"/>
        </w:rPr>
        <w:t>sora</w:t>
      </w:r>
      <w:r w:rsidRPr="00465B2A">
        <w:rPr>
          <w:rFonts w:cs="Times New Roman"/>
        </w:rPr>
        <w:t xml:space="preserve"> helyébe a következő </w:t>
      </w:r>
      <w:r w:rsidR="002F2B99">
        <w:rPr>
          <w:rFonts w:cs="Times New Roman"/>
        </w:rPr>
        <w:t>sorok</w:t>
      </w:r>
      <w:r w:rsidR="00031002" w:rsidRPr="00465B2A">
        <w:rPr>
          <w:rFonts w:cs="Times New Roman"/>
        </w:rPr>
        <w:t xml:space="preserve"> </w:t>
      </w:r>
      <w:r w:rsidRPr="00465B2A">
        <w:rPr>
          <w:rFonts w:cs="Times New Roman"/>
        </w:rPr>
        <w:t>lép</w:t>
      </w:r>
      <w:r w:rsidR="00031002">
        <w:rPr>
          <w:rFonts w:cs="Times New Roman"/>
        </w:rPr>
        <w:t xml:space="preserve">nek, egyidejűleg </w:t>
      </w:r>
      <w:r w:rsidR="003B5B13">
        <w:rPr>
          <w:rFonts w:cs="Times New Roman"/>
        </w:rPr>
        <w:t xml:space="preserve">a </w:t>
      </w:r>
      <w:r w:rsidR="00031002">
        <w:rPr>
          <w:rFonts w:cs="Times New Roman"/>
        </w:rPr>
        <w:t xml:space="preserve">következő ötödik </w:t>
      </w:r>
      <w:r w:rsidR="002F2B99">
        <w:rPr>
          <w:rFonts w:cs="Times New Roman"/>
        </w:rPr>
        <w:t>sorral</w:t>
      </w:r>
      <w:r w:rsidR="00031002">
        <w:rPr>
          <w:rFonts w:cs="Times New Roman"/>
        </w:rPr>
        <w:t xml:space="preserve"> egészül</w:t>
      </w:r>
      <w:r w:rsidR="000E0E7D">
        <w:rPr>
          <w:rFonts w:cs="Times New Roman"/>
        </w:rPr>
        <w:t>nek</w:t>
      </w:r>
      <w:r w:rsidR="00031002">
        <w:rPr>
          <w:rFonts w:cs="Times New Roman"/>
        </w:rPr>
        <w:t xml:space="preserve"> ki</w:t>
      </w:r>
      <w:r w:rsidRPr="00465B2A">
        <w:rPr>
          <w:rFonts w:cs="Times New Roman"/>
        </w:rPr>
        <w:t>:</w:t>
      </w:r>
    </w:p>
    <w:p w:rsidR="00AA6EF5" w:rsidRPr="00465B2A" w:rsidRDefault="00AA6EF5" w:rsidP="00AA6EF5">
      <w:pPr>
        <w:autoSpaceDE w:val="0"/>
        <w:autoSpaceDN w:val="0"/>
        <w:adjustRightInd w:val="0"/>
        <w:spacing w:after="0" w:line="240" w:lineRule="auto"/>
        <w:jc w:val="both"/>
        <w:rPr>
          <w:rFonts w:cs="Times New Roman"/>
        </w:rPr>
      </w:pPr>
    </w:p>
    <w:p w:rsidR="00AA6EF5" w:rsidRPr="00465B2A" w:rsidRDefault="002F2B99" w:rsidP="00C7377C">
      <w:pPr>
        <w:tabs>
          <w:tab w:val="left" w:pos="6237"/>
        </w:tabs>
        <w:spacing w:after="20" w:line="240" w:lineRule="auto"/>
        <w:ind w:firstLine="284"/>
        <w:jc w:val="both"/>
        <w:rPr>
          <w:rFonts w:eastAsia="Times New Roman"/>
          <w:color w:val="000000"/>
          <w:lang w:eastAsia="hu-HU"/>
        </w:rPr>
      </w:pPr>
      <w:r>
        <w:rPr>
          <w:rFonts w:cs="Times New Roman"/>
        </w:rPr>
        <w:t>„</w:t>
      </w:r>
      <w:r w:rsidR="00AA6EF5" w:rsidRPr="00465B2A">
        <w:rPr>
          <w:rFonts w:eastAsia="Times New Roman"/>
          <w:color w:val="000000"/>
          <w:lang w:eastAsia="hu-HU"/>
        </w:rPr>
        <w:t xml:space="preserve">–  </w:t>
      </w:r>
      <w:proofErr w:type="spellStart"/>
      <w:r w:rsidR="00AA6EF5" w:rsidRPr="00465B2A">
        <w:rPr>
          <w:rFonts w:eastAsia="Times New Roman"/>
          <w:color w:val="000000"/>
          <w:lang w:eastAsia="hu-HU"/>
        </w:rPr>
        <w:t>Pseudomonas</w:t>
      </w:r>
      <w:proofErr w:type="spellEnd"/>
      <w:r w:rsidR="00AA6EF5" w:rsidRPr="00465B2A">
        <w:rPr>
          <w:rFonts w:eastAsia="Times New Roman"/>
          <w:color w:val="000000"/>
          <w:lang w:eastAsia="hu-HU"/>
        </w:rPr>
        <w:t xml:space="preserve"> </w:t>
      </w:r>
      <w:proofErr w:type="spellStart"/>
      <w:r w:rsidR="00AA6EF5" w:rsidRPr="00465B2A">
        <w:rPr>
          <w:rFonts w:eastAsia="Times New Roman"/>
          <w:color w:val="000000"/>
          <w:lang w:eastAsia="hu-HU"/>
        </w:rPr>
        <w:t>Aeruginosa</w:t>
      </w:r>
      <w:proofErr w:type="spellEnd"/>
      <w:r w:rsidR="00AA6EF5" w:rsidRPr="00465B2A">
        <w:rPr>
          <w:rFonts w:eastAsia="Times New Roman"/>
          <w:color w:val="000000"/>
          <w:lang w:eastAsia="hu-HU"/>
        </w:rPr>
        <w:t xml:space="preserve"> szám    </w:t>
      </w:r>
      <w:r>
        <w:rPr>
          <w:rFonts w:eastAsia="Times New Roman"/>
          <w:color w:val="000000"/>
          <w:lang w:eastAsia="hu-HU"/>
        </w:rPr>
        <w:tab/>
      </w:r>
      <w:r w:rsidR="00AA6EF5" w:rsidRPr="00465B2A">
        <w:rPr>
          <w:rFonts w:eastAsia="Times New Roman"/>
          <w:color w:val="000000"/>
          <w:lang w:eastAsia="hu-HU"/>
        </w:rPr>
        <w:t>&lt; 10 db/g vagy &lt; 10 db/ml</w:t>
      </w:r>
    </w:p>
    <w:p w:rsidR="00AA6EF5" w:rsidRPr="00465B2A" w:rsidRDefault="00AA6EF5" w:rsidP="00C7377C">
      <w:pPr>
        <w:tabs>
          <w:tab w:val="left" w:pos="6237"/>
        </w:tabs>
        <w:spacing w:after="20" w:line="240" w:lineRule="auto"/>
        <w:ind w:firstLine="380"/>
        <w:jc w:val="both"/>
        <w:rPr>
          <w:rFonts w:eastAsia="Times New Roman"/>
          <w:color w:val="000000"/>
          <w:lang w:eastAsia="hu-HU"/>
        </w:rPr>
      </w:pPr>
      <w:r w:rsidRPr="00465B2A">
        <w:rPr>
          <w:rFonts w:eastAsia="Times New Roman"/>
          <w:color w:val="000000"/>
          <w:lang w:eastAsia="hu-HU"/>
        </w:rPr>
        <w:t xml:space="preserve">– Salmonella </w:t>
      </w:r>
      <w:proofErr w:type="spellStart"/>
      <w:r w:rsidRPr="00465B2A">
        <w:rPr>
          <w:rFonts w:eastAsia="Times New Roman"/>
          <w:color w:val="000000"/>
          <w:lang w:eastAsia="hu-HU"/>
        </w:rPr>
        <w:t>sp</w:t>
      </w:r>
      <w:proofErr w:type="spellEnd"/>
      <w:r w:rsidRPr="00465B2A">
        <w:rPr>
          <w:rFonts w:eastAsia="Times New Roman"/>
          <w:color w:val="000000"/>
          <w:lang w:eastAsia="hu-HU"/>
        </w:rPr>
        <w:t>. negatív /    </w:t>
      </w:r>
      <w:r w:rsidR="002F2B99">
        <w:rPr>
          <w:rFonts w:eastAsia="Times New Roman"/>
          <w:color w:val="000000"/>
          <w:lang w:eastAsia="hu-HU"/>
        </w:rPr>
        <w:tab/>
      </w:r>
      <w:r w:rsidRPr="00465B2A">
        <w:rPr>
          <w:rFonts w:eastAsia="Times New Roman"/>
          <w:color w:val="000000"/>
          <w:lang w:eastAsia="hu-HU"/>
        </w:rPr>
        <w:t xml:space="preserve">2 × 10 g vagy ml </w:t>
      </w:r>
    </w:p>
    <w:p w:rsidR="00AA6EF5" w:rsidRPr="00465B2A" w:rsidRDefault="00AA6EF5" w:rsidP="00C7377C">
      <w:pPr>
        <w:tabs>
          <w:tab w:val="left" w:pos="6237"/>
        </w:tabs>
        <w:spacing w:after="20" w:line="240" w:lineRule="auto"/>
        <w:ind w:firstLine="380"/>
        <w:jc w:val="both"/>
        <w:rPr>
          <w:rFonts w:eastAsia="Times New Roman"/>
          <w:color w:val="000000"/>
          <w:lang w:eastAsia="hu-HU"/>
        </w:rPr>
      </w:pPr>
      <w:r w:rsidRPr="00465B2A">
        <w:rPr>
          <w:rFonts w:eastAsia="Times New Roman"/>
          <w:color w:val="000000"/>
          <w:lang w:eastAsia="hu-HU"/>
        </w:rPr>
        <w:t>– Humán parazita bélféreg peteszám negatív   </w:t>
      </w:r>
      <w:r w:rsidR="002F2B99">
        <w:rPr>
          <w:rFonts w:eastAsia="Times New Roman"/>
          <w:color w:val="000000"/>
          <w:lang w:eastAsia="hu-HU"/>
        </w:rPr>
        <w:tab/>
      </w:r>
      <w:r w:rsidRPr="00465B2A">
        <w:rPr>
          <w:rFonts w:eastAsia="Times New Roman"/>
          <w:color w:val="000000"/>
          <w:lang w:eastAsia="hu-HU"/>
        </w:rPr>
        <w:t>100 g vagy 100 ml”</w:t>
      </w:r>
    </w:p>
    <w:p w:rsidR="00AA6EF5" w:rsidRPr="00465B2A" w:rsidRDefault="00AA6EF5" w:rsidP="006B346D">
      <w:pPr>
        <w:autoSpaceDE w:val="0"/>
        <w:autoSpaceDN w:val="0"/>
        <w:adjustRightInd w:val="0"/>
        <w:spacing w:after="0" w:line="240" w:lineRule="auto"/>
        <w:jc w:val="both"/>
        <w:rPr>
          <w:rFonts w:cs="Times New Roman"/>
        </w:rPr>
      </w:pPr>
    </w:p>
    <w:p w:rsidR="004A145B" w:rsidRPr="00465B2A" w:rsidRDefault="004A145B" w:rsidP="006B346D">
      <w:pPr>
        <w:autoSpaceDE w:val="0"/>
        <w:autoSpaceDN w:val="0"/>
        <w:adjustRightInd w:val="0"/>
        <w:spacing w:after="0" w:line="240" w:lineRule="auto"/>
        <w:jc w:val="both"/>
        <w:rPr>
          <w:rFonts w:cs="Times New Roman"/>
        </w:rPr>
      </w:pPr>
      <w:r w:rsidRPr="00465B2A">
        <w:rPr>
          <w:rFonts w:cs="Times New Roman"/>
        </w:rPr>
        <w:t>2. Az R. 3. számú melléklet 4.1. pontj</w:t>
      </w:r>
      <w:r w:rsidR="002F2B99">
        <w:rPr>
          <w:rFonts w:cs="Times New Roman"/>
        </w:rPr>
        <w:t>ában szereplő felsorolás</w:t>
      </w:r>
      <w:r w:rsidRPr="00465B2A">
        <w:rPr>
          <w:rFonts w:cs="Times New Roman"/>
        </w:rPr>
        <w:t xml:space="preserve"> a </w:t>
      </w:r>
      <w:r w:rsidR="00C7377C">
        <w:rPr>
          <w:rFonts w:cs="Times New Roman"/>
        </w:rPr>
        <w:t xml:space="preserve">hetedik </w:t>
      </w:r>
      <w:r w:rsidRPr="00465B2A">
        <w:rPr>
          <w:rFonts w:cs="Times New Roman"/>
        </w:rPr>
        <w:t>sort követően a követk</w:t>
      </w:r>
      <w:r w:rsidR="00FA6F83" w:rsidRPr="00465B2A">
        <w:rPr>
          <w:rFonts w:cs="Times New Roman"/>
        </w:rPr>
        <w:t>e</w:t>
      </w:r>
      <w:r w:rsidRPr="00465B2A">
        <w:rPr>
          <w:rFonts w:cs="Times New Roman"/>
        </w:rPr>
        <w:t>ző sorral egészül ki:</w:t>
      </w:r>
    </w:p>
    <w:p w:rsidR="004A145B" w:rsidRPr="00465B2A" w:rsidRDefault="004A145B" w:rsidP="006B346D">
      <w:pPr>
        <w:autoSpaceDE w:val="0"/>
        <w:autoSpaceDN w:val="0"/>
        <w:adjustRightInd w:val="0"/>
        <w:spacing w:after="0" w:line="240" w:lineRule="auto"/>
        <w:jc w:val="both"/>
        <w:rPr>
          <w:rFonts w:cs="Times New Roman"/>
        </w:rPr>
      </w:pPr>
    </w:p>
    <w:p w:rsidR="004A145B" w:rsidRDefault="004A145B" w:rsidP="00C7377C">
      <w:pPr>
        <w:tabs>
          <w:tab w:val="left" w:pos="3969"/>
          <w:tab w:val="left" w:pos="6237"/>
        </w:tabs>
        <w:autoSpaceDE w:val="0"/>
        <w:autoSpaceDN w:val="0"/>
        <w:adjustRightInd w:val="0"/>
        <w:spacing w:after="0" w:line="240" w:lineRule="auto"/>
        <w:jc w:val="both"/>
      </w:pPr>
      <w:r w:rsidRPr="00465B2A">
        <w:rPr>
          <w:rFonts w:cs="Times New Roman"/>
        </w:rPr>
        <w:t>„</w:t>
      </w:r>
      <w:r w:rsidRPr="00465B2A">
        <w:t xml:space="preserve">* gombakomposztok esetében </w:t>
      </w:r>
      <w:r w:rsidR="00C7377C">
        <w:tab/>
      </w:r>
      <w:r w:rsidRPr="00465B2A">
        <w:t xml:space="preserve">legalább </w:t>
      </w:r>
      <w:r w:rsidR="00C7377C">
        <w:tab/>
      </w:r>
      <w:r w:rsidRPr="00465B2A">
        <w:t>20 m/</w:t>
      </w:r>
      <w:proofErr w:type="spellStart"/>
      <w:r w:rsidRPr="00465B2A">
        <w:t>m%</w:t>
      </w:r>
      <w:proofErr w:type="spellEnd"/>
      <w:r w:rsidRPr="00465B2A">
        <w:t>”</w:t>
      </w:r>
    </w:p>
    <w:p w:rsidR="004C6611" w:rsidRDefault="004C6611" w:rsidP="004C6611">
      <w:pPr>
        <w:tabs>
          <w:tab w:val="left" w:pos="3969"/>
          <w:tab w:val="left" w:pos="6237"/>
        </w:tabs>
        <w:autoSpaceDE w:val="0"/>
        <w:autoSpaceDN w:val="0"/>
        <w:adjustRightInd w:val="0"/>
        <w:spacing w:after="0" w:line="240" w:lineRule="auto"/>
        <w:jc w:val="both"/>
      </w:pPr>
    </w:p>
    <w:p w:rsidR="004C6611" w:rsidRDefault="004C6611" w:rsidP="004C6611">
      <w:pPr>
        <w:tabs>
          <w:tab w:val="left" w:pos="3969"/>
          <w:tab w:val="left" w:pos="6237"/>
        </w:tabs>
        <w:autoSpaceDE w:val="0"/>
        <w:autoSpaceDN w:val="0"/>
        <w:adjustRightInd w:val="0"/>
        <w:spacing w:after="0" w:line="240" w:lineRule="auto"/>
        <w:jc w:val="both"/>
        <w:rPr>
          <w:rFonts w:cs="Times New Roman"/>
        </w:rPr>
      </w:pPr>
      <w:r w:rsidRPr="004C6611">
        <w:rPr>
          <w:rFonts w:cs="Times New Roman"/>
        </w:rPr>
        <w:t>3.</w:t>
      </w:r>
      <w:r>
        <w:rPr>
          <w:rFonts w:cs="Times New Roman"/>
        </w:rPr>
        <w:t xml:space="preserve"> Az R. 3. számú melléklet 4.2. pontjába</w:t>
      </w:r>
      <w:r w:rsidR="00C90583">
        <w:rPr>
          <w:rFonts w:cs="Times New Roman"/>
        </w:rPr>
        <w:t xml:space="preserve">n foglalt táblázat </w:t>
      </w:r>
      <w:proofErr w:type="spellStart"/>
      <w:r w:rsidR="00C90583">
        <w:rPr>
          <w:rFonts w:cs="Times New Roman"/>
        </w:rPr>
        <w:t>Cu</w:t>
      </w:r>
      <w:proofErr w:type="spellEnd"/>
      <w:r w:rsidR="00C90583">
        <w:rPr>
          <w:rFonts w:cs="Times New Roman"/>
        </w:rPr>
        <w:t>:Komposztok mezője helyébe a következő mező lép:</w:t>
      </w:r>
    </w:p>
    <w:p w:rsidR="00C90583" w:rsidRDefault="00C90583" w:rsidP="004C6611">
      <w:pPr>
        <w:tabs>
          <w:tab w:val="left" w:pos="3969"/>
          <w:tab w:val="left" w:pos="6237"/>
        </w:tabs>
        <w:autoSpaceDE w:val="0"/>
        <w:autoSpaceDN w:val="0"/>
        <w:adjustRightInd w:val="0"/>
        <w:spacing w:after="0" w:line="240" w:lineRule="auto"/>
        <w:jc w:val="both"/>
        <w:rPr>
          <w:rFonts w:cs="Times New Roman"/>
        </w:rPr>
      </w:pPr>
    </w:p>
    <w:tbl>
      <w:tblPr>
        <w:tblStyle w:val="Rcsostblzat"/>
        <w:tblW w:w="0" w:type="auto"/>
        <w:tblLook w:val="04A0" w:firstRow="1" w:lastRow="0" w:firstColumn="1" w:lastColumn="0" w:noHBand="0" w:noVBand="1"/>
      </w:tblPr>
      <w:tblGrid>
        <w:gridCol w:w="1668"/>
        <w:gridCol w:w="992"/>
      </w:tblGrid>
      <w:tr w:rsidR="00C90583" w:rsidTr="00C90583">
        <w:tc>
          <w:tcPr>
            <w:tcW w:w="1668" w:type="dxa"/>
          </w:tcPr>
          <w:p w:rsidR="00C90583" w:rsidRDefault="00C90583" w:rsidP="004C6611">
            <w:pPr>
              <w:tabs>
                <w:tab w:val="left" w:pos="3969"/>
                <w:tab w:val="left" w:pos="6237"/>
              </w:tabs>
              <w:autoSpaceDE w:val="0"/>
              <w:autoSpaceDN w:val="0"/>
              <w:adjustRightInd w:val="0"/>
              <w:spacing w:after="0" w:line="240" w:lineRule="auto"/>
              <w:jc w:val="both"/>
              <w:rPr>
                <w:rFonts w:cs="Times New Roman"/>
              </w:rPr>
            </w:pPr>
          </w:p>
        </w:tc>
        <w:tc>
          <w:tcPr>
            <w:tcW w:w="992" w:type="dxa"/>
          </w:tcPr>
          <w:p w:rsidR="00C90583" w:rsidRDefault="00C90583" w:rsidP="00C90583">
            <w:pPr>
              <w:tabs>
                <w:tab w:val="left" w:pos="3969"/>
                <w:tab w:val="left" w:pos="6237"/>
              </w:tabs>
              <w:autoSpaceDE w:val="0"/>
              <w:autoSpaceDN w:val="0"/>
              <w:adjustRightInd w:val="0"/>
              <w:spacing w:after="0" w:line="240" w:lineRule="auto"/>
              <w:jc w:val="center"/>
              <w:rPr>
                <w:rFonts w:cs="Times New Roman"/>
              </w:rPr>
            </w:pPr>
            <w:proofErr w:type="spellStart"/>
            <w:r>
              <w:rPr>
                <w:rFonts w:cs="Times New Roman"/>
              </w:rPr>
              <w:t>Cu</w:t>
            </w:r>
            <w:proofErr w:type="spellEnd"/>
          </w:p>
        </w:tc>
      </w:tr>
      <w:tr w:rsidR="00C90583" w:rsidTr="00C90583">
        <w:tc>
          <w:tcPr>
            <w:tcW w:w="1668" w:type="dxa"/>
          </w:tcPr>
          <w:p w:rsidR="00C90583" w:rsidRDefault="00C90583" w:rsidP="004C6611">
            <w:pPr>
              <w:tabs>
                <w:tab w:val="left" w:pos="3969"/>
                <w:tab w:val="left" w:pos="6237"/>
              </w:tabs>
              <w:autoSpaceDE w:val="0"/>
              <w:autoSpaceDN w:val="0"/>
              <w:adjustRightInd w:val="0"/>
              <w:spacing w:after="0" w:line="240" w:lineRule="auto"/>
              <w:jc w:val="both"/>
              <w:rPr>
                <w:rFonts w:cs="Times New Roman"/>
              </w:rPr>
            </w:pPr>
            <w:r>
              <w:rPr>
                <w:rFonts w:cs="Times New Roman"/>
              </w:rPr>
              <w:t>Komposztok</w:t>
            </w:r>
          </w:p>
        </w:tc>
        <w:tc>
          <w:tcPr>
            <w:tcW w:w="992" w:type="dxa"/>
          </w:tcPr>
          <w:p w:rsidR="00C90583" w:rsidRDefault="00C90583" w:rsidP="00C90583">
            <w:pPr>
              <w:tabs>
                <w:tab w:val="left" w:pos="3969"/>
                <w:tab w:val="left" w:pos="6237"/>
              </w:tabs>
              <w:autoSpaceDE w:val="0"/>
              <w:autoSpaceDN w:val="0"/>
              <w:adjustRightInd w:val="0"/>
              <w:spacing w:after="0" w:line="240" w:lineRule="auto"/>
              <w:jc w:val="center"/>
              <w:rPr>
                <w:rFonts w:cs="Times New Roman"/>
              </w:rPr>
            </w:pPr>
            <w:r>
              <w:rPr>
                <w:rFonts w:cs="Times New Roman"/>
              </w:rPr>
              <w:t>„300”</w:t>
            </w:r>
          </w:p>
        </w:tc>
      </w:tr>
    </w:tbl>
    <w:p w:rsidR="00C90583" w:rsidRPr="004C6611" w:rsidRDefault="00C90583" w:rsidP="004C6611">
      <w:pPr>
        <w:tabs>
          <w:tab w:val="left" w:pos="3969"/>
          <w:tab w:val="left" w:pos="6237"/>
        </w:tabs>
        <w:autoSpaceDE w:val="0"/>
        <w:autoSpaceDN w:val="0"/>
        <w:adjustRightInd w:val="0"/>
        <w:spacing w:after="0" w:line="240" w:lineRule="auto"/>
        <w:jc w:val="both"/>
        <w:rPr>
          <w:rFonts w:cs="Times New Roman"/>
        </w:rPr>
      </w:pPr>
    </w:p>
    <w:p w:rsidR="00C90583" w:rsidRDefault="00C90583" w:rsidP="00C90583">
      <w:pPr>
        <w:tabs>
          <w:tab w:val="left" w:pos="3969"/>
          <w:tab w:val="left" w:pos="6237"/>
        </w:tabs>
        <w:autoSpaceDE w:val="0"/>
        <w:autoSpaceDN w:val="0"/>
        <w:adjustRightInd w:val="0"/>
        <w:spacing w:after="0" w:line="240" w:lineRule="auto"/>
        <w:jc w:val="both"/>
        <w:rPr>
          <w:rFonts w:cs="Times New Roman"/>
        </w:rPr>
      </w:pPr>
      <w:r>
        <w:rPr>
          <w:rFonts w:cs="Times New Roman"/>
        </w:rPr>
        <w:t>4</w:t>
      </w:r>
      <w:r w:rsidRPr="004C6611">
        <w:rPr>
          <w:rFonts w:cs="Times New Roman"/>
        </w:rPr>
        <w:t>.</w:t>
      </w:r>
      <w:r>
        <w:rPr>
          <w:rFonts w:cs="Times New Roman"/>
        </w:rPr>
        <w:t xml:space="preserve"> Az R. 3. számú melléklet 6.2. pontjában foglalt táblázat </w:t>
      </w:r>
      <w:proofErr w:type="spellStart"/>
      <w:r w:rsidR="009E03E9">
        <w:rPr>
          <w:rFonts w:cs="Times New Roman"/>
        </w:rPr>
        <w:t>As</w:t>
      </w:r>
      <w:proofErr w:type="spellEnd"/>
      <w:r>
        <w:rPr>
          <w:rFonts w:cs="Times New Roman"/>
        </w:rPr>
        <w:t>:</w:t>
      </w:r>
      <w:r w:rsidR="009E03E9">
        <w:rPr>
          <w:rFonts w:cs="Times New Roman"/>
        </w:rPr>
        <w:t>Tőzeg</w:t>
      </w:r>
      <w:r>
        <w:rPr>
          <w:rFonts w:cs="Times New Roman"/>
        </w:rPr>
        <w:t xml:space="preserve"> mezője helyébe a következő mező lép:</w:t>
      </w:r>
    </w:p>
    <w:p w:rsidR="00C90583" w:rsidRDefault="00C90583" w:rsidP="00C90583">
      <w:pPr>
        <w:tabs>
          <w:tab w:val="left" w:pos="3969"/>
          <w:tab w:val="left" w:pos="6237"/>
        </w:tabs>
        <w:autoSpaceDE w:val="0"/>
        <w:autoSpaceDN w:val="0"/>
        <w:adjustRightInd w:val="0"/>
        <w:spacing w:after="0" w:line="240" w:lineRule="auto"/>
        <w:jc w:val="both"/>
        <w:rPr>
          <w:rFonts w:cs="Times New Roman"/>
        </w:rPr>
      </w:pPr>
    </w:p>
    <w:tbl>
      <w:tblPr>
        <w:tblStyle w:val="Rcsostblzat"/>
        <w:tblW w:w="0" w:type="auto"/>
        <w:tblLook w:val="04A0" w:firstRow="1" w:lastRow="0" w:firstColumn="1" w:lastColumn="0" w:noHBand="0" w:noVBand="1"/>
      </w:tblPr>
      <w:tblGrid>
        <w:gridCol w:w="1668"/>
        <w:gridCol w:w="992"/>
      </w:tblGrid>
      <w:tr w:rsidR="00C90583" w:rsidTr="00C90583">
        <w:tc>
          <w:tcPr>
            <w:tcW w:w="1668" w:type="dxa"/>
          </w:tcPr>
          <w:p w:rsidR="00C90583" w:rsidRDefault="00C90583" w:rsidP="00C90583">
            <w:pPr>
              <w:tabs>
                <w:tab w:val="left" w:pos="3969"/>
                <w:tab w:val="left" w:pos="6237"/>
              </w:tabs>
              <w:autoSpaceDE w:val="0"/>
              <w:autoSpaceDN w:val="0"/>
              <w:adjustRightInd w:val="0"/>
              <w:spacing w:after="0" w:line="240" w:lineRule="auto"/>
              <w:jc w:val="both"/>
              <w:rPr>
                <w:rFonts w:cs="Times New Roman"/>
              </w:rPr>
            </w:pPr>
          </w:p>
        </w:tc>
        <w:tc>
          <w:tcPr>
            <w:tcW w:w="992" w:type="dxa"/>
          </w:tcPr>
          <w:p w:rsidR="00C90583" w:rsidRDefault="009E03E9" w:rsidP="00C90583">
            <w:pPr>
              <w:tabs>
                <w:tab w:val="left" w:pos="3969"/>
                <w:tab w:val="left" w:pos="6237"/>
              </w:tabs>
              <w:autoSpaceDE w:val="0"/>
              <w:autoSpaceDN w:val="0"/>
              <w:adjustRightInd w:val="0"/>
              <w:spacing w:after="0" w:line="240" w:lineRule="auto"/>
              <w:jc w:val="center"/>
              <w:rPr>
                <w:rFonts w:cs="Times New Roman"/>
              </w:rPr>
            </w:pPr>
            <w:proofErr w:type="spellStart"/>
            <w:r>
              <w:rPr>
                <w:rFonts w:cs="Times New Roman"/>
              </w:rPr>
              <w:t>As</w:t>
            </w:r>
            <w:proofErr w:type="spellEnd"/>
          </w:p>
        </w:tc>
      </w:tr>
      <w:tr w:rsidR="00C90583" w:rsidTr="00C90583">
        <w:tc>
          <w:tcPr>
            <w:tcW w:w="1668" w:type="dxa"/>
          </w:tcPr>
          <w:p w:rsidR="00C90583" w:rsidRDefault="009E03E9" w:rsidP="00C90583">
            <w:pPr>
              <w:tabs>
                <w:tab w:val="left" w:pos="3969"/>
                <w:tab w:val="left" w:pos="6237"/>
              </w:tabs>
              <w:autoSpaceDE w:val="0"/>
              <w:autoSpaceDN w:val="0"/>
              <w:adjustRightInd w:val="0"/>
              <w:spacing w:after="0" w:line="240" w:lineRule="auto"/>
              <w:jc w:val="both"/>
              <w:rPr>
                <w:rFonts w:cs="Times New Roman"/>
              </w:rPr>
            </w:pPr>
            <w:r>
              <w:rPr>
                <w:rFonts w:cs="Times New Roman"/>
              </w:rPr>
              <w:t>Tőzeg</w:t>
            </w:r>
          </w:p>
        </w:tc>
        <w:tc>
          <w:tcPr>
            <w:tcW w:w="992" w:type="dxa"/>
          </w:tcPr>
          <w:p w:rsidR="00C90583" w:rsidRDefault="00C90583" w:rsidP="009E03E9">
            <w:pPr>
              <w:tabs>
                <w:tab w:val="left" w:pos="3969"/>
                <w:tab w:val="left" w:pos="6237"/>
              </w:tabs>
              <w:autoSpaceDE w:val="0"/>
              <w:autoSpaceDN w:val="0"/>
              <w:adjustRightInd w:val="0"/>
              <w:spacing w:after="0" w:line="240" w:lineRule="auto"/>
              <w:jc w:val="center"/>
              <w:rPr>
                <w:rFonts w:cs="Times New Roman"/>
              </w:rPr>
            </w:pPr>
            <w:r>
              <w:rPr>
                <w:rFonts w:cs="Times New Roman"/>
              </w:rPr>
              <w:t>„</w:t>
            </w:r>
            <w:r w:rsidR="009E03E9">
              <w:rPr>
                <w:rFonts w:cs="Times New Roman"/>
              </w:rPr>
              <w:t>30</w:t>
            </w:r>
            <w:r>
              <w:rPr>
                <w:rFonts w:cs="Times New Roman"/>
              </w:rPr>
              <w:t>”</w:t>
            </w:r>
          </w:p>
        </w:tc>
      </w:tr>
    </w:tbl>
    <w:p w:rsidR="00C90583" w:rsidRPr="00465B2A" w:rsidRDefault="00C90583" w:rsidP="006B346D">
      <w:pPr>
        <w:autoSpaceDE w:val="0"/>
        <w:autoSpaceDN w:val="0"/>
        <w:adjustRightInd w:val="0"/>
        <w:spacing w:after="0" w:line="240" w:lineRule="auto"/>
        <w:jc w:val="both"/>
        <w:rPr>
          <w:rFonts w:cs="Times New Roman"/>
        </w:rPr>
      </w:pPr>
    </w:p>
    <w:p w:rsidR="009C2289" w:rsidRPr="00465B2A" w:rsidRDefault="009E03E9" w:rsidP="006B346D">
      <w:pPr>
        <w:autoSpaceDE w:val="0"/>
        <w:autoSpaceDN w:val="0"/>
        <w:adjustRightInd w:val="0"/>
        <w:spacing w:after="0" w:line="240" w:lineRule="auto"/>
        <w:jc w:val="both"/>
        <w:rPr>
          <w:rFonts w:cs="Times New Roman"/>
        </w:rPr>
      </w:pPr>
      <w:r>
        <w:rPr>
          <w:rFonts w:cs="Times New Roman"/>
        </w:rPr>
        <w:t>5</w:t>
      </w:r>
      <w:r w:rsidR="009C2289" w:rsidRPr="00465B2A">
        <w:rPr>
          <w:rFonts w:cs="Times New Roman"/>
        </w:rPr>
        <w:t>. Az R. 3. számú melléklet 9.1. pontja helyébe a</w:t>
      </w:r>
      <w:r w:rsidR="004D0A1B" w:rsidRPr="00465B2A">
        <w:rPr>
          <w:rFonts w:cs="Times New Roman"/>
        </w:rPr>
        <w:t xml:space="preserve"> következő </w:t>
      </w:r>
      <w:r w:rsidR="00C26E76">
        <w:rPr>
          <w:rFonts w:cs="Times New Roman"/>
        </w:rPr>
        <w:t>pont</w:t>
      </w:r>
      <w:r w:rsidR="004D0A1B" w:rsidRPr="00465B2A">
        <w:rPr>
          <w:rFonts w:cs="Times New Roman"/>
        </w:rPr>
        <w:t xml:space="preserve"> lép:</w:t>
      </w:r>
    </w:p>
    <w:p w:rsidR="00C26E76" w:rsidRDefault="00C26E76" w:rsidP="00B81240">
      <w:pPr>
        <w:spacing w:after="20" w:line="240" w:lineRule="auto"/>
        <w:jc w:val="both"/>
        <w:rPr>
          <w:rFonts w:cs="Times New Roman"/>
        </w:rPr>
      </w:pPr>
    </w:p>
    <w:p w:rsidR="00C26E76" w:rsidRDefault="004D0A1B" w:rsidP="00B81240">
      <w:pPr>
        <w:spacing w:after="20" w:line="240" w:lineRule="auto"/>
        <w:jc w:val="both"/>
        <w:rPr>
          <w:rFonts w:eastAsia="Times New Roman"/>
          <w:color w:val="000000"/>
          <w:lang w:eastAsia="hu-HU"/>
        </w:rPr>
      </w:pPr>
      <w:r w:rsidRPr="00465B2A">
        <w:rPr>
          <w:rFonts w:cs="Times New Roman"/>
        </w:rPr>
        <w:t>„</w:t>
      </w:r>
      <w:r w:rsidR="00C26E76" w:rsidRPr="007A7A4F">
        <w:rPr>
          <w:rFonts w:eastAsia="Times New Roman"/>
          <w:color w:val="000000"/>
          <w:lang w:eastAsia="hu-HU"/>
        </w:rPr>
        <w:t>9.1. Hatóanyagokra vonatkozó előírások</w:t>
      </w:r>
    </w:p>
    <w:p w:rsidR="00C26E76" w:rsidRPr="00BA7DA5" w:rsidRDefault="00C26E76" w:rsidP="00B81240">
      <w:pPr>
        <w:spacing w:after="20" w:line="240" w:lineRule="auto"/>
        <w:jc w:val="both"/>
        <w:rPr>
          <w:rFonts w:eastAsia="Times New Roman"/>
          <w:color w:val="000000"/>
          <w:lang w:eastAsia="hu-HU"/>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134"/>
        <w:gridCol w:w="1843"/>
        <w:gridCol w:w="1559"/>
        <w:gridCol w:w="1276"/>
        <w:gridCol w:w="992"/>
      </w:tblGrid>
      <w:tr w:rsidR="00C26E76" w:rsidRPr="00E9675C" w:rsidTr="00C26E76">
        <w:tc>
          <w:tcPr>
            <w:tcW w:w="709" w:type="dxa"/>
          </w:tcPr>
          <w:p w:rsidR="00C26E76" w:rsidRDefault="00C26E76" w:rsidP="00B81240">
            <w:pPr>
              <w:spacing w:before="100" w:beforeAutospacing="1" w:after="100" w:afterAutospacing="1"/>
              <w:jc w:val="center"/>
            </w:pPr>
          </w:p>
        </w:tc>
        <w:tc>
          <w:tcPr>
            <w:tcW w:w="1701" w:type="dxa"/>
          </w:tcPr>
          <w:p w:rsidR="00C26E76" w:rsidRDefault="00C26E76" w:rsidP="00B81240">
            <w:pPr>
              <w:spacing w:before="100" w:beforeAutospacing="1" w:after="100" w:afterAutospacing="1"/>
              <w:jc w:val="center"/>
            </w:pPr>
            <w:r>
              <w:t>A</w:t>
            </w:r>
          </w:p>
        </w:tc>
        <w:tc>
          <w:tcPr>
            <w:tcW w:w="1134" w:type="dxa"/>
          </w:tcPr>
          <w:p w:rsidR="00C26E76" w:rsidRPr="007A7A4F" w:rsidRDefault="00C26E76" w:rsidP="00C26E76">
            <w:pPr>
              <w:spacing w:before="100" w:beforeAutospacing="1" w:after="100" w:afterAutospacing="1"/>
              <w:jc w:val="center"/>
            </w:pPr>
            <w:r>
              <w:t>B</w:t>
            </w:r>
          </w:p>
        </w:tc>
        <w:tc>
          <w:tcPr>
            <w:tcW w:w="1843" w:type="dxa"/>
          </w:tcPr>
          <w:p w:rsidR="00C26E76" w:rsidRPr="007A7A4F" w:rsidRDefault="00C26E76" w:rsidP="00C26E76">
            <w:pPr>
              <w:spacing w:before="100" w:beforeAutospacing="1" w:after="100" w:afterAutospacing="1"/>
              <w:jc w:val="center"/>
            </w:pPr>
            <w:r>
              <w:t>C</w:t>
            </w:r>
          </w:p>
        </w:tc>
        <w:tc>
          <w:tcPr>
            <w:tcW w:w="1559" w:type="dxa"/>
          </w:tcPr>
          <w:p w:rsidR="00C26E76" w:rsidRPr="007A7A4F" w:rsidRDefault="00C26E76" w:rsidP="00C26E76">
            <w:pPr>
              <w:spacing w:before="100" w:beforeAutospacing="1" w:after="100" w:afterAutospacing="1"/>
              <w:jc w:val="center"/>
            </w:pPr>
            <w:r>
              <w:t>D</w:t>
            </w:r>
          </w:p>
        </w:tc>
        <w:tc>
          <w:tcPr>
            <w:tcW w:w="1276" w:type="dxa"/>
          </w:tcPr>
          <w:p w:rsidR="00C26E76" w:rsidRPr="007A7A4F" w:rsidRDefault="00C26E76" w:rsidP="00C26E76">
            <w:pPr>
              <w:spacing w:before="100" w:beforeAutospacing="1" w:after="100" w:afterAutospacing="1"/>
              <w:jc w:val="center"/>
            </w:pPr>
            <w:r>
              <w:t>E</w:t>
            </w:r>
          </w:p>
        </w:tc>
        <w:tc>
          <w:tcPr>
            <w:tcW w:w="992" w:type="dxa"/>
          </w:tcPr>
          <w:p w:rsidR="00C26E76" w:rsidRPr="007A7A4F" w:rsidRDefault="00C26E76" w:rsidP="00C26E76">
            <w:pPr>
              <w:spacing w:before="100" w:beforeAutospacing="1" w:after="100" w:afterAutospacing="1"/>
              <w:jc w:val="center"/>
            </w:pPr>
            <w:r>
              <w:t>F</w:t>
            </w:r>
          </w:p>
        </w:tc>
      </w:tr>
      <w:tr w:rsidR="00C26E76" w:rsidRPr="00E9675C" w:rsidTr="00B81240">
        <w:tc>
          <w:tcPr>
            <w:tcW w:w="709" w:type="dxa"/>
          </w:tcPr>
          <w:p w:rsidR="00C26E76" w:rsidRDefault="00C26E76" w:rsidP="00B81240">
            <w:pPr>
              <w:spacing w:before="100" w:beforeAutospacing="1" w:after="100" w:afterAutospacing="1"/>
              <w:jc w:val="center"/>
            </w:pPr>
            <w:r>
              <w:t>1.</w:t>
            </w:r>
          </w:p>
        </w:tc>
        <w:tc>
          <w:tcPr>
            <w:tcW w:w="1701" w:type="dxa"/>
          </w:tcPr>
          <w:p w:rsidR="00C26E76" w:rsidRPr="007A7A4F" w:rsidRDefault="00C26E76" w:rsidP="00465B16">
            <w:pPr>
              <w:spacing w:before="100" w:beforeAutospacing="1" w:after="100" w:afterAutospacing="1"/>
            </w:pPr>
            <w:r>
              <w:t>P</w:t>
            </w:r>
            <w:r w:rsidRPr="007A7A4F">
              <w:t>araméterek</w:t>
            </w:r>
          </w:p>
        </w:tc>
        <w:tc>
          <w:tcPr>
            <w:tcW w:w="1134" w:type="dxa"/>
          </w:tcPr>
          <w:p w:rsidR="00C26E76" w:rsidRPr="007A7A4F" w:rsidRDefault="00C26E76" w:rsidP="00465B16">
            <w:pPr>
              <w:spacing w:before="100" w:beforeAutospacing="1" w:after="100" w:afterAutospacing="1"/>
              <w:jc w:val="center"/>
            </w:pPr>
          </w:p>
        </w:tc>
        <w:tc>
          <w:tcPr>
            <w:tcW w:w="1843" w:type="dxa"/>
          </w:tcPr>
          <w:p w:rsidR="00C26E76" w:rsidRPr="007A7A4F" w:rsidRDefault="00C26E76" w:rsidP="00465B16">
            <w:pPr>
              <w:spacing w:before="100" w:beforeAutospacing="1" w:after="100" w:afterAutospacing="1"/>
              <w:jc w:val="center"/>
            </w:pPr>
            <w:r w:rsidRPr="007A7A4F">
              <w:t xml:space="preserve">Magas </w:t>
            </w:r>
            <w:proofErr w:type="spellStart"/>
            <w:r w:rsidRPr="007A7A4F">
              <w:t>sze</w:t>
            </w:r>
            <w:r>
              <w:t>r</w:t>
            </w:r>
            <w:r w:rsidRPr="007A7A4F">
              <w:t>vesanyag</w:t>
            </w:r>
            <w:proofErr w:type="spellEnd"/>
            <w:r w:rsidRPr="007A7A4F">
              <w:t xml:space="preserve"> tartalmú virágföld és palántaföld</w:t>
            </w:r>
          </w:p>
        </w:tc>
        <w:tc>
          <w:tcPr>
            <w:tcW w:w="1559" w:type="dxa"/>
          </w:tcPr>
          <w:p w:rsidR="00C26E76" w:rsidRPr="007A7A4F" w:rsidRDefault="00C26E76" w:rsidP="00465B16">
            <w:pPr>
              <w:spacing w:before="100" w:beforeAutospacing="1" w:after="100" w:afterAutospacing="1"/>
              <w:jc w:val="center"/>
            </w:pPr>
            <w:r w:rsidRPr="007A7A4F">
              <w:t xml:space="preserve">Közepes </w:t>
            </w:r>
            <w:proofErr w:type="spellStart"/>
            <w:r w:rsidRPr="007A7A4F">
              <w:t>szervesanyag</w:t>
            </w:r>
            <w:proofErr w:type="spellEnd"/>
            <w:r w:rsidRPr="007A7A4F">
              <w:t xml:space="preserve"> tartalmú virágföld </w:t>
            </w:r>
          </w:p>
        </w:tc>
        <w:tc>
          <w:tcPr>
            <w:tcW w:w="1276" w:type="dxa"/>
          </w:tcPr>
          <w:p w:rsidR="00C26E76" w:rsidRPr="007A7A4F" w:rsidRDefault="00C26E76" w:rsidP="00465B16">
            <w:pPr>
              <w:spacing w:before="100" w:beforeAutospacing="1" w:after="100" w:afterAutospacing="1"/>
              <w:jc w:val="center"/>
            </w:pPr>
            <w:r w:rsidRPr="007A7A4F">
              <w:t>termesztő föld</w:t>
            </w:r>
          </w:p>
        </w:tc>
        <w:tc>
          <w:tcPr>
            <w:tcW w:w="992" w:type="dxa"/>
          </w:tcPr>
          <w:p w:rsidR="00C26E76" w:rsidRPr="007A7A4F" w:rsidRDefault="00C26E76" w:rsidP="00465B16">
            <w:pPr>
              <w:spacing w:before="100" w:beforeAutospacing="1" w:after="100" w:afterAutospacing="1"/>
              <w:jc w:val="center"/>
            </w:pPr>
            <w:r w:rsidRPr="007A7A4F">
              <w:t>tartó közeg</w:t>
            </w:r>
          </w:p>
        </w:tc>
      </w:tr>
      <w:tr w:rsidR="00C26E76" w:rsidRPr="00E9675C" w:rsidTr="00B81240">
        <w:tc>
          <w:tcPr>
            <w:tcW w:w="709" w:type="dxa"/>
          </w:tcPr>
          <w:p w:rsidR="00C26E76" w:rsidRPr="007A7A4F" w:rsidRDefault="00C26E76" w:rsidP="00B81240">
            <w:pPr>
              <w:spacing w:before="100" w:beforeAutospacing="1" w:after="100" w:afterAutospacing="1"/>
              <w:jc w:val="center"/>
            </w:pPr>
            <w:r>
              <w:t>2.</w:t>
            </w:r>
          </w:p>
        </w:tc>
        <w:tc>
          <w:tcPr>
            <w:tcW w:w="1701" w:type="dxa"/>
          </w:tcPr>
          <w:p w:rsidR="00C26E76" w:rsidRPr="007A7A4F" w:rsidRDefault="00C26E76" w:rsidP="00465B16">
            <w:pPr>
              <w:spacing w:before="100" w:beforeAutospacing="1" w:after="100" w:afterAutospacing="1"/>
            </w:pPr>
            <w:r w:rsidRPr="007A7A4F">
              <w:t>szárazanyag tartalom (m/</w:t>
            </w:r>
            <w:proofErr w:type="spellStart"/>
            <w:r w:rsidRPr="007A7A4F">
              <w:t>m%</w:t>
            </w:r>
            <w:proofErr w:type="spellEnd"/>
            <w:r w:rsidRPr="007A7A4F">
              <w:t>)</w:t>
            </w:r>
          </w:p>
        </w:tc>
        <w:tc>
          <w:tcPr>
            <w:tcW w:w="1134" w:type="dxa"/>
          </w:tcPr>
          <w:p w:rsidR="00C26E76" w:rsidRPr="007A7A4F" w:rsidRDefault="00C26E76" w:rsidP="00465B16">
            <w:pPr>
              <w:spacing w:before="100" w:beforeAutospacing="1" w:after="100" w:afterAutospacing="1"/>
              <w:jc w:val="center"/>
            </w:pPr>
            <w:r w:rsidRPr="007A7A4F">
              <w:t>legalább</w:t>
            </w:r>
          </w:p>
        </w:tc>
        <w:tc>
          <w:tcPr>
            <w:tcW w:w="1843" w:type="dxa"/>
          </w:tcPr>
          <w:p w:rsidR="00C26E76" w:rsidRPr="007A7A4F" w:rsidRDefault="00C26E76" w:rsidP="00465B16">
            <w:pPr>
              <w:spacing w:before="100" w:beforeAutospacing="1" w:after="100" w:afterAutospacing="1"/>
              <w:jc w:val="center"/>
            </w:pPr>
            <w:r w:rsidRPr="007A7A4F">
              <w:t xml:space="preserve">30 </w:t>
            </w:r>
          </w:p>
        </w:tc>
        <w:tc>
          <w:tcPr>
            <w:tcW w:w="1559" w:type="dxa"/>
          </w:tcPr>
          <w:p w:rsidR="00C26E76" w:rsidRPr="007A7A4F" w:rsidRDefault="00C26E76" w:rsidP="00465B16">
            <w:pPr>
              <w:spacing w:before="100" w:beforeAutospacing="1" w:after="100" w:afterAutospacing="1"/>
              <w:jc w:val="center"/>
            </w:pPr>
            <w:r w:rsidRPr="007A7A4F">
              <w:t>45</w:t>
            </w:r>
          </w:p>
        </w:tc>
        <w:tc>
          <w:tcPr>
            <w:tcW w:w="1276" w:type="dxa"/>
          </w:tcPr>
          <w:p w:rsidR="00C26E76" w:rsidRPr="007A7A4F" w:rsidRDefault="00C26E76" w:rsidP="00465B16">
            <w:pPr>
              <w:spacing w:before="100" w:beforeAutospacing="1" w:after="100" w:afterAutospacing="1"/>
              <w:jc w:val="center"/>
            </w:pPr>
            <w:r w:rsidRPr="007A7A4F">
              <w:t>45</w:t>
            </w:r>
          </w:p>
        </w:tc>
        <w:tc>
          <w:tcPr>
            <w:tcW w:w="992" w:type="dxa"/>
          </w:tcPr>
          <w:p w:rsidR="00C26E76" w:rsidRPr="007A7A4F" w:rsidRDefault="00C26E76" w:rsidP="00465B16">
            <w:pPr>
              <w:spacing w:before="100" w:beforeAutospacing="1" w:after="100" w:afterAutospacing="1"/>
              <w:jc w:val="center"/>
            </w:pPr>
            <w:r w:rsidRPr="007A7A4F">
              <w:t>-</w:t>
            </w:r>
          </w:p>
        </w:tc>
      </w:tr>
      <w:tr w:rsidR="00C26E76" w:rsidRPr="00E9675C" w:rsidTr="00B81240">
        <w:tc>
          <w:tcPr>
            <w:tcW w:w="709" w:type="dxa"/>
          </w:tcPr>
          <w:p w:rsidR="00C26E76" w:rsidRPr="007A7A4F" w:rsidRDefault="00C26E76" w:rsidP="00B81240">
            <w:pPr>
              <w:spacing w:before="100" w:beforeAutospacing="1" w:after="100" w:afterAutospacing="1"/>
              <w:jc w:val="center"/>
            </w:pPr>
            <w:r>
              <w:t>3.</w:t>
            </w:r>
          </w:p>
        </w:tc>
        <w:tc>
          <w:tcPr>
            <w:tcW w:w="1701" w:type="dxa"/>
          </w:tcPr>
          <w:p w:rsidR="00C26E76" w:rsidRPr="007A7A4F" w:rsidRDefault="00C26E76" w:rsidP="00465B16">
            <w:pPr>
              <w:spacing w:before="100" w:beforeAutospacing="1" w:after="100" w:afterAutospacing="1"/>
            </w:pPr>
            <w:r w:rsidRPr="007A7A4F">
              <w:t>szerves anyag tartalom (m/</w:t>
            </w:r>
            <w:proofErr w:type="spellStart"/>
            <w:r w:rsidRPr="007A7A4F">
              <w:t>m%</w:t>
            </w:r>
            <w:proofErr w:type="spellEnd"/>
            <w:r w:rsidRPr="007A7A4F">
              <w:t xml:space="preserve">) </w:t>
            </w:r>
            <w:proofErr w:type="spellStart"/>
            <w:r w:rsidRPr="007A7A4F">
              <w:t>sz.a</w:t>
            </w:r>
            <w:proofErr w:type="spellEnd"/>
            <w:r w:rsidRPr="007A7A4F">
              <w:t>.</w:t>
            </w:r>
          </w:p>
        </w:tc>
        <w:tc>
          <w:tcPr>
            <w:tcW w:w="1134" w:type="dxa"/>
          </w:tcPr>
          <w:p w:rsidR="00C26E76" w:rsidRPr="007A7A4F" w:rsidRDefault="00C26E76" w:rsidP="00465B16">
            <w:pPr>
              <w:spacing w:before="100" w:beforeAutospacing="1" w:after="100" w:afterAutospacing="1"/>
              <w:jc w:val="center"/>
            </w:pPr>
            <w:r w:rsidRPr="007A7A4F">
              <w:t>legalább</w:t>
            </w:r>
          </w:p>
        </w:tc>
        <w:tc>
          <w:tcPr>
            <w:tcW w:w="1843" w:type="dxa"/>
          </w:tcPr>
          <w:p w:rsidR="00C26E76" w:rsidRPr="007A7A4F" w:rsidRDefault="00C26E76" w:rsidP="00465B16">
            <w:pPr>
              <w:spacing w:before="100" w:beforeAutospacing="1" w:after="100" w:afterAutospacing="1"/>
              <w:jc w:val="center"/>
            </w:pPr>
            <w:r w:rsidRPr="007A7A4F">
              <w:t>70</w:t>
            </w:r>
          </w:p>
        </w:tc>
        <w:tc>
          <w:tcPr>
            <w:tcW w:w="1559" w:type="dxa"/>
          </w:tcPr>
          <w:p w:rsidR="00C26E76" w:rsidRPr="007A7A4F" w:rsidRDefault="00C26E76" w:rsidP="00465B16">
            <w:pPr>
              <w:spacing w:before="100" w:beforeAutospacing="1" w:after="100" w:afterAutospacing="1"/>
              <w:jc w:val="center"/>
            </w:pPr>
            <w:r w:rsidRPr="007A7A4F">
              <w:t>50</w:t>
            </w:r>
          </w:p>
        </w:tc>
        <w:tc>
          <w:tcPr>
            <w:tcW w:w="1276" w:type="dxa"/>
          </w:tcPr>
          <w:p w:rsidR="00C26E76" w:rsidRPr="007A7A4F" w:rsidRDefault="00C26E76" w:rsidP="00465B16">
            <w:pPr>
              <w:spacing w:before="100" w:beforeAutospacing="1" w:after="100" w:afterAutospacing="1"/>
              <w:jc w:val="center"/>
            </w:pPr>
            <w:r w:rsidRPr="007A7A4F">
              <w:t>12</w:t>
            </w:r>
          </w:p>
        </w:tc>
        <w:tc>
          <w:tcPr>
            <w:tcW w:w="992" w:type="dxa"/>
          </w:tcPr>
          <w:p w:rsidR="00C26E76" w:rsidRPr="007A7A4F" w:rsidRDefault="00C26E76" w:rsidP="00465B16">
            <w:pPr>
              <w:spacing w:before="100" w:beforeAutospacing="1" w:after="100" w:afterAutospacing="1"/>
              <w:jc w:val="center"/>
            </w:pPr>
            <w:r w:rsidRPr="007A7A4F">
              <w:t>-</w:t>
            </w:r>
          </w:p>
        </w:tc>
      </w:tr>
      <w:tr w:rsidR="00C26E76" w:rsidRPr="00E9675C" w:rsidTr="00B81240">
        <w:tc>
          <w:tcPr>
            <w:tcW w:w="709" w:type="dxa"/>
          </w:tcPr>
          <w:p w:rsidR="00C26E76" w:rsidRPr="007A7A4F" w:rsidRDefault="00C26E76" w:rsidP="00B81240">
            <w:pPr>
              <w:spacing w:before="100" w:beforeAutospacing="1" w:after="100" w:afterAutospacing="1"/>
              <w:jc w:val="center"/>
            </w:pPr>
            <w:r>
              <w:t>4.</w:t>
            </w:r>
          </w:p>
        </w:tc>
        <w:tc>
          <w:tcPr>
            <w:tcW w:w="1701" w:type="dxa"/>
          </w:tcPr>
          <w:p w:rsidR="00C26E76" w:rsidRPr="007A7A4F" w:rsidRDefault="00C26E76" w:rsidP="00465B16">
            <w:pPr>
              <w:spacing w:before="100" w:beforeAutospacing="1" w:after="100" w:afterAutospacing="1"/>
            </w:pPr>
            <w:r w:rsidRPr="007A7A4F">
              <w:t>N tartalom (m/</w:t>
            </w:r>
            <w:proofErr w:type="spellStart"/>
            <w:r w:rsidRPr="007A7A4F">
              <w:t>m%</w:t>
            </w:r>
            <w:proofErr w:type="spellEnd"/>
            <w:r w:rsidRPr="007A7A4F">
              <w:t xml:space="preserve">) </w:t>
            </w:r>
            <w:proofErr w:type="spellStart"/>
            <w:r w:rsidRPr="007A7A4F">
              <w:t>sz.a</w:t>
            </w:r>
            <w:proofErr w:type="spellEnd"/>
            <w:r w:rsidRPr="007A7A4F">
              <w:t>.</w:t>
            </w:r>
          </w:p>
        </w:tc>
        <w:tc>
          <w:tcPr>
            <w:tcW w:w="1134" w:type="dxa"/>
          </w:tcPr>
          <w:p w:rsidR="00C26E76" w:rsidRPr="007A7A4F" w:rsidRDefault="00C26E76" w:rsidP="00465B16">
            <w:pPr>
              <w:spacing w:before="100" w:beforeAutospacing="1" w:after="100" w:afterAutospacing="1"/>
              <w:jc w:val="center"/>
            </w:pPr>
            <w:r w:rsidRPr="007A7A4F">
              <w:t>legalább</w:t>
            </w:r>
          </w:p>
        </w:tc>
        <w:tc>
          <w:tcPr>
            <w:tcW w:w="1843" w:type="dxa"/>
          </w:tcPr>
          <w:p w:rsidR="00C26E76" w:rsidRPr="007A7A4F" w:rsidRDefault="00C26E76" w:rsidP="00465B16">
            <w:pPr>
              <w:spacing w:before="100" w:beforeAutospacing="1" w:after="100" w:afterAutospacing="1"/>
              <w:jc w:val="center"/>
            </w:pPr>
            <w:r w:rsidRPr="007A7A4F">
              <w:t>0,3</w:t>
            </w:r>
          </w:p>
        </w:tc>
        <w:tc>
          <w:tcPr>
            <w:tcW w:w="1559" w:type="dxa"/>
          </w:tcPr>
          <w:p w:rsidR="00C26E76" w:rsidRPr="007A7A4F" w:rsidRDefault="00C26E76" w:rsidP="00465B16">
            <w:pPr>
              <w:spacing w:before="100" w:beforeAutospacing="1" w:after="100" w:afterAutospacing="1"/>
              <w:jc w:val="center"/>
            </w:pPr>
            <w:r w:rsidRPr="007A7A4F">
              <w:t>0,3</w:t>
            </w:r>
          </w:p>
        </w:tc>
        <w:tc>
          <w:tcPr>
            <w:tcW w:w="1276" w:type="dxa"/>
          </w:tcPr>
          <w:p w:rsidR="00C26E76" w:rsidRPr="007A7A4F" w:rsidRDefault="00C26E76" w:rsidP="00465B16">
            <w:pPr>
              <w:spacing w:before="100" w:beforeAutospacing="1" w:after="100" w:afterAutospacing="1"/>
              <w:jc w:val="center"/>
            </w:pPr>
            <w:r w:rsidRPr="007A7A4F">
              <w:t>0,03</w:t>
            </w:r>
          </w:p>
        </w:tc>
        <w:tc>
          <w:tcPr>
            <w:tcW w:w="992" w:type="dxa"/>
          </w:tcPr>
          <w:p w:rsidR="00C26E76" w:rsidRPr="007A7A4F" w:rsidRDefault="00C26E76" w:rsidP="00465B16">
            <w:pPr>
              <w:spacing w:before="100" w:beforeAutospacing="1" w:after="100" w:afterAutospacing="1"/>
              <w:jc w:val="center"/>
            </w:pPr>
            <w:r w:rsidRPr="007A7A4F">
              <w:t>-</w:t>
            </w:r>
          </w:p>
        </w:tc>
      </w:tr>
      <w:tr w:rsidR="00C26E76" w:rsidRPr="00E9675C" w:rsidTr="00B81240">
        <w:tc>
          <w:tcPr>
            <w:tcW w:w="709" w:type="dxa"/>
          </w:tcPr>
          <w:p w:rsidR="00C26E76" w:rsidRPr="007A7A4F" w:rsidRDefault="00C26E76" w:rsidP="00B81240">
            <w:pPr>
              <w:spacing w:before="100" w:beforeAutospacing="1" w:after="100" w:afterAutospacing="1"/>
              <w:jc w:val="center"/>
            </w:pPr>
            <w:r>
              <w:t>5.</w:t>
            </w:r>
          </w:p>
        </w:tc>
        <w:tc>
          <w:tcPr>
            <w:tcW w:w="1701" w:type="dxa"/>
          </w:tcPr>
          <w:p w:rsidR="00C26E76" w:rsidRPr="007A7A4F" w:rsidRDefault="00C26E76" w:rsidP="00465B16">
            <w:pPr>
              <w:spacing w:before="100" w:beforeAutospacing="1" w:after="100" w:afterAutospacing="1"/>
            </w:pPr>
            <w:r w:rsidRPr="007A7A4F">
              <w:t>P</w:t>
            </w:r>
            <w:r w:rsidRPr="007A7A4F">
              <w:rPr>
                <w:vertAlign w:val="subscript"/>
              </w:rPr>
              <w:t>2</w:t>
            </w:r>
            <w:r w:rsidRPr="007A7A4F">
              <w:t>O</w:t>
            </w:r>
            <w:r w:rsidRPr="007A7A4F">
              <w:rPr>
                <w:vertAlign w:val="subscript"/>
              </w:rPr>
              <w:t>5</w:t>
            </w:r>
            <w:r w:rsidRPr="007A7A4F">
              <w:t xml:space="preserve"> tartalom (m/</w:t>
            </w:r>
            <w:proofErr w:type="spellStart"/>
            <w:r w:rsidRPr="007A7A4F">
              <w:t>m%</w:t>
            </w:r>
            <w:proofErr w:type="spellEnd"/>
            <w:r w:rsidRPr="007A7A4F">
              <w:t xml:space="preserve">) </w:t>
            </w:r>
            <w:proofErr w:type="spellStart"/>
            <w:r w:rsidRPr="007A7A4F">
              <w:t>sz.a</w:t>
            </w:r>
            <w:proofErr w:type="spellEnd"/>
            <w:r w:rsidRPr="007A7A4F">
              <w:t>.</w:t>
            </w:r>
          </w:p>
        </w:tc>
        <w:tc>
          <w:tcPr>
            <w:tcW w:w="1134" w:type="dxa"/>
          </w:tcPr>
          <w:p w:rsidR="00C26E76" w:rsidRPr="007A7A4F" w:rsidRDefault="00C26E76" w:rsidP="00465B16">
            <w:pPr>
              <w:spacing w:before="100" w:beforeAutospacing="1" w:after="100" w:afterAutospacing="1"/>
              <w:jc w:val="center"/>
            </w:pPr>
            <w:r w:rsidRPr="007A7A4F">
              <w:t>legalább</w:t>
            </w:r>
          </w:p>
        </w:tc>
        <w:tc>
          <w:tcPr>
            <w:tcW w:w="1843" w:type="dxa"/>
          </w:tcPr>
          <w:p w:rsidR="00C26E76" w:rsidRPr="007A7A4F" w:rsidRDefault="00C26E76" w:rsidP="00465B16">
            <w:pPr>
              <w:spacing w:before="100" w:beforeAutospacing="1" w:after="100" w:afterAutospacing="1"/>
              <w:jc w:val="center"/>
            </w:pPr>
            <w:r w:rsidRPr="007A7A4F">
              <w:t>0,1</w:t>
            </w:r>
          </w:p>
        </w:tc>
        <w:tc>
          <w:tcPr>
            <w:tcW w:w="1559" w:type="dxa"/>
          </w:tcPr>
          <w:p w:rsidR="00C26E76" w:rsidRPr="007A7A4F" w:rsidRDefault="00C26E76" w:rsidP="00465B16">
            <w:pPr>
              <w:spacing w:before="100" w:beforeAutospacing="1" w:after="100" w:afterAutospacing="1"/>
              <w:jc w:val="center"/>
            </w:pPr>
            <w:r w:rsidRPr="007A7A4F">
              <w:t>0,1</w:t>
            </w:r>
          </w:p>
        </w:tc>
        <w:tc>
          <w:tcPr>
            <w:tcW w:w="1276" w:type="dxa"/>
          </w:tcPr>
          <w:p w:rsidR="00C26E76" w:rsidRPr="007A7A4F" w:rsidRDefault="00C26E76" w:rsidP="00465B16">
            <w:pPr>
              <w:spacing w:before="100" w:beforeAutospacing="1" w:after="100" w:afterAutospacing="1"/>
              <w:jc w:val="center"/>
            </w:pPr>
            <w:r w:rsidRPr="007A7A4F">
              <w:t>0,01</w:t>
            </w:r>
          </w:p>
        </w:tc>
        <w:tc>
          <w:tcPr>
            <w:tcW w:w="992" w:type="dxa"/>
          </w:tcPr>
          <w:p w:rsidR="00C26E76" w:rsidRPr="007A7A4F" w:rsidRDefault="00C26E76" w:rsidP="00465B16">
            <w:pPr>
              <w:spacing w:before="100" w:beforeAutospacing="1" w:after="100" w:afterAutospacing="1"/>
              <w:jc w:val="center"/>
            </w:pPr>
            <w:r w:rsidRPr="007A7A4F">
              <w:t>-</w:t>
            </w:r>
          </w:p>
        </w:tc>
      </w:tr>
      <w:tr w:rsidR="00C26E76" w:rsidRPr="00E9675C" w:rsidTr="00B81240">
        <w:tc>
          <w:tcPr>
            <w:tcW w:w="709" w:type="dxa"/>
          </w:tcPr>
          <w:p w:rsidR="00C26E76" w:rsidRPr="007A7A4F" w:rsidRDefault="00C26E76" w:rsidP="00B81240">
            <w:pPr>
              <w:spacing w:before="100" w:beforeAutospacing="1" w:after="100" w:afterAutospacing="1"/>
              <w:jc w:val="center"/>
            </w:pPr>
            <w:r>
              <w:lastRenderedPageBreak/>
              <w:t>6.</w:t>
            </w:r>
          </w:p>
        </w:tc>
        <w:tc>
          <w:tcPr>
            <w:tcW w:w="1701" w:type="dxa"/>
          </w:tcPr>
          <w:p w:rsidR="00C26E76" w:rsidRPr="007A7A4F" w:rsidRDefault="00C26E76" w:rsidP="00465B16">
            <w:pPr>
              <w:spacing w:before="100" w:beforeAutospacing="1" w:after="100" w:afterAutospacing="1"/>
            </w:pPr>
            <w:r w:rsidRPr="007A7A4F">
              <w:t>K</w:t>
            </w:r>
            <w:r w:rsidRPr="007A7A4F">
              <w:rPr>
                <w:vertAlign w:val="subscript"/>
              </w:rPr>
              <w:t>2</w:t>
            </w:r>
            <w:r w:rsidRPr="007A7A4F">
              <w:t>O tartalom (m/</w:t>
            </w:r>
            <w:proofErr w:type="spellStart"/>
            <w:r w:rsidRPr="007A7A4F">
              <w:t>m%</w:t>
            </w:r>
            <w:proofErr w:type="spellEnd"/>
            <w:r w:rsidRPr="007A7A4F">
              <w:t xml:space="preserve">) </w:t>
            </w:r>
            <w:proofErr w:type="spellStart"/>
            <w:r w:rsidRPr="007A7A4F">
              <w:t>sz.a</w:t>
            </w:r>
            <w:proofErr w:type="spellEnd"/>
            <w:r w:rsidRPr="007A7A4F">
              <w:t>.</w:t>
            </w:r>
          </w:p>
        </w:tc>
        <w:tc>
          <w:tcPr>
            <w:tcW w:w="1134" w:type="dxa"/>
          </w:tcPr>
          <w:p w:rsidR="00C26E76" w:rsidRPr="007A7A4F" w:rsidRDefault="00C26E76" w:rsidP="00465B16">
            <w:pPr>
              <w:spacing w:before="100" w:beforeAutospacing="1" w:after="100" w:afterAutospacing="1"/>
              <w:jc w:val="center"/>
            </w:pPr>
            <w:r w:rsidRPr="007A7A4F">
              <w:t>legalább</w:t>
            </w:r>
          </w:p>
        </w:tc>
        <w:tc>
          <w:tcPr>
            <w:tcW w:w="1843" w:type="dxa"/>
          </w:tcPr>
          <w:p w:rsidR="00C26E76" w:rsidRPr="007A7A4F" w:rsidRDefault="00C26E76" w:rsidP="00465B16">
            <w:pPr>
              <w:spacing w:before="100" w:beforeAutospacing="1" w:after="100" w:afterAutospacing="1"/>
              <w:jc w:val="center"/>
            </w:pPr>
            <w:r w:rsidRPr="007A7A4F">
              <w:t>0,3</w:t>
            </w:r>
          </w:p>
        </w:tc>
        <w:tc>
          <w:tcPr>
            <w:tcW w:w="1559" w:type="dxa"/>
          </w:tcPr>
          <w:p w:rsidR="00C26E76" w:rsidRPr="007A7A4F" w:rsidRDefault="00C26E76" w:rsidP="00465B16">
            <w:pPr>
              <w:spacing w:before="100" w:beforeAutospacing="1" w:after="100" w:afterAutospacing="1"/>
              <w:jc w:val="center"/>
            </w:pPr>
            <w:r w:rsidRPr="007A7A4F">
              <w:t>0,1</w:t>
            </w:r>
          </w:p>
        </w:tc>
        <w:tc>
          <w:tcPr>
            <w:tcW w:w="1276" w:type="dxa"/>
          </w:tcPr>
          <w:p w:rsidR="00C26E76" w:rsidRPr="007A7A4F" w:rsidRDefault="00C26E76" w:rsidP="00465B16">
            <w:pPr>
              <w:spacing w:before="100" w:beforeAutospacing="1" w:after="100" w:afterAutospacing="1"/>
              <w:jc w:val="center"/>
            </w:pPr>
            <w:r w:rsidRPr="007A7A4F">
              <w:t>0,03</w:t>
            </w:r>
          </w:p>
        </w:tc>
        <w:tc>
          <w:tcPr>
            <w:tcW w:w="992" w:type="dxa"/>
          </w:tcPr>
          <w:p w:rsidR="00C26E76" w:rsidRPr="007A7A4F" w:rsidRDefault="00C26E76" w:rsidP="00465B16">
            <w:pPr>
              <w:spacing w:before="100" w:beforeAutospacing="1" w:after="100" w:afterAutospacing="1"/>
              <w:jc w:val="center"/>
            </w:pPr>
            <w:r w:rsidRPr="007A7A4F">
              <w:t>-</w:t>
            </w:r>
          </w:p>
        </w:tc>
      </w:tr>
    </w:tbl>
    <w:p w:rsidR="00C26E76" w:rsidRPr="007A7A4F" w:rsidRDefault="00C26E76" w:rsidP="00C26E76">
      <w:pPr>
        <w:spacing w:after="20" w:line="240" w:lineRule="auto"/>
        <w:ind w:firstLine="380"/>
        <w:jc w:val="both"/>
        <w:rPr>
          <w:rFonts w:eastAsia="Times New Roman"/>
          <w:color w:val="000000"/>
          <w:lang w:eastAsia="hu-HU"/>
        </w:rPr>
      </w:pPr>
      <w:r w:rsidRPr="007A7A4F">
        <w:rPr>
          <w:rFonts w:eastAsia="Times New Roman"/>
          <w:color w:val="000000"/>
          <w:lang w:eastAsia="hu-HU"/>
        </w:rPr>
        <w:t>– pH (10%-os vizes szuszpenzióban)        </w:t>
      </w:r>
      <w:r>
        <w:rPr>
          <w:rFonts w:eastAsia="Times New Roman"/>
          <w:color w:val="000000"/>
          <w:lang w:eastAsia="hu-HU"/>
        </w:rPr>
        <w:t>4</w:t>
      </w:r>
      <w:r w:rsidRPr="007A7A4F">
        <w:rPr>
          <w:rFonts w:eastAsia="Times New Roman"/>
          <w:color w:val="000000"/>
          <w:lang w:eastAsia="hu-HU"/>
        </w:rPr>
        <w:t>,0–</w:t>
      </w:r>
      <w:r>
        <w:rPr>
          <w:rFonts w:eastAsia="Times New Roman"/>
          <w:color w:val="000000"/>
          <w:lang w:eastAsia="hu-HU"/>
        </w:rPr>
        <w:t>8,2</w:t>
      </w:r>
    </w:p>
    <w:p w:rsidR="00C26E76" w:rsidRPr="007A7A4F" w:rsidRDefault="00C26E76" w:rsidP="00C26E76">
      <w:pPr>
        <w:spacing w:after="20" w:line="240" w:lineRule="auto"/>
        <w:ind w:firstLine="380"/>
        <w:jc w:val="both"/>
        <w:rPr>
          <w:rFonts w:eastAsia="Times New Roman"/>
          <w:color w:val="000000"/>
          <w:lang w:eastAsia="hu-HU"/>
        </w:rPr>
      </w:pPr>
      <w:r w:rsidRPr="007A7A4F">
        <w:rPr>
          <w:rFonts w:eastAsia="Times New Roman"/>
          <w:color w:val="000000"/>
          <w:lang w:eastAsia="hu-HU"/>
        </w:rPr>
        <w:t>– térfogattömeg (kg/dm</w:t>
      </w:r>
      <w:r w:rsidRPr="007A7A4F">
        <w:rPr>
          <w:rFonts w:eastAsia="Times New Roman"/>
          <w:color w:val="000000"/>
          <w:vertAlign w:val="superscript"/>
          <w:lang w:eastAsia="hu-HU"/>
        </w:rPr>
        <w:t>3</w:t>
      </w:r>
      <w:r w:rsidRPr="007A7A4F">
        <w:rPr>
          <w:rFonts w:eastAsia="Times New Roman"/>
          <w:color w:val="000000"/>
          <w:lang w:eastAsia="hu-HU"/>
        </w:rPr>
        <w:t>)    legfeljebb    0,8</w:t>
      </w:r>
    </w:p>
    <w:p w:rsidR="00C26E76" w:rsidRPr="007A7A4F" w:rsidRDefault="00C26E76" w:rsidP="00C26E76">
      <w:pPr>
        <w:spacing w:after="20" w:line="240" w:lineRule="auto"/>
        <w:ind w:firstLine="380"/>
        <w:jc w:val="both"/>
        <w:rPr>
          <w:rFonts w:eastAsia="Times New Roman"/>
          <w:color w:val="000000"/>
          <w:lang w:eastAsia="hu-HU"/>
        </w:rPr>
      </w:pPr>
      <w:r w:rsidRPr="007A7A4F">
        <w:rPr>
          <w:rFonts w:eastAsia="Times New Roman"/>
          <w:color w:val="000000"/>
          <w:lang w:eastAsia="hu-HU"/>
        </w:rPr>
        <w:t>– vízben oldható összes sótartalom (m/</w:t>
      </w:r>
      <w:proofErr w:type="spellStart"/>
      <w:r w:rsidRPr="007A7A4F">
        <w:rPr>
          <w:rFonts w:eastAsia="Times New Roman"/>
          <w:color w:val="000000"/>
          <w:lang w:eastAsia="hu-HU"/>
        </w:rPr>
        <w:t>m%</w:t>
      </w:r>
      <w:proofErr w:type="spellEnd"/>
      <w:r w:rsidRPr="007A7A4F">
        <w:rPr>
          <w:rFonts w:eastAsia="Times New Roman"/>
          <w:color w:val="000000"/>
          <w:lang w:eastAsia="hu-HU"/>
        </w:rPr>
        <w:t xml:space="preserve">) </w:t>
      </w:r>
      <w:proofErr w:type="spellStart"/>
      <w:r w:rsidRPr="007A7A4F">
        <w:rPr>
          <w:rFonts w:eastAsia="Times New Roman"/>
          <w:color w:val="000000"/>
          <w:lang w:eastAsia="hu-HU"/>
        </w:rPr>
        <w:t>sz.a</w:t>
      </w:r>
      <w:proofErr w:type="spellEnd"/>
      <w:r w:rsidRPr="007A7A4F">
        <w:rPr>
          <w:rFonts w:eastAsia="Times New Roman"/>
          <w:color w:val="000000"/>
          <w:lang w:eastAsia="hu-HU"/>
        </w:rPr>
        <w:t>.    legfeljebb    2,0</w:t>
      </w:r>
    </w:p>
    <w:p w:rsidR="00C26E76" w:rsidRDefault="00C26E76" w:rsidP="00C26E76">
      <w:pPr>
        <w:spacing w:after="20" w:line="240" w:lineRule="auto"/>
        <w:ind w:firstLine="380"/>
        <w:jc w:val="both"/>
        <w:rPr>
          <w:rFonts w:eastAsia="Times New Roman"/>
          <w:color w:val="000000"/>
          <w:lang w:eastAsia="hu-HU"/>
        </w:rPr>
      </w:pPr>
      <w:r w:rsidRPr="007A7A4F">
        <w:rPr>
          <w:rFonts w:eastAsia="Times New Roman"/>
          <w:color w:val="000000"/>
          <w:lang w:eastAsia="hu-HU"/>
        </w:rPr>
        <w:t>– szemcseméret eloszlás 20,0 mm alatt    legalább    100,0</w:t>
      </w:r>
      <w:r w:rsidR="009E5ABC">
        <w:rPr>
          <w:rFonts w:eastAsia="Times New Roman"/>
          <w:color w:val="000000"/>
          <w:lang w:eastAsia="hu-HU"/>
        </w:rPr>
        <w:t>”</w:t>
      </w:r>
    </w:p>
    <w:p w:rsidR="009E03E9" w:rsidRDefault="009E03E9" w:rsidP="009E03E9">
      <w:pPr>
        <w:spacing w:after="20" w:line="240" w:lineRule="auto"/>
        <w:jc w:val="both"/>
        <w:rPr>
          <w:rFonts w:eastAsia="Times New Roman"/>
          <w:color w:val="000000"/>
          <w:lang w:eastAsia="hu-HU"/>
        </w:rPr>
      </w:pPr>
    </w:p>
    <w:p w:rsidR="009E03E9" w:rsidRDefault="009E03E9" w:rsidP="009E03E9">
      <w:pPr>
        <w:tabs>
          <w:tab w:val="left" w:pos="3969"/>
          <w:tab w:val="left" w:pos="6237"/>
        </w:tabs>
        <w:autoSpaceDE w:val="0"/>
        <w:autoSpaceDN w:val="0"/>
        <w:adjustRightInd w:val="0"/>
        <w:spacing w:after="0" w:line="240" w:lineRule="auto"/>
        <w:jc w:val="both"/>
        <w:rPr>
          <w:rFonts w:cs="Times New Roman"/>
        </w:rPr>
      </w:pPr>
      <w:r>
        <w:rPr>
          <w:rFonts w:eastAsia="Times New Roman"/>
          <w:color w:val="000000"/>
          <w:lang w:eastAsia="hu-HU"/>
        </w:rPr>
        <w:t xml:space="preserve">6. </w:t>
      </w:r>
      <w:r>
        <w:rPr>
          <w:rFonts w:cs="Times New Roman"/>
        </w:rPr>
        <w:t xml:space="preserve">Az R. 3. számú melléklet 9.2. pontjában foglalt táblázat </w:t>
      </w:r>
      <w:proofErr w:type="spellStart"/>
      <w:r>
        <w:rPr>
          <w:rFonts w:cs="Times New Roman"/>
        </w:rPr>
        <w:t>As</w:t>
      </w:r>
      <w:proofErr w:type="spellEnd"/>
      <w:r>
        <w:rPr>
          <w:rFonts w:cs="Times New Roman"/>
        </w:rPr>
        <w:t xml:space="preserve">:Tőzeget tartalmazó </w:t>
      </w:r>
      <w:proofErr w:type="spellStart"/>
      <w:r>
        <w:rPr>
          <w:rFonts w:cs="Times New Roman"/>
        </w:rPr>
        <w:t>termesztőközeg</w:t>
      </w:r>
      <w:proofErr w:type="spellEnd"/>
      <w:r>
        <w:rPr>
          <w:rFonts w:cs="Times New Roman"/>
        </w:rPr>
        <w:t xml:space="preserve"> mezője helyébe a következő mező lép:</w:t>
      </w:r>
    </w:p>
    <w:p w:rsidR="009E03E9" w:rsidRDefault="009E03E9" w:rsidP="009E03E9">
      <w:pPr>
        <w:tabs>
          <w:tab w:val="left" w:pos="3969"/>
          <w:tab w:val="left" w:pos="6237"/>
        </w:tabs>
        <w:autoSpaceDE w:val="0"/>
        <w:autoSpaceDN w:val="0"/>
        <w:adjustRightInd w:val="0"/>
        <w:spacing w:after="0" w:line="240" w:lineRule="auto"/>
        <w:jc w:val="both"/>
        <w:rPr>
          <w:rFonts w:cs="Times New Roman"/>
        </w:rPr>
      </w:pPr>
    </w:p>
    <w:tbl>
      <w:tblPr>
        <w:tblStyle w:val="Rcsostblzat"/>
        <w:tblW w:w="0" w:type="auto"/>
        <w:tblLayout w:type="fixed"/>
        <w:tblLook w:val="04A0" w:firstRow="1" w:lastRow="0" w:firstColumn="1" w:lastColumn="0" w:noHBand="0" w:noVBand="1"/>
      </w:tblPr>
      <w:tblGrid>
        <w:gridCol w:w="3794"/>
        <w:gridCol w:w="1134"/>
      </w:tblGrid>
      <w:tr w:rsidR="009E03E9" w:rsidTr="009E03E9">
        <w:tc>
          <w:tcPr>
            <w:tcW w:w="3794" w:type="dxa"/>
          </w:tcPr>
          <w:p w:rsidR="009E03E9" w:rsidRDefault="009E03E9" w:rsidP="00B77380">
            <w:pPr>
              <w:tabs>
                <w:tab w:val="left" w:pos="3969"/>
                <w:tab w:val="left" w:pos="6237"/>
              </w:tabs>
              <w:autoSpaceDE w:val="0"/>
              <w:autoSpaceDN w:val="0"/>
              <w:adjustRightInd w:val="0"/>
              <w:spacing w:after="0" w:line="240" w:lineRule="auto"/>
              <w:jc w:val="both"/>
              <w:rPr>
                <w:rFonts w:cs="Times New Roman"/>
              </w:rPr>
            </w:pPr>
          </w:p>
        </w:tc>
        <w:tc>
          <w:tcPr>
            <w:tcW w:w="1134" w:type="dxa"/>
          </w:tcPr>
          <w:p w:rsidR="009E03E9" w:rsidRDefault="009E03E9" w:rsidP="00B77380">
            <w:pPr>
              <w:tabs>
                <w:tab w:val="left" w:pos="3969"/>
                <w:tab w:val="left" w:pos="6237"/>
              </w:tabs>
              <w:autoSpaceDE w:val="0"/>
              <w:autoSpaceDN w:val="0"/>
              <w:adjustRightInd w:val="0"/>
              <w:spacing w:after="0" w:line="240" w:lineRule="auto"/>
              <w:jc w:val="center"/>
              <w:rPr>
                <w:rFonts w:cs="Times New Roman"/>
              </w:rPr>
            </w:pPr>
            <w:proofErr w:type="spellStart"/>
            <w:r>
              <w:rPr>
                <w:rFonts w:cs="Times New Roman"/>
              </w:rPr>
              <w:t>As</w:t>
            </w:r>
            <w:proofErr w:type="spellEnd"/>
          </w:p>
        </w:tc>
      </w:tr>
      <w:tr w:rsidR="009E03E9" w:rsidTr="009E03E9">
        <w:tc>
          <w:tcPr>
            <w:tcW w:w="3794" w:type="dxa"/>
          </w:tcPr>
          <w:p w:rsidR="009E03E9" w:rsidRDefault="009E03E9" w:rsidP="00B77380">
            <w:pPr>
              <w:tabs>
                <w:tab w:val="left" w:pos="3969"/>
                <w:tab w:val="left" w:pos="6237"/>
              </w:tabs>
              <w:autoSpaceDE w:val="0"/>
              <w:autoSpaceDN w:val="0"/>
              <w:adjustRightInd w:val="0"/>
              <w:spacing w:after="0" w:line="240" w:lineRule="auto"/>
              <w:jc w:val="both"/>
              <w:rPr>
                <w:rFonts w:cs="Times New Roman"/>
              </w:rPr>
            </w:pPr>
            <w:r>
              <w:rPr>
                <w:rFonts w:cs="Times New Roman"/>
              </w:rPr>
              <w:t xml:space="preserve">Tőzeget tartalmazó </w:t>
            </w:r>
            <w:proofErr w:type="spellStart"/>
            <w:r>
              <w:rPr>
                <w:rFonts w:cs="Times New Roman"/>
              </w:rPr>
              <w:t>termesztőközeg</w:t>
            </w:r>
            <w:proofErr w:type="spellEnd"/>
          </w:p>
        </w:tc>
        <w:tc>
          <w:tcPr>
            <w:tcW w:w="1134" w:type="dxa"/>
          </w:tcPr>
          <w:p w:rsidR="009E03E9" w:rsidRDefault="009E03E9" w:rsidP="009E03E9">
            <w:pPr>
              <w:tabs>
                <w:tab w:val="left" w:pos="3969"/>
                <w:tab w:val="left" w:pos="6237"/>
              </w:tabs>
              <w:autoSpaceDE w:val="0"/>
              <w:autoSpaceDN w:val="0"/>
              <w:adjustRightInd w:val="0"/>
              <w:spacing w:after="0" w:line="240" w:lineRule="auto"/>
              <w:jc w:val="center"/>
              <w:rPr>
                <w:rFonts w:cs="Times New Roman"/>
              </w:rPr>
            </w:pPr>
            <w:r>
              <w:rPr>
                <w:rFonts w:cs="Times New Roman"/>
              </w:rPr>
              <w:t>„30”</w:t>
            </w:r>
          </w:p>
        </w:tc>
      </w:tr>
    </w:tbl>
    <w:p w:rsidR="009E03E9" w:rsidRPr="007A7A4F" w:rsidRDefault="009E03E9" w:rsidP="009E03E9">
      <w:pPr>
        <w:spacing w:after="20" w:line="240" w:lineRule="auto"/>
        <w:jc w:val="both"/>
        <w:rPr>
          <w:rFonts w:eastAsia="Times New Roman"/>
          <w:color w:val="000000"/>
          <w:lang w:eastAsia="hu-HU"/>
        </w:rPr>
      </w:pPr>
    </w:p>
    <w:p w:rsidR="004D0A1B" w:rsidRPr="00465B2A" w:rsidRDefault="004D0A1B" w:rsidP="006B346D">
      <w:pPr>
        <w:autoSpaceDE w:val="0"/>
        <w:autoSpaceDN w:val="0"/>
        <w:adjustRightInd w:val="0"/>
        <w:spacing w:after="0" w:line="240" w:lineRule="auto"/>
        <w:jc w:val="both"/>
        <w:rPr>
          <w:rFonts w:cs="Times New Roman"/>
        </w:rPr>
      </w:pPr>
    </w:p>
    <w:p w:rsidR="00B61B06" w:rsidRPr="00465B2A" w:rsidRDefault="009E03E9" w:rsidP="006B346D">
      <w:pPr>
        <w:autoSpaceDE w:val="0"/>
        <w:autoSpaceDN w:val="0"/>
        <w:adjustRightInd w:val="0"/>
        <w:spacing w:after="0" w:line="240" w:lineRule="auto"/>
        <w:jc w:val="both"/>
        <w:rPr>
          <w:rFonts w:cs="Times New Roman"/>
        </w:rPr>
      </w:pPr>
      <w:r>
        <w:rPr>
          <w:rFonts w:cs="Times New Roman"/>
        </w:rPr>
        <w:t>7</w:t>
      </w:r>
      <w:r w:rsidR="00B61B06" w:rsidRPr="00465B2A">
        <w:rPr>
          <w:rFonts w:cs="Times New Roman"/>
        </w:rPr>
        <w:t xml:space="preserve">. Az R. 3. számú melléklet függelék E. és F. </w:t>
      </w:r>
      <w:r w:rsidR="0043548D">
        <w:rPr>
          <w:rFonts w:cs="Times New Roman"/>
        </w:rPr>
        <w:t>pontja</w:t>
      </w:r>
      <w:r w:rsidR="0043548D" w:rsidRPr="00465B2A">
        <w:rPr>
          <w:rFonts w:cs="Times New Roman"/>
        </w:rPr>
        <w:t xml:space="preserve"> </w:t>
      </w:r>
      <w:r w:rsidR="00B61B06" w:rsidRPr="00465B2A">
        <w:rPr>
          <w:rFonts w:cs="Times New Roman"/>
        </w:rPr>
        <w:t xml:space="preserve">helyébe a következő </w:t>
      </w:r>
      <w:r w:rsidR="0043548D">
        <w:rPr>
          <w:rFonts w:cs="Times New Roman"/>
        </w:rPr>
        <w:t>pontok</w:t>
      </w:r>
      <w:r w:rsidR="0043548D" w:rsidRPr="00465B2A">
        <w:rPr>
          <w:rFonts w:cs="Times New Roman"/>
        </w:rPr>
        <w:t xml:space="preserve"> </w:t>
      </w:r>
      <w:r w:rsidR="00B61B06" w:rsidRPr="00465B2A">
        <w:rPr>
          <w:rFonts w:cs="Times New Roman"/>
        </w:rPr>
        <w:t>lépnek:</w:t>
      </w:r>
    </w:p>
    <w:p w:rsidR="00B61B06" w:rsidRPr="00465B2A" w:rsidRDefault="00B61B06" w:rsidP="006B346D">
      <w:pPr>
        <w:autoSpaceDE w:val="0"/>
        <w:autoSpaceDN w:val="0"/>
        <w:adjustRightInd w:val="0"/>
        <w:spacing w:after="0" w:line="240" w:lineRule="auto"/>
        <w:jc w:val="both"/>
        <w:rPr>
          <w:rFonts w:cs="Times New Roman"/>
        </w:rPr>
      </w:pPr>
    </w:p>
    <w:p w:rsidR="00B61B06" w:rsidRPr="00465B2A" w:rsidRDefault="00B61B06" w:rsidP="006B54F9">
      <w:pPr>
        <w:spacing w:after="20" w:line="240" w:lineRule="auto"/>
        <w:jc w:val="center"/>
        <w:rPr>
          <w:rFonts w:eastAsia="Times New Roman"/>
          <w:color w:val="000000"/>
          <w:lang w:eastAsia="hu-HU"/>
        </w:rPr>
      </w:pPr>
      <w:r w:rsidRPr="00465B2A">
        <w:rPr>
          <w:rFonts w:cs="Times New Roman"/>
        </w:rPr>
        <w:t>„</w:t>
      </w:r>
      <w:r w:rsidRPr="00465B2A">
        <w:rPr>
          <w:rFonts w:eastAsia="Times New Roman"/>
          <w:color w:val="000000"/>
          <w:lang w:eastAsia="hu-HU"/>
        </w:rPr>
        <w:t>E. MIKROELEM TARTALMÚ MŰTRÁGYÁK</w:t>
      </w:r>
    </w:p>
    <w:tbl>
      <w:tblPr>
        <w:tblW w:w="930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6"/>
        <w:gridCol w:w="4252"/>
        <w:gridCol w:w="4536"/>
      </w:tblGrid>
      <w:tr w:rsidR="00B61B06" w:rsidRPr="00465B2A" w:rsidTr="00B61B06">
        <w:tc>
          <w:tcPr>
            <w:tcW w:w="516" w:type="dxa"/>
          </w:tcPr>
          <w:p w:rsidR="00B61B06" w:rsidRPr="00465B2A" w:rsidRDefault="00B61B06" w:rsidP="00DC6667">
            <w:pPr>
              <w:spacing w:before="80" w:after="20"/>
              <w:jc w:val="center"/>
            </w:pPr>
          </w:p>
        </w:tc>
        <w:tc>
          <w:tcPr>
            <w:tcW w:w="4252" w:type="dxa"/>
          </w:tcPr>
          <w:p w:rsidR="00B61B06" w:rsidRPr="00465B2A" w:rsidRDefault="00B61B06" w:rsidP="00DC6667">
            <w:pPr>
              <w:spacing w:before="80" w:after="20"/>
              <w:jc w:val="center"/>
            </w:pPr>
            <w:r w:rsidRPr="00465B2A">
              <w:t>A</w:t>
            </w:r>
          </w:p>
        </w:tc>
        <w:tc>
          <w:tcPr>
            <w:tcW w:w="4536" w:type="dxa"/>
          </w:tcPr>
          <w:p w:rsidR="00B61B06" w:rsidRPr="00465B2A" w:rsidRDefault="00B61B06" w:rsidP="00DC6667">
            <w:pPr>
              <w:spacing w:before="80" w:after="20"/>
              <w:jc w:val="center"/>
            </w:pPr>
            <w:r w:rsidRPr="00465B2A">
              <w:t>B</w:t>
            </w:r>
          </w:p>
        </w:tc>
      </w:tr>
      <w:tr w:rsidR="00B61B06" w:rsidRPr="00465B2A" w:rsidTr="00B61B06">
        <w:tc>
          <w:tcPr>
            <w:tcW w:w="516" w:type="dxa"/>
          </w:tcPr>
          <w:p w:rsidR="00B61B06" w:rsidRPr="00465B2A" w:rsidRDefault="00B61B06" w:rsidP="00B61B06">
            <w:pPr>
              <w:spacing w:before="80" w:after="20"/>
              <w:jc w:val="center"/>
            </w:pPr>
            <w:r w:rsidRPr="00465B2A">
              <w:t>1.</w:t>
            </w:r>
          </w:p>
        </w:tc>
        <w:tc>
          <w:tcPr>
            <w:tcW w:w="4252" w:type="dxa"/>
            <w:hideMark/>
          </w:tcPr>
          <w:p w:rsidR="00B61B06" w:rsidRPr="00465B2A" w:rsidRDefault="00B61B06" w:rsidP="00DC6667">
            <w:pPr>
              <w:spacing w:before="80" w:after="20"/>
              <w:jc w:val="center"/>
            </w:pPr>
            <w:proofErr w:type="spellStart"/>
            <w:r w:rsidRPr="00465B2A">
              <w:t>Mikroelemtartalom</w:t>
            </w:r>
            <w:proofErr w:type="spellEnd"/>
            <w:r w:rsidRPr="00465B2A">
              <w:t xml:space="preserve"> (m/</w:t>
            </w:r>
            <w:proofErr w:type="spellStart"/>
            <w:r w:rsidRPr="00465B2A">
              <w:t>m%</w:t>
            </w:r>
            <w:proofErr w:type="spellEnd"/>
            <w:r w:rsidRPr="00465B2A">
              <w:t>)</w:t>
            </w:r>
          </w:p>
        </w:tc>
        <w:tc>
          <w:tcPr>
            <w:tcW w:w="4536" w:type="dxa"/>
            <w:hideMark/>
          </w:tcPr>
          <w:p w:rsidR="00B61B06" w:rsidRPr="00465B2A" w:rsidRDefault="00B61B06" w:rsidP="00DC6667">
            <w:pPr>
              <w:spacing w:before="80" w:after="20"/>
              <w:jc w:val="center"/>
            </w:pPr>
            <w:r w:rsidRPr="00465B2A">
              <w:t>Tolerancia (m/</w:t>
            </w:r>
            <w:proofErr w:type="spellStart"/>
            <w:r w:rsidRPr="00465B2A">
              <w:t>m%</w:t>
            </w:r>
            <w:proofErr w:type="spellEnd"/>
            <w:r w:rsidRPr="00465B2A">
              <w:t>)</w:t>
            </w:r>
          </w:p>
        </w:tc>
      </w:tr>
      <w:tr w:rsidR="00B61B06" w:rsidRPr="00465B2A" w:rsidTr="00B61B06">
        <w:tc>
          <w:tcPr>
            <w:tcW w:w="516" w:type="dxa"/>
          </w:tcPr>
          <w:p w:rsidR="00B61B06" w:rsidRPr="00465B2A" w:rsidRDefault="00B61B06" w:rsidP="00B61B06">
            <w:pPr>
              <w:spacing w:before="60" w:after="20"/>
              <w:jc w:val="center"/>
            </w:pPr>
            <w:r w:rsidRPr="00465B2A">
              <w:t>2.</w:t>
            </w:r>
          </w:p>
        </w:tc>
        <w:tc>
          <w:tcPr>
            <w:tcW w:w="4252" w:type="dxa"/>
            <w:hideMark/>
          </w:tcPr>
          <w:p w:rsidR="00B61B06" w:rsidRPr="00465B2A" w:rsidRDefault="00B61B06" w:rsidP="00DC6667">
            <w:pPr>
              <w:spacing w:before="60" w:after="20"/>
            </w:pPr>
            <w:r w:rsidRPr="00465B2A">
              <w:t>2 tömegszázalék felett</w:t>
            </w:r>
          </w:p>
        </w:tc>
        <w:tc>
          <w:tcPr>
            <w:tcW w:w="4536" w:type="dxa"/>
            <w:hideMark/>
          </w:tcPr>
          <w:p w:rsidR="00B61B06" w:rsidRPr="00465B2A" w:rsidRDefault="00B61B06" w:rsidP="00DC6667">
            <w:pPr>
              <w:spacing w:before="60" w:after="20"/>
              <w:jc w:val="center"/>
            </w:pPr>
            <w:r w:rsidRPr="00465B2A">
              <w:t>± 0,4</w:t>
            </w:r>
          </w:p>
        </w:tc>
      </w:tr>
      <w:tr w:rsidR="00B61B06" w:rsidRPr="00465B2A" w:rsidTr="00B61B06">
        <w:tc>
          <w:tcPr>
            <w:tcW w:w="516" w:type="dxa"/>
          </w:tcPr>
          <w:p w:rsidR="00B61B06" w:rsidRPr="00465B2A" w:rsidRDefault="00B61B06" w:rsidP="00B61B06">
            <w:pPr>
              <w:spacing w:before="60" w:after="20"/>
              <w:jc w:val="center"/>
            </w:pPr>
            <w:r w:rsidRPr="00465B2A">
              <w:t>3.</w:t>
            </w:r>
          </w:p>
        </w:tc>
        <w:tc>
          <w:tcPr>
            <w:tcW w:w="4252" w:type="dxa"/>
            <w:hideMark/>
          </w:tcPr>
          <w:p w:rsidR="00B61B06" w:rsidRPr="00465B2A" w:rsidRDefault="00B61B06" w:rsidP="00DC6667">
            <w:pPr>
              <w:spacing w:before="60" w:after="20"/>
            </w:pPr>
            <w:r w:rsidRPr="00465B2A">
              <w:t>0,05- 2,00 tömegszázalék között</w:t>
            </w:r>
          </w:p>
        </w:tc>
        <w:tc>
          <w:tcPr>
            <w:tcW w:w="4536" w:type="dxa"/>
            <w:hideMark/>
          </w:tcPr>
          <w:p w:rsidR="00B61B06" w:rsidRPr="00465B2A" w:rsidRDefault="00B61B06" w:rsidP="00DC6667">
            <w:pPr>
              <w:spacing w:before="60" w:after="20"/>
              <w:jc w:val="center"/>
            </w:pPr>
            <w:r w:rsidRPr="00465B2A">
              <w:t>± a feltüntetett tartalom 20%-a</w:t>
            </w:r>
          </w:p>
        </w:tc>
      </w:tr>
      <w:tr w:rsidR="00B61B06" w:rsidRPr="00465B2A" w:rsidTr="00B61B06">
        <w:tc>
          <w:tcPr>
            <w:tcW w:w="516" w:type="dxa"/>
          </w:tcPr>
          <w:p w:rsidR="00B61B06" w:rsidRPr="00465B2A" w:rsidRDefault="00B61B06" w:rsidP="00B61B06">
            <w:pPr>
              <w:spacing w:before="60" w:after="20"/>
              <w:jc w:val="center"/>
            </w:pPr>
            <w:r w:rsidRPr="00465B2A">
              <w:t>4.</w:t>
            </w:r>
          </w:p>
        </w:tc>
        <w:tc>
          <w:tcPr>
            <w:tcW w:w="4252" w:type="dxa"/>
            <w:hideMark/>
          </w:tcPr>
          <w:p w:rsidR="00B61B06" w:rsidRPr="00465B2A" w:rsidRDefault="00B61B06" w:rsidP="00DC6667">
            <w:pPr>
              <w:spacing w:before="60" w:after="20"/>
            </w:pPr>
            <w:r w:rsidRPr="00465B2A">
              <w:t>0,05 tömegszázalék alatt</w:t>
            </w:r>
          </w:p>
        </w:tc>
        <w:tc>
          <w:tcPr>
            <w:tcW w:w="4536" w:type="dxa"/>
            <w:hideMark/>
          </w:tcPr>
          <w:p w:rsidR="00B61B06" w:rsidRPr="00465B2A" w:rsidRDefault="00B61B06" w:rsidP="00DC6667">
            <w:pPr>
              <w:spacing w:before="60" w:after="20"/>
              <w:jc w:val="center"/>
            </w:pPr>
            <w:r w:rsidRPr="00465B2A">
              <w:t>± a feltüntetett tartalom 50%-a</w:t>
            </w:r>
          </w:p>
        </w:tc>
      </w:tr>
    </w:tbl>
    <w:p w:rsidR="00B61B06" w:rsidRPr="00465B2A" w:rsidRDefault="00B61B06" w:rsidP="006B54F9">
      <w:pPr>
        <w:spacing w:after="20" w:line="240" w:lineRule="auto"/>
        <w:jc w:val="center"/>
        <w:rPr>
          <w:rFonts w:eastAsia="Times New Roman"/>
          <w:color w:val="000000"/>
          <w:lang w:eastAsia="hu-HU"/>
        </w:rPr>
      </w:pPr>
      <w:r w:rsidRPr="00465B2A">
        <w:rPr>
          <w:rFonts w:eastAsia="Times New Roman"/>
          <w:color w:val="000000"/>
          <w:lang w:eastAsia="hu-HU"/>
        </w:rPr>
        <w:t>F. EGYÉB MŰTRÁGYÁK</w:t>
      </w:r>
    </w:p>
    <w:tbl>
      <w:tblPr>
        <w:tblW w:w="930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16"/>
        <w:gridCol w:w="4252"/>
        <w:gridCol w:w="4536"/>
      </w:tblGrid>
      <w:tr w:rsidR="003D512D" w:rsidRPr="00465B2A" w:rsidTr="00B61B06">
        <w:tc>
          <w:tcPr>
            <w:tcW w:w="516" w:type="dxa"/>
          </w:tcPr>
          <w:p w:rsidR="003D512D" w:rsidRPr="00465B2A" w:rsidRDefault="003D512D" w:rsidP="00DC6667">
            <w:pPr>
              <w:spacing w:before="80" w:after="20"/>
              <w:jc w:val="center"/>
            </w:pPr>
          </w:p>
        </w:tc>
        <w:tc>
          <w:tcPr>
            <w:tcW w:w="4252" w:type="dxa"/>
          </w:tcPr>
          <w:p w:rsidR="003D512D" w:rsidRPr="00465B2A" w:rsidRDefault="003D512D" w:rsidP="00DC6667">
            <w:pPr>
              <w:spacing w:before="80" w:after="20"/>
              <w:jc w:val="center"/>
            </w:pPr>
            <w:r w:rsidRPr="00465B2A">
              <w:t>A</w:t>
            </w:r>
          </w:p>
        </w:tc>
        <w:tc>
          <w:tcPr>
            <w:tcW w:w="4536" w:type="dxa"/>
          </w:tcPr>
          <w:p w:rsidR="003D512D" w:rsidRPr="00465B2A" w:rsidRDefault="003D512D" w:rsidP="00DC6667">
            <w:pPr>
              <w:spacing w:before="80" w:after="20"/>
              <w:jc w:val="center"/>
            </w:pPr>
            <w:r w:rsidRPr="00465B2A">
              <w:t>B</w:t>
            </w:r>
          </w:p>
        </w:tc>
      </w:tr>
      <w:tr w:rsidR="00B61B06" w:rsidRPr="00465B2A" w:rsidTr="00B61B06">
        <w:tc>
          <w:tcPr>
            <w:tcW w:w="516" w:type="dxa"/>
          </w:tcPr>
          <w:p w:rsidR="00B61B06" w:rsidRPr="00465B2A" w:rsidRDefault="003D512D" w:rsidP="003D512D">
            <w:pPr>
              <w:spacing w:before="80" w:after="20"/>
              <w:jc w:val="center"/>
            </w:pPr>
            <w:r w:rsidRPr="00465B2A">
              <w:t>1.</w:t>
            </w:r>
          </w:p>
        </w:tc>
        <w:tc>
          <w:tcPr>
            <w:tcW w:w="4252" w:type="dxa"/>
            <w:hideMark/>
          </w:tcPr>
          <w:p w:rsidR="00B61B06" w:rsidRPr="00465B2A" w:rsidRDefault="00B61B06" w:rsidP="00DC6667">
            <w:pPr>
              <w:spacing w:before="80" w:after="20"/>
              <w:jc w:val="center"/>
            </w:pPr>
            <w:proofErr w:type="spellStart"/>
            <w:r w:rsidRPr="00465B2A">
              <w:t>Hatóanyagtartalom</w:t>
            </w:r>
            <w:proofErr w:type="spellEnd"/>
            <w:r w:rsidRPr="00465B2A">
              <w:t xml:space="preserve"> (m/</w:t>
            </w:r>
            <w:proofErr w:type="spellStart"/>
            <w:r w:rsidRPr="00465B2A">
              <w:t>m%</w:t>
            </w:r>
            <w:proofErr w:type="spellEnd"/>
            <w:r w:rsidRPr="00465B2A">
              <w:t>)</w:t>
            </w:r>
          </w:p>
        </w:tc>
        <w:tc>
          <w:tcPr>
            <w:tcW w:w="4536" w:type="dxa"/>
            <w:hideMark/>
          </w:tcPr>
          <w:p w:rsidR="00B61B06" w:rsidRPr="00465B2A" w:rsidRDefault="00B61B06" w:rsidP="00DC6667">
            <w:pPr>
              <w:spacing w:before="80" w:after="20"/>
              <w:jc w:val="center"/>
            </w:pPr>
            <w:r w:rsidRPr="00465B2A">
              <w:t>Tolerancia (m/</w:t>
            </w:r>
            <w:proofErr w:type="spellStart"/>
            <w:r w:rsidRPr="00465B2A">
              <w:t>m%</w:t>
            </w:r>
            <w:proofErr w:type="spellEnd"/>
            <w:r w:rsidRPr="00465B2A">
              <w:t>)</w:t>
            </w:r>
          </w:p>
        </w:tc>
      </w:tr>
      <w:tr w:rsidR="00B61B06" w:rsidRPr="00465B2A" w:rsidTr="00B61B06">
        <w:tc>
          <w:tcPr>
            <w:tcW w:w="516" w:type="dxa"/>
          </w:tcPr>
          <w:p w:rsidR="00B61B06" w:rsidRPr="00465B2A" w:rsidRDefault="003D512D" w:rsidP="003D512D">
            <w:pPr>
              <w:spacing w:before="60" w:after="20"/>
              <w:jc w:val="center"/>
            </w:pPr>
            <w:r w:rsidRPr="00465B2A">
              <w:t>2.</w:t>
            </w:r>
          </w:p>
        </w:tc>
        <w:tc>
          <w:tcPr>
            <w:tcW w:w="4252" w:type="dxa"/>
            <w:hideMark/>
          </w:tcPr>
          <w:p w:rsidR="00B61B06" w:rsidRPr="00465B2A" w:rsidRDefault="00B61B06" w:rsidP="00DC6667">
            <w:pPr>
              <w:spacing w:before="60" w:after="20"/>
            </w:pPr>
            <w:r w:rsidRPr="00465B2A">
              <w:t>0,05 tömegszázalék alatt</w:t>
            </w:r>
          </w:p>
        </w:tc>
        <w:tc>
          <w:tcPr>
            <w:tcW w:w="4536" w:type="dxa"/>
            <w:hideMark/>
          </w:tcPr>
          <w:p w:rsidR="00B61B06" w:rsidRPr="00465B2A" w:rsidRDefault="00B61B06" w:rsidP="00DC6667">
            <w:pPr>
              <w:spacing w:before="60" w:after="20"/>
              <w:jc w:val="center"/>
            </w:pPr>
            <w:r w:rsidRPr="00465B2A">
              <w:t>± a feltüntetett tartalom 50%-a</w:t>
            </w:r>
          </w:p>
        </w:tc>
      </w:tr>
      <w:tr w:rsidR="00B61B06" w:rsidRPr="00465B2A" w:rsidTr="00B61B06">
        <w:tc>
          <w:tcPr>
            <w:tcW w:w="516" w:type="dxa"/>
          </w:tcPr>
          <w:p w:rsidR="00B61B06" w:rsidRPr="00465B2A" w:rsidRDefault="003D512D" w:rsidP="003D512D">
            <w:pPr>
              <w:spacing w:before="60" w:after="20"/>
              <w:jc w:val="center"/>
            </w:pPr>
            <w:r w:rsidRPr="00465B2A">
              <w:t>3.</w:t>
            </w:r>
          </w:p>
        </w:tc>
        <w:tc>
          <w:tcPr>
            <w:tcW w:w="4252" w:type="dxa"/>
            <w:hideMark/>
          </w:tcPr>
          <w:p w:rsidR="00B61B06" w:rsidRPr="00465B2A" w:rsidRDefault="00B61B06" w:rsidP="00DC6667">
            <w:pPr>
              <w:spacing w:before="60" w:after="20"/>
            </w:pPr>
            <w:r w:rsidRPr="00465B2A">
              <w:t>0,05- 2,00 tömegszázalék között</w:t>
            </w:r>
          </w:p>
        </w:tc>
        <w:tc>
          <w:tcPr>
            <w:tcW w:w="4536" w:type="dxa"/>
            <w:hideMark/>
          </w:tcPr>
          <w:p w:rsidR="00B61B06" w:rsidRPr="00465B2A" w:rsidRDefault="00B61B06" w:rsidP="00DC6667">
            <w:pPr>
              <w:spacing w:before="60" w:after="20"/>
              <w:jc w:val="center"/>
            </w:pPr>
            <w:r w:rsidRPr="00465B2A">
              <w:t>± a feltüntetett tartalom 20%-a</w:t>
            </w:r>
          </w:p>
        </w:tc>
      </w:tr>
      <w:tr w:rsidR="00B61B06" w:rsidRPr="00465B2A" w:rsidTr="00B61B06">
        <w:tc>
          <w:tcPr>
            <w:tcW w:w="516" w:type="dxa"/>
          </w:tcPr>
          <w:p w:rsidR="00B61B06" w:rsidRPr="00465B2A" w:rsidRDefault="003D512D" w:rsidP="003D512D">
            <w:pPr>
              <w:spacing w:before="60" w:after="20"/>
              <w:jc w:val="center"/>
            </w:pPr>
            <w:r w:rsidRPr="00465B2A">
              <w:t>4.</w:t>
            </w:r>
          </w:p>
        </w:tc>
        <w:tc>
          <w:tcPr>
            <w:tcW w:w="4252" w:type="dxa"/>
            <w:hideMark/>
          </w:tcPr>
          <w:p w:rsidR="00B61B06" w:rsidRPr="00465B2A" w:rsidRDefault="00B61B06" w:rsidP="00DC6667">
            <w:pPr>
              <w:spacing w:before="60" w:after="20"/>
            </w:pPr>
            <w:r w:rsidRPr="00465B2A">
              <w:t>2–10 tömegszázalék között</w:t>
            </w:r>
          </w:p>
        </w:tc>
        <w:tc>
          <w:tcPr>
            <w:tcW w:w="4536" w:type="dxa"/>
            <w:hideMark/>
          </w:tcPr>
          <w:p w:rsidR="00B61B06" w:rsidRPr="00465B2A" w:rsidRDefault="00B61B06" w:rsidP="00DC6667">
            <w:pPr>
              <w:spacing w:before="60" w:after="20"/>
              <w:jc w:val="center"/>
            </w:pPr>
            <w:r w:rsidRPr="00465B2A">
              <w:t>± 0,4</w:t>
            </w:r>
          </w:p>
        </w:tc>
      </w:tr>
      <w:tr w:rsidR="00B61B06" w:rsidRPr="00465B2A" w:rsidTr="00B61B06">
        <w:tc>
          <w:tcPr>
            <w:tcW w:w="516" w:type="dxa"/>
          </w:tcPr>
          <w:p w:rsidR="00B61B06" w:rsidRPr="00465B2A" w:rsidRDefault="003D512D" w:rsidP="003D512D">
            <w:pPr>
              <w:spacing w:before="60" w:after="20"/>
              <w:jc w:val="center"/>
            </w:pPr>
            <w:r w:rsidRPr="00465B2A">
              <w:t>5.</w:t>
            </w:r>
          </w:p>
        </w:tc>
        <w:tc>
          <w:tcPr>
            <w:tcW w:w="4252" w:type="dxa"/>
            <w:hideMark/>
          </w:tcPr>
          <w:p w:rsidR="00B61B06" w:rsidRPr="00465B2A" w:rsidRDefault="00B61B06" w:rsidP="00DC6667">
            <w:pPr>
              <w:spacing w:before="60" w:after="20"/>
            </w:pPr>
            <w:r w:rsidRPr="00465B2A">
              <w:t>10 tömegszázalék felett</w:t>
            </w:r>
          </w:p>
        </w:tc>
        <w:tc>
          <w:tcPr>
            <w:tcW w:w="4536" w:type="dxa"/>
            <w:hideMark/>
          </w:tcPr>
          <w:p w:rsidR="00B61B06" w:rsidRPr="00465B2A" w:rsidRDefault="00B61B06" w:rsidP="00DC6667">
            <w:pPr>
              <w:spacing w:before="60" w:after="20"/>
              <w:jc w:val="center"/>
            </w:pPr>
            <w:r w:rsidRPr="00465B2A">
              <w:t>± 1,</w:t>
            </w:r>
            <w:proofErr w:type="spellStart"/>
            <w:r w:rsidRPr="00465B2A">
              <w:t>1</w:t>
            </w:r>
            <w:proofErr w:type="spellEnd"/>
          </w:p>
        </w:tc>
      </w:tr>
    </w:tbl>
    <w:p w:rsidR="00B61B06" w:rsidRPr="00465B2A" w:rsidRDefault="00B61B06" w:rsidP="00B61B06">
      <w:pPr>
        <w:spacing w:before="160" w:after="160" w:line="240" w:lineRule="auto"/>
        <w:jc w:val="both"/>
        <w:rPr>
          <w:rFonts w:eastAsia="Times New Roman"/>
          <w:iCs/>
          <w:color w:val="000000"/>
          <w:lang w:eastAsia="hu-HU"/>
        </w:rPr>
      </w:pPr>
      <w:r w:rsidRPr="00465B2A">
        <w:rPr>
          <w:rFonts w:eastAsia="Times New Roman"/>
          <w:iCs/>
          <w:color w:val="000000"/>
          <w:lang w:eastAsia="hu-HU"/>
        </w:rPr>
        <w:t>”</w:t>
      </w:r>
    </w:p>
    <w:p w:rsidR="006B346D" w:rsidRPr="00465B2A" w:rsidRDefault="009E03E9" w:rsidP="006B346D">
      <w:pPr>
        <w:autoSpaceDE w:val="0"/>
        <w:autoSpaceDN w:val="0"/>
        <w:adjustRightInd w:val="0"/>
        <w:spacing w:after="0" w:line="240" w:lineRule="auto"/>
        <w:jc w:val="both"/>
        <w:rPr>
          <w:rFonts w:cs="Times New Roman"/>
        </w:rPr>
      </w:pPr>
      <w:r>
        <w:rPr>
          <w:rFonts w:cs="Times New Roman"/>
        </w:rPr>
        <w:t>8</w:t>
      </w:r>
      <w:r w:rsidR="00AA6EF5" w:rsidRPr="00465B2A">
        <w:rPr>
          <w:rFonts w:cs="Times New Roman"/>
        </w:rPr>
        <w:t xml:space="preserve">. </w:t>
      </w:r>
      <w:r w:rsidR="006B346D" w:rsidRPr="00465B2A">
        <w:rPr>
          <w:rFonts w:cs="Times New Roman"/>
        </w:rPr>
        <w:t xml:space="preserve">Az R. 3. számú melléklet 2.1. pontjában szereplő felsorolás negyedik </w:t>
      </w:r>
      <w:r w:rsidR="0043548D">
        <w:rPr>
          <w:rFonts w:cs="Times New Roman"/>
        </w:rPr>
        <w:t>sorában</w:t>
      </w:r>
      <w:r w:rsidR="006B346D" w:rsidRPr="00465B2A">
        <w:rPr>
          <w:rFonts w:cs="Times New Roman"/>
        </w:rPr>
        <w:t xml:space="preserve"> az „50,0” szövegrész helyébe a „40,0” szöveg lép.</w:t>
      </w:r>
    </w:p>
    <w:p w:rsidR="00E21F75" w:rsidRPr="00465B2A" w:rsidRDefault="00E21F75" w:rsidP="006B346D">
      <w:pPr>
        <w:autoSpaceDE w:val="0"/>
        <w:autoSpaceDN w:val="0"/>
        <w:adjustRightInd w:val="0"/>
        <w:spacing w:after="0" w:line="240" w:lineRule="auto"/>
        <w:jc w:val="both"/>
        <w:rPr>
          <w:rFonts w:cs="Times New Roman"/>
        </w:rPr>
      </w:pPr>
    </w:p>
    <w:p w:rsidR="00E21F75" w:rsidRPr="00465B2A" w:rsidRDefault="009E03E9" w:rsidP="006B346D">
      <w:pPr>
        <w:autoSpaceDE w:val="0"/>
        <w:autoSpaceDN w:val="0"/>
        <w:adjustRightInd w:val="0"/>
        <w:spacing w:after="0" w:line="240" w:lineRule="auto"/>
        <w:jc w:val="both"/>
        <w:rPr>
          <w:rFonts w:cs="Times New Roman"/>
        </w:rPr>
      </w:pPr>
      <w:r>
        <w:rPr>
          <w:rFonts w:cs="Times New Roman"/>
        </w:rPr>
        <w:t>9</w:t>
      </w:r>
      <w:r w:rsidR="00E21F75" w:rsidRPr="00465B2A">
        <w:rPr>
          <w:rFonts w:cs="Times New Roman"/>
        </w:rPr>
        <w:t xml:space="preserve">. Az R. 3. számú melléklet 4.1. pontjában szereplő felsorolás negyedik </w:t>
      </w:r>
      <w:r w:rsidR="0043548D">
        <w:rPr>
          <w:rFonts w:cs="Times New Roman"/>
        </w:rPr>
        <w:t>sorában</w:t>
      </w:r>
      <w:r w:rsidR="00E21F75" w:rsidRPr="00465B2A">
        <w:rPr>
          <w:rFonts w:cs="Times New Roman"/>
        </w:rPr>
        <w:t xml:space="preserve"> a „25,0” szövegrész helyébe a „25,0 *” szöveg lép.</w:t>
      </w:r>
    </w:p>
    <w:p w:rsidR="006B346D" w:rsidRPr="00465B2A" w:rsidRDefault="006B346D" w:rsidP="006B346D">
      <w:pPr>
        <w:autoSpaceDE w:val="0"/>
        <w:autoSpaceDN w:val="0"/>
        <w:adjustRightInd w:val="0"/>
        <w:spacing w:after="0" w:line="240" w:lineRule="auto"/>
        <w:jc w:val="both"/>
        <w:rPr>
          <w:rFonts w:cs="Times New Roman"/>
        </w:rPr>
      </w:pPr>
    </w:p>
    <w:p w:rsidR="004D0A1B" w:rsidRPr="00465B2A" w:rsidRDefault="004D0A1B" w:rsidP="006B346D">
      <w:pPr>
        <w:autoSpaceDE w:val="0"/>
        <w:autoSpaceDN w:val="0"/>
        <w:adjustRightInd w:val="0"/>
        <w:spacing w:after="0" w:line="240" w:lineRule="auto"/>
        <w:jc w:val="both"/>
        <w:rPr>
          <w:rFonts w:cs="Times New Roman"/>
        </w:rPr>
      </w:pPr>
    </w:p>
    <w:p w:rsidR="006B346D" w:rsidRPr="00465B2A" w:rsidRDefault="000742C4" w:rsidP="006B346D">
      <w:pPr>
        <w:autoSpaceDE w:val="0"/>
        <w:autoSpaceDN w:val="0"/>
        <w:adjustRightInd w:val="0"/>
        <w:spacing w:after="0" w:line="240" w:lineRule="auto"/>
        <w:jc w:val="both"/>
        <w:rPr>
          <w:rFonts w:cs="Times New Roman"/>
        </w:rPr>
      </w:pPr>
      <w:r w:rsidRPr="00465B2A">
        <w:rPr>
          <w:rFonts w:cs="Times New Roman"/>
        </w:rPr>
        <w:t>1</w:t>
      </w:r>
      <w:r w:rsidR="00B81240">
        <w:rPr>
          <w:rFonts w:cs="Times New Roman"/>
        </w:rPr>
        <w:t>0</w:t>
      </w:r>
      <w:r w:rsidR="006B346D" w:rsidRPr="00465B2A">
        <w:rPr>
          <w:rFonts w:cs="Times New Roman"/>
        </w:rPr>
        <w:t>. Hatályát veszti az R. 3. számú melléklet 2.2. pont</w:t>
      </w:r>
      <w:r w:rsidR="00B13EA7" w:rsidRPr="00465B2A">
        <w:rPr>
          <w:rFonts w:cs="Times New Roman"/>
        </w:rPr>
        <w:t>jában</w:t>
      </w:r>
      <w:r w:rsidR="009E03E9">
        <w:rPr>
          <w:rFonts w:cs="Times New Roman"/>
        </w:rPr>
        <w:t xml:space="preserve"> és</w:t>
      </w:r>
      <w:r w:rsidR="008C632D" w:rsidRPr="00465B2A">
        <w:rPr>
          <w:rFonts w:cs="Times New Roman"/>
        </w:rPr>
        <w:t>3.2. pontjában</w:t>
      </w:r>
      <w:r w:rsidR="00B13EA7" w:rsidRPr="00465B2A">
        <w:rPr>
          <w:rFonts w:cs="Times New Roman"/>
        </w:rPr>
        <w:t xml:space="preserve"> </w:t>
      </w:r>
      <w:r w:rsidR="009E03E9">
        <w:rPr>
          <w:rFonts w:cs="Times New Roman"/>
        </w:rPr>
        <w:t>foglalt</w:t>
      </w:r>
      <w:r w:rsidR="009E03E9" w:rsidRPr="00465B2A">
        <w:rPr>
          <w:rFonts w:cs="Times New Roman"/>
        </w:rPr>
        <w:t xml:space="preserve"> </w:t>
      </w:r>
      <w:r w:rsidR="00B13EA7" w:rsidRPr="00465B2A">
        <w:rPr>
          <w:rFonts w:cs="Times New Roman"/>
        </w:rPr>
        <w:t xml:space="preserve">táblázat </w:t>
      </w:r>
      <w:r w:rsidR="009E03E9">
        <w:rPr>
          <w:rFonts w:cs="Times New Roman"/>
        </w:rPr>
        <w:t>„</w:t>
      </w:r>
      <w:proofErr w:type="spellStart"/>
      <w:r w:rsidR="009E03E9">
        <w:rPr>
          <w:rFonts w:cs="Times New Roman"/>
        </w:rPr>
        <w:t>Cu</w:t>
      </w:r>
      <w:proofErr w:type="spellEnd"/>
      <w:r w:rsidR="009E03E9">
        <w:rPr>
          <w:rFonts w:cs="Times New Roman"/>
        </w:rPr>
        <w:t>”</w:t>
      </w:r>
      <w:r w:rsidR="009E03E9" w:rsidRPr="00465B2A">
        <w:rPr>
          <w:rFonts w:cs="Times New Roman"/>
        </w:rPr>
        <w:t xml:space="preserve"> </w:t>
      </w:r>
      <w:r w:rsidR="00B13EA7" w:rsidRPr="00465B2A">
        <w:rPr>
          <w:rFonts w:cs="Times New Roman"/>
        </w:rPr>
        <w:t>oszlopa.</w:t>
      </w:r>
    </w:p>
    <w:p w:rsidR="004D0A1B" w:rsidRPr="00465B2A" w:rsidRDefault="004D0A1B" w:rsidP="006B346D">
      <w:pPr>
        <w:autoSpaceDE w:val="0"/>
        <w:autoSpaceDN w:val="0"/>
        <w:adjustRightInd w:val="0"/>
        <w:spacing w:after="0" w:line="240" w:lineRule="auto"/>
        <w:jc w:val="both"/>
        <w:rPr>
          <w:rFonts w:cs="Times New Roman"/>
        </w:rPr>
      </w:pPr>
    </w:p>
    <w:p w:rsidR="00B81240" w:rsidRDefault="00B81240">
      <w:pPr>
        <w:spacing w:after="0" w:line="240" w:lineRule="auto"/>
        <w:rPr>
          <w:rFonts w:cs="Times New Roman"/>
          <w:i/>
          <w:u w:val="single"/>
        </w:rPr>
      </w:pPr>
      <w:r>
        <w:rPr>
          <w:rFonts w:cs="Times New Roman"/>
          <w:i/>
          <w:u w:val="single"/>
        </w:rPr>
        <w:br w:type="page"/>
      </w:r>
    </w:p>
    <w:p w:rsidR="006B54F9" w:rsidRPr="00465B2A" w:rsidRDefault="006B54F9" w:rsidP="006B346D">
      <w:pPr>
        <w:autoSpaceDE w:val="0"/>
        <w:autoSpaceDN w:val="0"/>
        <w:adjustRightInd w:val="0"/>
        <w:spacing w:after="0" w:line="240" w:lineRule="auto"/>
        <w:jc w:val="both"/>
        <w:rPr>
          <w:rFonts w:cs="Times New Roman"/>
          <w:i/>
          <w:u w:val="single"/>
        </w:rPr>
      </w:pPr>
      <w:r w:rsidRPr="00465B2A">
        <w:rPr>
          <w:rFonts w:cs="Times New Roman"/>
          <w:i/>
          <w:u w:val="single"/>
        </w:rPr>
        <w:lastRenderedPageBreak/>
        <w:t>4. melléklet a …/2014. (…) FM rendelethez</w:t>
      </w:r>
    </w:p>
    <w:p w:rsidR="006B54F9" w:rsidRPr="00465B2A" w:rsidRDefault="006B54F9" w:rsidP="006B346D">
      <w:pPr>
        <w:autoSpaceDE w:val="0"/>
        <w:autoSpaceDN w:val="0"/>
        <w:adjustRightInd w:val="0"/>
        <w:spacing w:after="0" w:line="240" w:lineRule="auto"/>
        <w:jc w:val="both"/>
        <w:rPr>
          <w:rFonts w:cs="Times New Roman"/>
        </w:rPr>
      </w:pPr>
    </w:p>
    <w:p w:rsidR="006B54F9" w:rsidRPr="00465B2A" w:rsidRDefault="006B54F9" w:rsidP="006B346D">
      <w:pPr>
        <w:autoSpaceDE w:val="0"/>
        <w:autoSpaceDN w:val="0"/>
        <w:adjustRightInd w:val="0"/>
        <w:spacing w:after="0" w:line="240" w:lineRule="auto"/>
        <w:jc w:val="both"/>
        <w:rPr>
          <w:rFonts w:cs="Times New Roman"/>
        </w:rPr>
      </w:pPr>
      <w:r w:rsidRPr="00465B2A">
        <w:rPr>
          <w:rFonts w:cs="Times New Roman"/>
        </w:rPr>
        <w:t>1. Az R. 4. számú melléklet 12. pontja helyébe a következő pont lép:</w:t>
      </w:r>
    </w:p>
    <w:p w:rsidR="006B54F9" w:rsidRPr="00465B2A" w:rsidRDefault="006B54F9" w:rsidP="006B346D">
      <w:pPr>
        <w:autoSpaceDE w:val="0"/>
        <w:autoSpaceDN w:val="0"/>
        <w:adjustRightInd w:val="0"/>
        <w:spacing w:after="0" w:line="240" w:lineRule="auto"/>
        <w:jc w:val="both"/>
        <w:rPr>
          <w:rFonts w:cs="Times New Roman"/>
        </w:rPr>
      </w:pPr>
    </w:p>
    <w:p w:rsidR="006B54F9" w:rsidRPr="00465B2A" w:rsidRDefault="006B54F9" w:rsidP="006B346D">
      <w:pPr>
        <w:autoSpaceDE w:val="0"/>
        <w:autoSpaceDN w:val="0"/>
        <w:adjustRightInd w:val="0"/>
        <w:spacing w:after="0" w:line="240" w:lineRule="auto"/>
        <w:jc w:val="both"/>
        <w:rPr>
          <w:rFonts w:eastAsia="Times New Roman"/>
          <w:color w:val="000000"/>
          <w:lang w:eastAsia="hu-HU"/>
        </w:rPr>
      </w:pPr>
      <w:r w:rsidRPr="00465B2A">
        <w:rPr>
          <w:rFonts w:cs="Times New Roman"/>
        </w:rPr>
        <w:t>„</w:t>
      </w:r>
      <w:r w:rsidRPr="00465B2A">
        <w:rPr>
          <w:rFonts w:eastAsia="Times New Roman"/>
          <w:color w:val="000000"/>
          <w:lang w:eastAsia="hu-HU"/>
        </w:rPr>
        <w:t>12. Gyártási idő (év, hónap, nap), eltarthatóság</w:t>
      </w:r>
      <w:r w:rsidRPr="00465B2A">
        <w:t xml:space="preserve"> a gyártó által adott gyártási számot, vagy a tétel azonosítására alkalmas jelölést</w:t>
      </w:r>
      <w:r w:rsidRPr="00465B2A">
        <w:rPr>
          <w:rFonts w:eastAsia="Times New Roman"/>
          <w:color w:val="000000"/>
          <w:lang w:eastAsia="hu-HU"/>
        </w:rPr>
        <w:t>.”</w:t>
      </w:r>
    </w:p>
    <w:p w:rsidR="006B54F9" w:rsidRPr="00465B2A" w:rsidRDefault="006B54F9" w:rsidP="006B346D">
      <w:pPr>
        <w:autoSpaceDE w:val="0"/>
        <w:autoSpaceDN w:val="0"/>
        <w:adjustRightInd w:val="0"/>
        <w:spacing w:after="0" w:line="240" w:lineRule="auto"/>
        <w:jc w:val="both"/>
        <w:rPr>
          <w:rFonts w:eastAsia="Times New Roman"/>
          <w:color w:val="000000"/>
          <w:lang w:eastAsia="hu-HU"/>
        </w:rPr>
      </w:pPr>
    </w:p>
    <w:p w:rsidR="00FB3664" w:rsidRPr="00465B2A" w:rsidRDefault="006B54F9" w:rsidP="006B346D">
      <w:pPr>
        <w:autoSpaceDE w:val="0"/>
        <w:autoSpaceDN w:val="0"/>
        <w:adjustRightInd w:val="0"/>
        <w:spacing w:after="0" w:line="240" w:lineRule="auto"/>
        <w:jc w:val="both"/>
        <w:rPr>
          <w:rFonts w:cs="Times New Roman"/>
        </w:rPr>
      </w:pPr>
      <w:r w:rsidRPr="00465B2A">
        <w:rPr>
          <w:rFonts w:eastAsia="Times New Roman"/>
          <w:color w:val="000000"/>
          <w:lang w:eastAsia="hu-HU"/>
        </w:rPr>
        <w:t xml:space="preserve">2. </w:t>
      </w:r>
      <w:r w:rsidR="00FB3664" w:rsidRPr="00465B2A">
        <w:rPr>
          <w:rFonts w:cs="Times New Roman"/>
        </w:rPr>
        <w:t>Az R. 4. számú melléklet a következő 17. ponttal egészül ki:</w:t>
      </w:r>
    </w:p>
    <w:p w:rsidR="00FB3664" w:rsidRPr="00465B2A" w:rsidRDefault="00FB3664" w:rsidP="006B346D">
      <w:pPr>
        <w:autoSpaceDE w:val="0"/>
        <w:autoSpaceDN w:val="0"/>
        <w:adjustRightInd w:val="0"/>
        <w:spacing w:after="0" w:line="240" w:lineRule="auto"/>
        <w:jc w:val="both"/>
        <w:rPr>
          <w:rFonts w:cs="Times New Roman"/>
        </w:rPr>
      </w:pPr>
    </w:p>
    <w:p w:rsidR="00FB3664" w:rsidRPr="00465B2A" w:rsidRDefault="00FB3664" w:rsidP="00FB3664">
      <w:pPr>
        <w:spacing w:after="0"/>
      </w:pPr>
      <w:r w:rsidRPr="00465B2A">
        <w:rPr>
          <w:rFonts w:cs="Times New Roman"/>
        </w:rPr>
        <w:t>„</w:t>
      </w:r>
      <w:r w:rsidRPr="00465B2A">
        <w:t>17. A címkén feltüntetett kötelező információk legkisebb betűmérete: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15"/>
        <w:gridCol w:w="1443"/>
        <w:gridCol w:w="1825"/>
        <w:gridCol w:w="1730"/>
      </w:tblGrid>
      <w:tr w:rsidR="005B1AAF" w:rsidRPr="00465B2A" w:rsidTr="005B1AAF">
        <w:tc>
          <w:tcPr>
            <w:tcW w:w="675" w:type="dxa"/>
          </w:tcPr>
          <w:p w:rsidR="005B1AAF" w:rsidRPr="00465B2A" w:rsidRDefault="005B1AAF" w:rsidP="00FB3664">
            <w:pPr>
              <w:spacing w:after="0"/>
            </w:pPr>
          </w:p>
        </w:tc>
        <w:tc>
          <w:tcPr>
            <w:tcW w:w="3615" w:type="dxa"/>
          </w:tcPr>
          <w:p w:rsidR="005B1AAF" w:rsidRPr="00465B2A" w:rsidRDefault="005B1AAF" w:rsidP="005B1AAF">
            <w:pPr>
              <w:spacing w:after="0"/>
              <w:jc w:val="center"/>
            </w:pPr>
            <w:r>
              <w:t>A</w:t>
            </w:r>
          </w:p>
        </w:tc>
        <w:tc>
          <w:tcPr>
            <w:tcW w:w="1443" w:type="dxa"/>
          </w:tcPr>
          <w:p w:rsidR="005B1AAF" w:rsidRPr="00465B2A" w:rsidRDefault="005B1AAF" w:rsidP="005B1AAF">
            <w:pPr>
              <w:spacing w:after="0"/>
              <w:jc w:val="center"/>
            </w:pPr>
            <w:r>
              <w:t>B</w:t>
            </w:r>
          </w:p>
        </w:tc>
        <w:tc>
          <w:tcPr>
            <w:tcW w:w="1825" w:type="dxa"/>
          </w:tcPr>
          <w:p w:rsidR="005B1AAF" w:rsidRPr="00465B2A" w:rsidRDefault="005B1AAF" w:rsidP="005B1AAF">
            <w:pPr>
              <w:spacing w:after="0"/>
              <w:jc w:val="center"/>
            </w:pPr>
            <w:r>
              <w:t>C</w:t>
            </w:r>
          </w:p>
        </w:tc>
        <w:tc>
          <w:tcPr>
            <w:tcW w:w="1730" w:type="dxa"/>
          </w:tcPr>
          <w:p w:rsidR="005B1AAF" w:rsidRPr="00465B2A" w:rsidRDefault="005B1AAF" w:rsidP="005B1AAF">
            <w:pPr>
              <w:spacing w:after="0"/>
              <w:jc w:val="center"/>
            </w:pPr>
            <w:r>
              <w:t>D</w:t>
            </w:r>
          </w:p>
        </w:tc>
      </w:tr>
      <w:tr w:rsidR="005B1AAF" w:rsidRPr="00465B2A" w:rsidTr="005B1AAF">
        <w:tc>
          <w:tcPr>
            <w:tcW w:w="675" w:type="dxa"/>
          </w:tcPr>
          <w:p w:rsidR="005B1AAF" w:rsidRPr="00465B2A" w:rsidRDefault="005B1AAF" w:rsidP="005B1AAF">
            <w:pPr>
              <w:spacing w:after="0"/>
              <w:jc w:val="center"/>
            </w:pPr>
            <w:r>
              <w:t>1.</w:t>
            </w:r>
          </w:p>
        </w:tc>
        <w:tc>
          <w:tcPr>
            <w:tcW w:w="3615" w:type="dxa"/>
          </w:tcPr>
          <w:p w:rsidR="005B1AAF" w:rsidRPr="00465B2A" w:rsidRDefault="005B1AAF" w:rsidP="00FB3664">
            <w:pPr>
              <w:spacing w:after="0"/>
            </w:pPr>
            <w:r w:rsidRPr="00465B2A">
              <w:t>kiszerelés (kg vagy liter)</w:t>
            </w:r>
          </w:p>
        </w:tc>
        <w:tc>
          <w:tcPr>
            <w:tcW w:w="1443" w:type="dxa"/>
          </w:tcPr>
          <w:p w:rsidR="005B1AAF" w:rsidRPr="00465B2A" w:rsidRDefault="005B1AAF" w:rsidP="00FB3664">
            <w:pPr>
              <w:spacing w:after="0"/>
              <w:jc w:val="center"/>
            </w:pPr>
            <w:r w:rsidRPr="00465B2A">
              <w:t>0 ≤</w:t>
            </w:r>
            <w:proofErr w:type="spellStart"/>
            <w:r w:rsidRPr="00465B2A">
              <w:t>0</w:t>
            </w:r>
            <w:proofErr w:type="spellEnd"/>
            <w:r w:rsidRPr="00465B2A">
              <w:t>,5</w:t>
            </w:r>
          </w:p>
        </w:tc>
        <w:tc>
          <w:tcPr>
            <w:tcW w:w="1825" w:type="dxa"/>
          </w:tcPr>
          <w:p w:rsidR="005B1AAF" w:rsidRPr="00465B2A" w:rsidRDefault="005B1AAF" w:rsidP="00FB3664">
            <w:pPr>
              <w:spacing w:after="0"/>
              <w:jc w:val="center"/>
            </w:pPr>
            <w:r w:rsidRPr="00465B2A">
              <w:t>0,5&lt;2</w:t>
            </w:r>
          </w:p>
        </w:tc>
        <w:tc>
          <w:tcPr>
            <w:tcW w:w="1730" w:type="dxa"/>
          </w:tcPr>
          <w:p w:rsidR="005B1AAF" w:rsidRPr="00465B2A" w:rsidRDefault="005B1AAF" w:rsidP="00FB3664">
            <w:pPr>
              <w:spacing w:after="0"/>
              <w:jc w:val="center"/>
            </w:pPr>
            <w:r w:rsidRPr="00465B2A">
              <w:t>2≤</w:t>
            </w:r>
          </w:p>
        </w:tc>
      </w:tr>
      <w:tr w:rsidR="005B1AAF" w:rsidRPr="00465B2A" w:rsidTr="005B1AAF">
        <w:tc>
          <w:tcPr>
            <w:tcW w:w="675" w:type="dxa"/>
          </w:tcPr>
          <w:p w:rsidR="005B1AAF" w:rsidRPr="00465B2A" w:rsidRDefault="005B1AAF" w:rsidP="005B1AAF">
            <w:pPr>
              <w:spacing w:after="0"/>
              <w:jc w:val="center"/>
            </w:pPr>
            <w:r>
              <w:t>2.</w:t>
            </w:r>
          </w:p>
        </w:tc>
        <w:tc>
          <w:tcPr>
            <w:tcW w:w="3615" w:type="dxa"/>
          </w:tcPr>
          <w:p w:rsidR="005B1AAF" w:rsidRPr="00465B2A" w:rsidRDefault="005B1AAF" w:rsidP="00FB3664">
            <w:pPr>
              <w:spacing w:after="0"/>
            </w:pPr>
            <w:r w:rsidRPr="00465B2A">
              <w:t>betűméret minimum</w:t>
            </w:r>
          </w:p>
        </w:tc>
        <w:tc>
          <w:tcPr>
            <w:tcW w:w="1443" w:type="dxa"/>
          </w:tcPr>
          <w:p w:rsidR="005B1AAF" w:rsidRPr="00465B2A" w:rsidRDefault="005B1AAF" w:rsidP="00FB3664">
            <w:pPr>
              <w:spacing w:after="0"/>
              <w:jc w:val="center"/>
            </w:pPr>
            <w:r w:rsidRPr="00465B2A">
              <w:t>8</w:t>
            </w:r>
          </w:p>
        </w:tc>
        <w:tc>
          <w:tcPr>
            <w:tcW w:w="1825" w:type="dxa"/>
          </w:tcPr>
          <w:p w:rsidR="005B1AAF" w:rsidRPr="00465B2A" w:rsidRDefault="005B1AAF" w:rsidP="00FB3664">
            <w:pPr>
              <w:spacing w:after="0"/>
              <w:jc w:val="center"/>
            </w:pPr>
            <w:r w:rsidRPr="00465B2A">
              <w:t>10</w:t>
            </w:r>
          </w:p>
        </w:tc>
        <w:tc>
          <w:tcPr>
            <w:tcW w:w="1730" w:type="dxa"/>
          </w:tcPr>
          <w:p w:rsidR="005B1AAF" w:rsidRPr="00465B2A" w:rsidRDefault="005B1AAF" w:rsidP="00FB3664">
            <w:pPr>
              <w:spacing w:after="0"/>
              <w:jc w:val="center"/>
            </w:pPr>
            <w:r w:rsidRPr="00465B2A">
              <w:t>12</w:t>
            </w:r>
          </w:p>
        </w:tc>
      </w:tr>
    </w:tbl>
    <w:p w:rsidR="00FB3664" w:rsidRPr="006B54F9" w:rsidRDefault="00FB3664" w:rsidP="00FB3664">
      <w:pPr>
        <w:autoSpaceDE w:val="0"/>
        <w:autoSpaceDN w:val="0"/>
        <w:adjustRightInd w:val="0"/>
        <w:spacing w:after="0" w:line="240" w:lineRule="auto"/>
        <w:jc w:val="both"/>
        <w:rPr>
          <w:rFonts w:cs="Times New Roman"/>
        </w:rPr>
      </w:pPr>
      <w:r w:rsidRPr="00465B2A">
        <w:rPr>
          <w:rFonts w:cs="Times New Roman"/>
        </w:rPr>
        <w:t>”</w:t>
      </w:r>
    </w:p>
    <w:sectPr w:rsidR="00FB3664" w:rsidRPr="006B54F9" w:rsidSect="0041568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CC0" w:rsidRDefault="00B83CC0" w:rsidP="00441138">
      <w:pPr>
        <w:spacing w:after="0" w:line="240" w:lineRule="auto"/>
      </w:pPr>
      <w:r>
        <w:separator/>
      </w:r>
    </w:p>
  </w:endnote>
  <w:endnote w:type="continuationSeparator" w:id="0">
    <w:p w:rsidR="00B83CC0" w:rsidRDefault="00B83CC0" w:rsidP="00441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FA4" w:rsidRDefault="00091FA4">
    <w:pPr>
      <w:pStyle w:val="llb"/>
      <w:jc w:val="center"/>
    </w:pPr>
  </w:p>
  <w:p w:rsidR="00091FA4" w:rsidRDefault="00B83CC0">
    <w:pPr>
      <w:pStyle w:val="llb"/>
      <w:jc w:val="center"/>
    </w:pPr>
    <w:sdt>
      <w:sdtPr>
        <w:id w:val="-345331804"/>
        <w:docPartObj>
          <w:docPartGallery w:val="Page Numbers (Bottom of Page)"/>
          <w:docPartUnique/>
        </w:docPartObj>
      </w:sdtPr>
      <w:sdtEndPr/>
      <w:sdtContent>
        <w:r w:rsidR="00091FA4">
          <w:fldChar w:fldCharType="begin"/>
        </w:r>
        <w:r w:rsidR="00091FA4">
          <w:instrText>PAGE   \* MERGEFORMAT</w:instrText>
        </w:r>
        <w:r w:rsidR="00091FA4">
          <w:fldChar w:fldCharType="separate"/>
        </w:r>
        <w:r w:rsidR="005A2673">
          <w:rPr>
            <w:noProof/>
          </w:rPr>
          <w:t>2</w:t>
        </w:r>
        <w:r w:rsidR="00091FA4">
          <w:fldChar w:fldCharType="end"/>
        </w:r>
      </w:sdtContent>
    </w:sdt>
  </w:p>
  <w:p w:rsidR="00B55E36" w:rsidRDefault="00B55E3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CC0" w:rsidRDefault="00B83CC0" w:rsidP="00441138">
      <w:pPr>
        <w:spacing w:after="0" w:line="240" w:lineRule="auto"/>
      </w:pPr>
      <w:r>
        <w:separator/>
      </w:r>
    </w:p>
  </w:footnote>
  <w:footnote w:type="continuationSeparator" w:id="0">
    <w:p w:rsidR="00B83CC0" w:rsidRDefault="00B83CC0" w:rsidP="004411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3647D"/>
    <w:multiLevelType w:val="multilevel"/>
    <w:tmpl w:val="DCBA7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F7E84"/>
    <w:multiLevelType w:val="hybridMultilevel"/>
    <w:tmpl w:val="233055D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8E56827"/>
    <w:multiLevelType w:val="multilevel"/>
    <w:tmpl w:val="D7A8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70E05"/>
    <w:multiLevelType w:val="hybridMultilevel"/>
    <w:tmpl w:val="C5FCE2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3BF29DD"/>
    <w:multiLevelType w:val="hybridMultilevel"/>
    <w:tmpl w:val="047C643E"/>
    <w:lvl w:ilvl="0" w:tplc="81E4AD0A">
      <w:start w:val="1"/>
      <w:numFmt w:val="lowerLetter"/>
      <w:lvlText w:val="%1)"/>
      <w:lvlJc w:val="left"/>
      <w:pPr>
        <w:ind w:left="1069" w:hanging="360"/>
      </w:pPr>
      <w:rPr>
        <w:rFonts w:cs="Times New Roman"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nsid w:val="188C5E14"/>
    <w:multiLevelType w:val="multilevel"/>
    <w:tmpl w:val="002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68648A"/>
    <w:multiLevelType w:val="multilevel"/>
    <w:tmpl w:val="7D56B6A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nsid w:val="1E6A043E"/>
    <w:multiLevelType w:val="hybridMultilevel"/>
    <w:tmpl w:val="CC8241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54B5E78"/>
    <w:multiLevelType w:val="hybridMultilevel"/>
    <w:tmpl w:val="6774503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79650C7"/>
    <w:multiLevelType w:val="hybridMultilevel"/>
    <w:tmpl w:val="E35E2BCE"/>
    <w:lvl w:ilvl="0" w:tplc="C5FCD848">
      <w:numFmt w:val="bullet"/>
      <w:lvlText w:val=""/>
      <w:lvlJc w:val="left"/>
      <w:pPr>
        <w:ind w:left="720" w:hanging="360"/>
      </w:pPr>
      <w:rPr>
        <w:rFonts w:ascii="Wingdings" w:eastAsia="Calibri" w:hAnsi="Wingdings" w:cs="EUAlbertin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82A2035"/>
    <w:multiLevelType w:val="hybridMultilevel"/>
    <w:tmpl w:val="8028070E"/>
    <w:lvl w:ilvl="0" w:tplc="76B45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C7624F"/>
    <w:multiLevelType w:val="hybridMultilevel"/>
    <w:tmpl w:val="5FCEE23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A8F6FAD"/>
    <w:multiLevelType w:val="hybridMultilevel"/>
    <w:tmpl w:val="8028070E"/>
    <w:lvl w:ilvl="0" w:tplc="76B45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1E137C4"/>
    <w:multiLevelType w:val="multilevel"/>
    <w:tmpl w:val="52FC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E42550"/>
    <w:multiLevelType w:val="multilevel"/>
    <w:tmpl w:val="428A1BEC"/>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339B6FBB"/>
    <w:multiLevelType w:val="hybridMultilevel"/>
    <w:tmpl w:val="E06C37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3C838D2"/>
    <w:multiLevelType w:val="multilevel"/>
    <w:tmpl w:val="0B82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FD4CF1"/>
    <w:multiLevelType w:val="multilevel"/>
    <w:tmpl w:val="0298E3D4"/>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3783502C"/>
    <w:multiLevelType w:val="hybridMultilevel"/>
    <w:tmpl w:val="8028070E"/>
    <w:lvl w:ilvl="0" w:tplc="76B45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C0A1360"/>
    <w:multiLevelType w:val="hybridMultilevel"/>
    <w:tmpl w:val="AD320BE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5C43D7D"/>
    <w:multiLevelType w:val="multilevel"/>
    <w:tmpl w:val="3A36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5327BD"/>
    <w:multiLevelType w:val="multilevel"/>
    <w:tmpl w:val="60C6E990"/>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477A5060"/>
    <w:multiLevelType w:val="multilevel"/>
    <w:tmpl w:val="68E81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8D43C7F"/>
    <w:multiLevelType w:val="hybridMultilevel"/>
    <w:tmpl w:val="B03EA980"/>
    <w:lvl w:ilvl="0" w:tplc="1FA8CA76">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4">
    <w:nsid w:val="496C7639"/>
    <w:multiLevelType w:val="multilevel"/>
    <w:tmpl w:val="8DA6C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92558A"/>
    <w:multiLevelType w:val="hybridMultilevel"/>
    <w:tmpl w:val="8028070E"/>
    <w:lvl w:ilvl="0" w:tplc="76B45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0440AC6"/>
    <w:multiLevelType w:val="hybridMultilevel"/>
    <w:tmpl w:val="EB1649F6"/>
    <w:lvl w:ilvl="0" w:tplc="24867A52">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3274BEB"/>
    <w:multiLevelType w:val="hybridMultilevel"/>
    <w:tmpl w:val="D8D2ACA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88957A6"/>
    <w:multiLevelType w:val="multilevel"/>
    <w:tmpl w:val="92C04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B30087"/>
    <w:multiLevelType w:val="multilevel"/>
    <w:tmpl w:val="E8B0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D0487F"/>
    <w:multiLevelType w:val="hybridMultilevel"/>
    <w:tmpl w:val="15D03B52"/>
    <w:lvl w:ilvl="0" w:tplc="31D2B12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nsid w:val="60D217B2"/>
    <w:multiLevelType w:val="hybridMultilevel"/>
    <w:tmpl w:val="DA186B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5A70EF1"/>
    <w:multiLevelType w:val="multilevel"/>
    <w:tmpl w:val="DEB4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4B0E60"/>
    <w:multiLevelType w:val="hybridMultilevel"/>
    <w:tmpl w:val="5A7CA3C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7066480F"/>
    <w:multiLevelType w:val="multilevel"/>
    <w:tmpl w:val="6E623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217C17"/>
    <w:multiLevelType w:val="hybridMultilevel"/>
    <w:tmpl w:val="6BA03D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6142893"/>
    <w:multiLevelType w:val="hybridMultilevel"/>
    <w:tmpl w:val="BBF420B4"/>
    <w:lvl w:ilvl="0" w:tplc="B7140C9A">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7">
    <w:nsid w:val="77636DBB"/>
    <w:multiLevelType w:val="multilevel"/>
    <w:tmpl w:val="CE8C8FA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nsid w:val="781E59C3"/>
    <w:multiLevelType w:val="hybridMultilevel"/>
    <w:tmpl w:val="BC2693DA"/>
    <w:lvl w:ilvl="0" w:tplc="312495E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8467480"/>
    <w:multiLevelType w:val="multilevel"/>
    <w:tmpl w:val="499A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657157"/>
    <w:multiLevelType w:val="hybridMultilevel"/>
    <w:tmpl w:val="C1708CEE"/>
    <w:lvl w:ilvl="0" w:tplc="959E6088">
      <w:start w:val="1"/>
      <w:numFmt w:val="bullet"/>
      <w:lvlText w:val="-"/>
      <w:lvlJc w:val="left"/>
      <w:pPr>
        <w:ind w:left="740" w:hanging="360"/>
      </w:pPr>
      <w:rPr>
        <w:rFonts w:ascii="Times New Roman" w:eastAsia="Times New Roman" w:hAnsi="Times New Roman" w:cs="Times New Roman" w:hint="default"/>
      </w:rPr>
    </w:lvl>
    <w:lvl w:ilvl="1" w:tplc="040E0003" w:tentative="1">
      <w:start w:val="1"/>
      <w:numFmt w:val="bullet"/>
      <w:lvlText w:val="o"/>
      <w:lvlJc w:val="left"/>
      <w:pPr>
        <w:ind w:left="1460" w:hanging="360"/>
      </w:pPr>
      <w:rPr>
        <w:rFonts w:ascii="Courier New" w:hAnsi="Courier New" w:cs="Courier New" w:hint="default"/>
      </w:rPr>
    </w:lvl>
    <w:lvl w:ilvl="2" w:tplc="040E0005" w:tentative="1">
      <w:start w:val="1"/>
      <w:numFmt w:val="bullet"/>
      <w:lvlText w:val=""/>
      <w:lvlJc w:val="left"/>
      <w:pPr>
        <w:ind w:left="2180" w:hanging="360"/>
      </w:pPr>
      <w:rPr>
        <w:rFonts w:ascii="Wingdings" w:hAnsi="Wingdings" w:hint="default"/>
      </w:rPr>
    </w:lvl>
    <w:lvl w:ilvl="3" w:tplc="040E0001" w:tentative="1">
      <w:start w:val="1"/>
      <w:numFmt w:val="bullet"/>
      <w:lvlText w:val=""/>
      <w:lvlJc w:val="left"/>
      <w:pPr>
        <w:ind w:left="2900" w:hanging="360"/>
      </w:pPr>
      <w:rPr>
        <w:rFonts w:ascii="Symbol" w:hAnsi="Symbol" w:hint="default"/>
      </w:rPr>
    </w:lvl>
    <w:lvl w:ilvl="4" w:tplc="040E0003" w:tentative="1">
      <w:start w:val="1"/>
      <w:numFmt w:val="bullet"/>
      <w:lvlText w:val="o"/>
      <w:lvlJc w:val="left"/>
      <w:pPr>
        <w:ind w:left="3620" w:hanging="360"/>
      </w:pPr>
      <w:rPr>
        <w:rFonts w:ascii="Courier New" w:hAnsi="Courier New" w:cs="Courier New" w:hint="default"/>
      </w:rPr>
    </w:lvl>
    <w:lvl w:ilvl="5" w:tplc="040E0005" w:tentative="1">
      <w:start w:val="1"/>
      <w:numFmt w:val="bullet"/>
      <w:lvlText w:val=""/>
      <w:lvlJc w:val="left"/>
      <w:pPr>
        <w:ind w:left="4340" w:hanging="360"/>
      </w:pPr>
      <w:rPr>
        <w:rFonts w:ascii="Wingdings" w:hAnsi="Wingdings" w:hint="default"/>
      </w:rPr>
    </w:lvl>
    <w:lvl w:ilvl="6" w:tplc="040E0001" w:tentative="1">
      <w:start w:val="1"/>
      <w:numFmt w:val="bullet"/>
      <w:lvlText w:val=""/>
      <w:lvlJc w:val="left"/>
      <w:pPr>
        <w:ind w:left="5060" w:hanging="360"/>
      </w:pPr>
      <w:rPr>
        <w:rFonts w:ascii="Symbol" w:hAnsi="Symbol" w:hint="default"/>
      </w:rPr>
    </w:lvl>
    <w:lvl w:ilvl="7" w:tplc="040E0003" w:tentative="1">
      <w:start w:val="1"/>
      <w:numFmt w:val="bullet"/>
      <w:lvlText w:val="o"/>
      <w:lvlJc w:val="left"/>
      <w:pPr>
        <w:ind w:left="5780" w:hanging="360"/>
      </w:pPr>
      <w:rPr>
        <w:rFonts w:ascii="Courier New" w:hAnsi="Courier New" w:cs="Courier New" w:hint="default"/>
      </w:rPr>
    </w:lvl>
    <w:lvl w:ilvl="8" w:tplc="040E0005" w:tentative="1">
      <w:start w:val="1"/>
      <w:numFmt w:val="bullet"/>
      <w:lvlText w:val=""/>
      <w:lvlJc w:val="left"/>
      <w:pPr>
        <w:ind w:left="6500" w:hanging="360"/>
      </w:pPr>
      <w:rPr>
        <w:rFonts w:ascii="Wingdings" w:hAnsi="Wingdings" w:hint="default"/>
      </w:rPr>
    </w:lvl>
  </w:abstractNum>
  <w:abstractNum w:abstractNumId="41">
    <w:nsid w:val="7C4376C3"/>
    <w:multiLevelType w:val="multilevel"/>
    <w:tmpl w:val="E0F25E1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nsid w:val="7CB175A9"/>
    <w:multiLevelType w:val="hybridMultilevel"/>
    <w:tmpl w:val="813656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7E513A2A"/>
    <w:multiLevelType w:val="multilevel"/>
    <w:tmpl w:val="4F1A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41"/>
  </w:num>
  <w:num w:numId="3">
    <w:abstractNumId w:val="6"/>
  </w:num>
  <w:num w:numId="4">
    <w:abstractNumId w:val="13"/>
  </w:num>
  <w:num w:numId="5">
    <w:abstractNumId w:val="2"/>
  </w:num>
  <w:num w:numId="6">
    <w:abstractNumId w:val="5"/>
  </w:num>
  <w:num w:numId="7">
    <w:abstractNumId w:val="32"/>
  </w:num>
  <w:num w:numId="8">
    <w:abstractNumId w:val="34"/>
  </w:num>
  <w:num w:numId="9">
    <w:abstractNumId w:val="29"/>
  </w:num>
  <w:num w:numId="10">
    <w:abstractNumId w:val="22"/>
  </w:num>
  <w:num w:numId="11">
    <w:abstractNumId w:val="37"/>
  </w:num>
  <w:num w:numId="12">
    <w:abstractNumId w:val="28"/>
  </w:num>
  <w:num w:numId="13">
    <w:abstractNumId w:val="17"/>
  </w:num>
  <w:num w:numId="14">
    <w:abstractNumId w:val="39"/>
  </w:num>
  <w:num w:numId="15">
    <w:abstractNumId w:val="20"/>
  </w:num>
  <w:num w:numId="16">
    <w:abstractNumId w:val="16"/>
  </w:num>
  <w:num w:numId="17">
    <w:abstractNumId w:val="14"/>
  </w:num>
  <w:num w:numId="18">
    <w:abstractNumId w:val="21"/>
  </w:num>
  <w:num w:numId="19">
    <w:abstractNumId w:val="43"/>
  </w:num>
  <w:num w:numId="20">
    <w:abstractNumId w:val="0"/>
  </w:num>
  <w:num w:numId="21">
    <w:abstractNumId w:val="24"/>
  </w:num>
  <w:num w:numId="22">
    <w:abstractNumId w:val="12"/>
  </w:num>
  <w:num w:numId="23">
    <w:abstractNumId w:val="18"/>
  </w:num>
  <w:num w:numId="24">
    <w:abstractNumId w:val="25"/>
  </w:num>
  <w:num w:numId="25">
    <w:abstractNumId w:val="10"/>
  </w:num>
  <w:num w:numId="26">
    <w:abstractNumId w:val="1"/>
  </w:num>
  <w:num w:numId="27">
    <w:abstractNumId w:val="23"/>
  </w:num>
  <w:num w:numId="28">
    <w:abstractNumId w:val="42"/>
  </w:num>
  <w:num w:numId="29">
    <w:abstractNumId w:val="27"/>
  </w:num>
  <w:num w:numId="30">
    <w:abstractNumId w:val="30"/>
  </w:num>
  <w:num w:numId="31">
    <w:abstractNumId w:val="36"/>
  </w:num>
  <w:num w:numId="32">
    <w:abstractNumId w:val="9"/>
  </w:num>
  <w:num w:numId="33">
    <w:abstractNumId w:val="4"/>
  </w:num>
  <w:num w:numId="34">
    <w:abstractNumId w:val="3"/>
  </w:num>
  <w:num w:numId="35">
    <w:abstractNumId w:val="19"/>
  </w:num>
  <w:num w:numId="36">
    <w:abstractNumId w:val="8"/>
  </w:num>
  <w:num w:numId="37">
    <w:abstractNumId w:val="26"/>
  </w:num>
  <w:num w:numId="38">
    <w:abstractNumId w:val="15"/>
  </w:num>
  <w:num w:numId="39">
    <w:abstractNumId w:val="35"/>
  </w:num>
  <w:num w:numId="40">
    <w:abstractNumId w:val="38"/>
  </w:num>
  <w:num w:numId="41">
    <w:abstractNumId w:val="31"/>
  </w:num>
  <w:num w:numId="42">
    <w:abstractNumId w:val="7"/>
  </w:num>
  <w:num w:numId="43">
    <w:abstractNumId w:val="40"/>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61B"/>
    <w:rsid w:val="00000114"/>
    <w:rsid w:val="00000D7B"/>
    <w:rsid w:val="000012F0"/>
    <w:rsid w:val="0000488C"/>
    <w:rsid w:val="0000520D"/>
    <w:rsid w:val="000065D8"/>
    <w:rsid w:val="00007382"/>
    <w:rsid w:val="0001115B"/>
    <w:rsid w:val="00011331"/>
    <w:rsid w:val="0001196F"/>
    <w:rsid w:val="0001328A"/>
    <w:rsid w:val="00013917"/>
    <w:rsid w:val="00013920"/>
    <w:rsid w:val="0001404E"/>
    <w:rsid w:val="000146AF"/>
    <w:rsid w:val="00015789"/>
    <w:rsid w:val="00024AB0"/>
    <w:rsid w:val="00025861"/>
    <w:rsid w:val="00031002"/>
    <w:rsid w:val="00031441"/>
    <w:rsid w:val="0003166C"/>
    <w:rsid w:val="0004132B"/>
    <w:rsid w:val="0004203D"/>
    <w:rsid w:val="00044249"/>
    <w:rsid w:val="0004506B"/>
    <w:rsid w:val="00046711"/>
    <w:rsid w:val="00052A0E"/>
    <w:rsid w:val="000542AE"/>
    <w:rsid w:val="0005506B"/>
    <w:rsid w:val="000607EA"/>
    <w:rsid w:val="00063E5C"/>
    <w:rsid w:val="00064C2E"/>
    <w:rsid w:val="00064E32"/>
    <w:rsid w:val="00070D2C"/>
    <w:rsid w:val="00071FD9"/>
    <w:rsid w:val="000720DD"/>
    <w:rsid w:val="000742C4"/>
    <w:rsid w:val="000744F9"/>
    <w:rsid w:val="00075249"/>
    <w:rsid w:val="000761C3"/>
    <w:rsid w:val="0007684F"/>
    <w:rsid w:val="00076AA9"/>
    <w:rsid w:val="00076CED"/>
    <w:rsid w:val="0008006E"/>
    <w:rsid w:val="000815D7"/>
    <w:rsid w:val="000817AD"/>
    <w:rsid w:val="00081D23"/>
    <w:rsid w:val="000840B1"/>
    <w:rsid w:val="0008600B"/>
    <w:rsid w:val="00090663"/>
    <w:rsid w:val="00091FA4"/>
    <w:rsid w:val="000946D6"/>
    <w:rsid w:val="000950A5"/>
    <w:rsid w:val="000A19E2"/>
    <w:rsid w:val="000A1CB0"/>
    <w:rsid w:val="000A4E89"/>
    <w:rsid w:val="000B4AAD"/>
    <w:rsid w:val="000B5F0C"/>
    <w:rsid w:val="000B6498"/>
    <w:rsid w:val="000C209C"/>
    <w:rsid w:val="000C3175"/>
    <w:rsid w:val="000C4F28"/>
    <w:rsid w:val="000C52D2"/>
    <w:rsid w:val="000D153A"/>
    <w:rsid w:val="000D178D"/>
    <w:rsid w:val="000D3856"/>
    <w:rsid w:val="000D3F23"/>
    <w:rsid w:val="000D40EE"/>
    <w:rsid w:val="000D4A63"/>
    <w:rsid w:val="000D5917"/>
    <w:rsid w:val="000D5998"/>
    <w:rsid w:val="000D6518"/>
    <w:rsid w:val="000D6B09"/>
    <w:rsid w:val="000E0E7D"/>
    <w:rsid w:val="000E13D9"/>
    <w:rsid w:val="000E1AC2"/>
    <w:rsid w:val="000E3889"/>
    <w:rsid w:val="000E57E0"/>
    <w:rsid w:val="000E68B9"/>
    <w:rsid w:val="000F00BB"/>
    <w:rsid w:val="000F01A6"/>
    <w:rsid w:val="000F1DE6"/>
    <w:rsid w:val="000F27C9"/>
    <w:rsid w:val="000F3BF9"/>
    <w:rsid w:val="000F5BAC"/>
    <w:rsid w:val="000F60D0"/>
    <w:rsid w:val="000F634F"/>
    <w:rsid w:val="00103E54"/>
    <w:rsid w:val="00103F8D"/>
    <w:rsid w:val="00105D77"/>
    <w:rsid w:val="00105E6E"/>
    <w:rsid w:val="00105FCC"/>
    <w:rsid w:val="00107F3F"/>
    <w:rsid w:val="00110147"/>
    <w:rsid w:val="00110D45"/>
    <w:rsid w:val="00110E3C"/>
    <w:rsid w:val="00110EFD"/>
    <w:rsid w:val="00113531"/>
    <w:rsid w:val="001156C7"/>
    <w:rsid w:val="001168A8"/>
    <w:rsid w:val="001232EB"/>
    <w:rsid w:val="00123EFB"/>
    <w:rsid w:val="00124000"/>
    <w:rsid w:val="00124AE1"/>
    <w:rsid w:val="00125405"/>
    <w:rsid w:val="00126E28"/>
    <w:rsid w:val="0012707F"/>
    <w:rsid w:val="0013132A"/>
    <w:rsid w:val="001336C0"/>
    <w:rsid w:val="00136171"/>
    <w:rsid w:val="00137992"/>
    <w:rsid w:val="00137FDC"/>
    <w:rsid w:val="001403BB"/>
    <w:rsid w:val="001417EB"/>
    <w:rsid w:val="00142594"/>
    <w:rsid w:val="00144D64"/>
    <w:rsid w:val="001477DA"/>
    <w:rsid w:val="00150872"/>
    <w:rsid w:val="0015109E"/>
    <w:rsid w:val="001511E3"/>
    <w:rsid w:val="00153032"/>
    <w:rsid w:val="0015419D"/>
    <w:rsid w:val="0015427B"/>
    <w:rsid w:val="00160EC6"/>
    <w:rsid w:val="00162C1E"/>
    <w:rsid w:val="00162DBD"/>
    <w:rsid w:val="00164DB8"/>
    <w:rsid w:val="00165611"/>
    <w:rsid w:val="00166EB7"/>
    <w:rsid w:val="00166F1F"/>
    <w:rsid w:val="00173449"/>
    <w:rsid w:val="001736E5"/>
    <w:rsid w:val="00175BCB"/>
    <w:rsid w:val="0017700D"/>
    <w:rsid w:val="00182413"/>
    <w:rsid w:val="001827C0"/>
    <w:rsid w:val="001832AE"/>
    <w:rsid w:val="001835C3"/>
    <w:rsid w:val="00186CC1"/>
    <w:rsid w:val="00186D5D"/>
    <w:rsid w:val="0019235D"/>
    <w:rsid w:val="00193A28"/>
    <w:rsid w:val="00196134"/>
    <w:rsid w:val="00196E6C"/>
    <w:rsid w:val="001A0716"/>
    <w:rsid w:val="001A2120"/>
    <w:rsid w:val="001A2301"/>
    <w:rsid w:val="001A3E59"/>
    <w:rsid w:val="001A427B"/>
    <w:rsid w:val="001A7CC5"/>
    <w:rsid w:val="001B1C92"/>
    <w:rsid w:val="001B1E53"/>
    <w:rsid w:val="001B28FD"/>
    <w:rsid w:val="001B39AE"/>
    <w:rsid w:val="001B4FE3"/>
    <w:rsid w:val="001B5553"/>
    <w:rsid w:val="001B651C"/>
    <w:rsid w:val="001B68D8"/>
    <w:rsid w:val="001B745A"/>
    <w:rsid w:val="001C0534"/>
    <w:rsid w:val="001C0F8E"/>
    <w:rsid w:val="001C1CB8"/>
    <w:rsid w:val="001C2327"/>
    <w:rsid w:val="001C4C6B"/>
    <w:rsid w:val="001C4CC7"/>
    <w:rsid w:val="001C546F"/>
    <w:rsid w:val="001C73D6"/>
    <w:rsid w:val="001C7533"/>
    <w:rsid w:val="001C779B"/>
    <w:rsid w:val="001C78C6"/>
    <w:rsid w:val="001D0B70"/>
    <w:rsid w:val="001D266D"/>
    <w:rsid w:val="001D5DC5"/>
    <w:rsid w:val="001E038D"/>
    <w:rsid w:val="001E0E11"/>
    <w:rsid w:val="001E0F18"/>
    <w:rsid w:val="001E1007"/>
    <w:rsid w:val="001E1137"/>
    <w:rsid w:val="001E191C"/>
    <w:rsid w:val="001E2C1E"/>
    <w:rsid w:val="001E3506"/>
    <w:rsid w:val="001E6310"/>
    <w:rsid w:val="001E6B34"/>
    <w:rsid w:val="001F0506"/>
    <w:rsid w:val="001F15BF"/>
    <w:rsid w:val="001F160A"/>
    <w:rsid w:val="001F2296"/>
    <w:rsid w:val="001F35D6"/>
    <w:rsid w:val="001F36DE"/>
    <w:rsid w:val="002002CE"/>
    <w:rsid w:val="002017C2"/>
    <w:rsid w:val="00201E46"/>
    <w:rsid w:val="00202614"/>
    <w:rsid w:val="00202A3F"/>
    <w:rsid w:val="00202B22"/>
    <w:rsid w:val="00205445"/>
    <w:rsid w:val="00214AE5"/>
    <w:rsid w:val="00216BE1"/>
    <w:rsid w:val="002200BE"/>
    <w:rsid w:val="00223279"/>
    <w:rsid w:val="00226F06"/>
    <w:rsid w:val="00231000"/>
    <w:rsid w:val="00233298"/>
    <w:rsid w:val="002338B9"/>
    <w:rsid w:val="002346D3"/>
    <w:rsid w:val="0023484F"/>
    <w:rsid w:val="00236304"/>
    <w:rsid w:val="002368F4"/>
    <w:rsid w:val="00242754"/>
    <w:rsid w:val="002432C9"/>
    <w:rsid w:val="00246E1E"/>
    <w:rsid w:val="002474B6"/>
    <w:rsid w:val="00251076"/>
    <w:rsid w:val="0025212F"/>
    <w:rsid w:val="00254AD1"/>
    <w:rsid w:val="00256569"/>
    <w:rsid w:val="002576DE"/>
    <w:rsid w:val="00260D1D"/>
    <w:rsid w:val="00261E04"/>
    <w:rsid w:val="00262E57"/>
    <w:rsid w:val="00263DEF"/>
    <w:rsid w:val="002642B8"/>
    <w:rsid w:val="002645BE"/>
    <w:rsid w:val="00264D1A"/>
    <w:rsid w:val="00270F46"/>
    <w:rsid w:val="002711DF"/>
    <w:rsid w:val="00271438"/>
    <w:rsid w:val="0027405B"/>
    <w:rsid w:val="00275DDE"/>
    <w:rsid w:val="00276671"/>
    <w:rsid w:val="002769C0"/>
    <w:rsid w:val="0027703B"/>
    <w:rsid w:val="00277C9F"/>
    <w:rsid w:val="00280943"/>
    <w:rsid w:val="002814A0"/>
    <w:rsid w:val="00284C51"/>
    <w:rsid w:val="00287EC5"/>
    <w:rsid w:val="002935F2"/>
    <w:rsid w:val="0029449C"/>
    <w:rsid w:val="00295B69"/>
    <w:rsid w:val="00295ED0"/>
    <w:rsid w:val="002A3D99"/>
    <w:rsid w:val="002A4B5C"/>
    <w:rsid w:val="002A5521"/>
    <w:rsid w:val="002A74C8"/>
    <w:rsid w:val="002A7AC3"/>
    <w:rsid w:val="002B0963"/>
    <w:rsid w:val="002B2BEA"/>
    <w:rsid w:val="002B41F7"/>
    <w:rsid w:val="002B497F"/>
    <w:rsid w:val="002B63FC"/>
    <w:rsid w:val="002B7A14"/>
    <w:rsid w:val="002C16B3"/>
    <w:rsid w:val="002C5285"/>
    <w:rsid w:val="002C5DBE"/>
    <w:rsid w:val="002C6830"/>
    <w:rsid w:val="002C700D"/>
    <w:rsid w:val="002D0803"/>
    <w:rsid w:val="002D264F"/>
    <w:rsid w:val="002D4DC7"/>
    <w:rsid w:val="002D56D7"/>
    <w:rsid w:val="002D5B14"/>
    <w:rsid w:val="002D76A3"/>
    <w:rsid w:val="002E1891"/>
    <w:rsid w:val="002E2350"/>
    <w:rsid w:val="002E288C"/>
    <w:rsid w:val="002E2C71"/>
    <w:rsid w:val="002E3B4A"/>
    <w:rsid w:val="002F0043"/>
    <w:rsid w:val="002F08AE"/>
    <w:rsid w:val="002F11D4"/>
    <w:rsid w:val="002F12FE"/>
    <w:rsid w:val="002F2A91"/>
    <w:rsid w:val="002F2B99"/>
    <w:rsid w:val="002F2D32"/>
    <w:rsid w:val="002F2E41"/>
    <w:rsid w:val="002F416A"/>
    <w:rsid w:val="002F5023"/>
    <w:rsid w:val="002F54A6"/>
    <w:rsid w:val="002F5908"/>
    <w:rsid w:val="002F769C"/>
    <w:rsid w:val="0030128D"/>
    <w:rsid w:val="00304427"/>
    <w:rsid w:val="0030669A"/>
    <w:rsid w:val="00310D74"/>
    <w:rsid w:val="00311595"/>
    <w:rsid w:val="00311D6D"/>
    <w:rsid w:val="00314195"/>
    <w:rsid w:val="00315C54"/>
    <w:rsid w:val="00316673"/>
    <w:rsid w:val="003171C6"/>
    <w:rsid w:val="00320372"/>
    <w:rsid w:val="00320E66"/>
    <w:rsid w:val="003234B4"/>
    <w:rsid w:val="00327AFB"/>
    <w:rsid w:val="00327E3C"/>
    <w:rsid w:val="00330661"/>
    <w:rsid w:val="00330F21"/>
    <w:rsid w:val="0033138D"/>
    <w:rsid w:val="00331700"/>
    <w:rsid w:val="003406C0"/>
    <w:rsid w:val="0034220C"/>
    <w:rsid w:val="00343964"/>
    <w:rsid w:val="00343D72"/>
    <w:rsid w:val="003444C3"/>
    <w:rsid w:val="00344775"/>
    <w:rsid w:val="00344DC5"/>
    <w:rsid w:val="003456DB"/>
    <w:rsid w:val="00345C8B"/>
    <w:rsid w:val="00346069"/>
    <w:rsid w:val="00347D4D"/>
    <w:rsid w:val="003505CD"/>
    <w:rsid w:val="00350691"/>
    <w:rsid w:val="00350CBD"/>
    <w:rsid w:val="00350DC3"/>
    <w:rsid w:val="003517F4"/>
    <w:rsid w:val="00351E1B"/>
    <w:rsid w:val="00351F10"/>
    <w:rsid w:val="00352862"/>
    <w:rsid w:val="00352CC8"/>
    <w:rsid w:val="00353801"/>
    <w:rsid w:val="00354E29"/>
    <w:rsid w:val="00356306"/>
    <w:rsid w:val="00357B9D"/>
    <w:rsid w:val="00357F9A"/>
    <w:rsid w:val="00364102"/>
    <w:rsid w:val="00367DDB"/>
    <w:rsid w:val="00370FC9"/>
    <w:rsid w:val="00373E91"/>
    <w:rsid w:val="003758AB"/>
    <w:rsid w:val="003778B8"/>
    <w:rsid w:val="00377B88"/>
    <w:rsid w:val="003804DC"/>
    <w:rsid w:val="0038440D"/>
    <w:rsid w:val="00385EA9"/>
    <w:rsid w:val="0039403F"/>
    <w:rsid w:val="003947AF"/>
    <w:rsid w:val="00397235"/>
    <w:rsid w:val="003A0677"/>
    <w:rsid w:val="003A1B1D"/>
    <w:rsid w:val="003A3415"/>
    <w:rsid w:val="003A3E3D"/>
    <w:rsid w:val="003A420C"/>
    <w:rsid w:val="003A4744"/>
    <w:rsid w:val="003A63C7"/>
    <w:rsid w:val="003B0D71"/>
    <w:rsid w:val="003B40DE"/>
    <w:rsid w:val="003B40F8"/>
    <w:rsid w:val="003B5B13"/>
    <w:rsid w:val="003C37AF"/>
    <w:rsid w:val="003C561F"/>
    <w:rsid w:val="003C7EB6"/>
    <w:rsid w:val="003D18EC"/>
    <w:rsid w:val="003D217C"/>
    <w:rsid w:val="003D33EE"/>
    <w:rsid w:val="003D512D"/>
    <w:rsid w:val="003D6158"/>
    <w:rsid w:val="003E012E"/>
    <w:rsid w:val="003E1672"/>
    <w:rsid w:val="003E1C0A"/>
    <w:rsid w:val="003E34B8"/>
    <w:rsid w:val="003E4069"/>
    <w:rsid w:val="003E587F"/>
    <w:rsid w:val="003E7339"/>
    <w:rsid w:val="003E7BC2"/>
    <w:rsid w:val="003F0E4E"/>
    <w:rsid w:val="003F1202"/>
    <w:rsid w:val="003F2DCA"/>
    <w:rsid w:val="003F4F35"/>
    <w:rsid w:val="003F7484"/>
    <w:rsid w:val="00401399"/>
    <w:rsid w:val="004034C9"/>
    <w:rsid w:val="00403F98"/>
    <w:rsid w:val="00404A65"/>
    <w:rsid w:val="00404CA4"/>
    <w:rsid w:val="00406193"/>
    <w:rsid w:val="004066C4"/>
    <w:rsid w:val="00407810"/>
    <w:rsid w:val="00407FBF"/>
    <w:rsid w:val="004113BB"/>
    <w:rsid w:val="0041279F"/>
    <w:rsid w:val="00413805"/>
    <w:rsid w:val="004145E1"/>
    <w:rsid w:val="00414FDD"/>
    <w:rsid w:val="00415684"/>
    <w:rsid w:val="00416051"/>
    <w:rsid w:val="00416C47"/>
    <w:rsid w:val="004211F7"/>
    <w:rsid w:val="004219CD"/>
    <w:rsid w:val="00421F78"/>
    <w:rsid w:val="00422F1E"/>
    <w:rsid w:val="004242A9"/>
    <w:rsid w:val="0042564D"/>
    <w:rsid w:val="00427728"/>
    <w:rsid w:val="0043103A"/>
    <w:rsid w:val="00432003"/>
    <w:rsid w:val="004334A2"/>
    <w:rsid w:val="00433EE1"/>
    <w:rsid w:val="0043483A"/>
    <w:rsid w:val="00434C2E"/>
    <w:rsid w:val="0043548D"/>
    <w:rsid w:val="004360F5"/>
    <w:rsid w:val="004374FE"/>
    <w:rsid w:val="00440533"/>
    <w:rsid w:val="004410BC"/>
    <w:rsid w:val="00441138"/>
    <w:rsid w:val="004416B2"/>
    <w:rsid w:val="00442DBE"/>
    <w:rsid w:val="00445C53"/>
    <w:rsid w:val="00445D42"/>
    <w:rsid w:val="00447D9C"/>
    <w:rsid w:val="00452790"/>
    <w:rsid w:val="00452B8B"/>
    <w:rsid w:val="00452C75"/>
    <w:rsid w:val="00452CBD"/>
    <w:rsid w:val="00453374"/>
    <w:rsid w:val="00454BF9"/>
    <w:rsid w:val="00454C6E"/>
    <w:rsid w:val="004568BB"/>
    <w:rsid w:val="00456E6C"/>
    <w:rsid w:val="0046034C"/>
    <w:rsid w:val="00463233"/>
    <w:rsid w:val="004654F1"/>
    <w:rsid w:val="00465B16"/>
    <w:rsid w:val="00465B2A"/>
    <w:rsid w:val="00466205"/>
    <w:rsid w:val="0047233B"/>
    <w:rsid w:val="00472B86"/>
    <w:rsid w:val="00474987"/>
    <w:rsid w:val="0048082F"/>
    <w:rsid w:val="00481B8B"/>
    <w:rsid w:val="0048434D"/>
    <w:rsid w:val="00484FC8"/>
    <w:rsid w:val="00486C58"/>
    <w:rsid w:val="00490AA5"/>
    <w:rsid w:val="004943DE"/>
    <w:rsid w:val="00494BFC"/>
    <w:rsid w:val="004963EF"/>
    <w:rsid w:val="00496447"/>
    <w:rsid w:val="00496C78"/>
    <w:rsid w:val="0049762B"/>
    <w:rsid w:val="00497BDA"/>
    <w:rsid w:val="004A145B"/>
    <w:rsid w:val="004A33FE"/>
    <w:rsid w:val="004A4F57"/>
    <w:rsid w:val="004A5ED4"/>
    <w:rsid w:val="004A6D10"/>
    <w:rsid w:val="004A78A8"/>
    <w:rsid w:val="004B2D2F"/>
    <w:rsid w:val="004B4594"/>
    <w:rsid w:val="004B6C97"/>
    <w:rsid w:val="004C1147"/>
    <w:rsid w:val="004C3C68"/>
    <w:rsid w:val="004C3D4E"/>
    <w:rsid w:val="004C50F3"/>
    <w:rsid w:val="004C6611"/>
    <w:rsid w:val="004C79EC"/>
    <w:rsid w:val="004D0A1B"/>
    <w:rsid w:val="004D3D1A"/>
    <w:rsid w:val="004D515A"/>
    <w:rsid w:val="004D5183"/>
    <w:rsid w:val="004D652D"/>
    <w:rsid w:val="004E021A"/>
    <w:rsid w:val="004E2047"/>
    <w:rsid w:val="004E44D8"/>
    <w:rsid w:val="004F0757"/>
    <w:rsid w:val="004F083A"/>
    <w:rsid w:val="004F168D"/>
    <w:rsid w:val="004F1FF5"/>
    <w:rsid w:val="004F27AF"/>
    <w:rsid w:val="004F2C31"/>
    <w:rsid w:val="004F3EE9"/>
    <w:rsid w:val="004F4B10"/>
    <w:rsid w:val="004F5B29"/>
    <w:rsid w:val="004F6001"/>
    <w:rsid w:val="004F62F0"/>
    <w:rsid w:val="004F6953"/>
    <w:rsid w:val="004F780F"/>
    <w:rsid w:val="00500ECC"/>
    <w:rsid w:val="00501250"/>
    <w:rsid w:val="00505638"/>
    <w:rsid w:val="00505F73"/>
    <w:rsid w:val="005076C6"/>
    <w:rsid w:val="00510748"/>
    <w:rsid w:val="00511995"/>
    <w:rsid w:val="005124DB"/>
    <w:rsid w:val="005133D3"/>
    <w:rsid w:val="00514401"/>
    <w:rsid w:val="005147C3"/>
    <w:rsid w:val="00514D25"/>
    <w:rsid w:val="00516E51"/>
    <w:rsid w:val="00521BC0"/>
    <w:rsid w:val="00524C0A"/>
    <w:rsid w:val="00525DA0"/>
    <w:rsid w:val="00531BF2"/>
    <w:rsid w:val="0053238A"/>
    <w:rsid w:val="0053276F"/>
    <w:rsid w:val="005331CE"/>
    <w:rsid w:val="005351DE"/>
    <w:rsid w:val="00536985"/>
    <w:rsid w:val="00536A4F"/>
    <w:rsid w:val="00536C19"/>
    <w:rsid w:val="00537042"/>
    <w:rsid w:val="00540C19"/>
    <w:rsid w:val="00541232"/>
    <w:rsid w:val="00543096"/>
    <w:rsid w:val="00543B86"/>
    <w:rsid w:val="0054557B"/>
    <w:rsid w:val="00547C25"/>
    <w:rsid w:val="00550A8A"/>
    <w:rsid w:val="00552F02"/>
    <w:rsid w:val="005539FF"/>
    <w:rsid w:val="005561A7"/>
    <w:rsid w:val="00556670"/>
    <w:rsid w:val="005573BF"/>
    <w:rsid w:val="00560601"/>
    <w:rsid w:val="00562102"/>
    <w:rsid w:val="00563BB0"/>
    <w:rsid w:val="00563C47"/>
    <w:rsid w:val="00564BA5"/>
    <w:rsid w:val="00565B8D"/>
    <w:rsid w:val="00565E47"/>
    <w:rsid w:val="00566258"/>
    <w:rsid w:val="00573411"/>
    <w:rsid w:val="005736A9"/>
    <w:rsid w:val="005740BA"/>
    <w:rsid w:val="0057576C"/>
    <w:rsid w:val="00575A39"/>
    <w:rsid w:val="0057666D"/>
    <w:rsid w:val="005770DB"/>
    <w:rsid w:val="005808DC"/>
    <w:rsid w:val="00583933"/>
    <w:rsid w:val="00586523"/>
    <w:rsid w:val="00590020"/>
    <w:rsid w:val="0059202E"/>
    <w:rsid w:val="005959C2"/>
    <w:rsid w:val="0059637E"/>
    <w:rsid w:val="005967BF"/>
    <w:rsid w:val="00597607"/>
    <w:rsid w:val="005A021B"/>
    <w:rsid w:val="005A13DF"/>
    <w:rsid w:val="005A2673"/>
    <w:rsid w:val="005A2B69"/>
    <w:rsid w:val="005A4FD4"/>
    <w:rsid w:val="005A521B"/>
    <w:rsid w:val="005B1AAF"/>
    <w:rsid w:val="005B6F7A"/>
    <w:rsid w:val="005C1460"/>
    <w:rsid w:val="005C35D8"/>
    <w:rsid w:val="005C56E6"/>
    <w:rsid w:val="005C5B12"/>
    <w:rsid w:val="005C7C3D"/>
    <w:rsid w:val="005D033C"/>
    <w:rsid w:val="005D226F"/>
    <w:rsid w:val="005D2E9D"/>
    <w:rsid w:val="005D3466"/>
    <w:rsid w:val="005D42B9"/>
    <w:rsid w:val="005D7700"/>
    <w:rsid w:val="005E1E48"/>
    <w:rsid w:val="005E3420"/>
    <w:rsid w:val="005E37D4"/>
    <w:rsid w:val="005E3C01"/>
    <w:rsid w:val="005E3CC6"/>
    <w:rsid w:val="005E4977"/>
    <w:rsid w:val="005E7AE7"/>
    <w:rsid w:val="005F1287"/>
    <w:rsid w:val="005F14CB"/>
    <w:rsid w:val="005F2148"/>
    <w:rsid w:val="005F29CB"/>
    <w:rsid w:val="005F37F5"/>
    <w:rsid w:val="005F7A45"/>
    <w:rsid w:val="00600869"/>
    <w:rsid w:val="006022F2"/>
    <w:rsid w:val="006030B1"/>
    <w:rsid w:val="006043AE"/>
    <w:rsid w:val="00605B91"/>
    <w:rsid w:val="00605CD4"/>
    <w:rsid w:val="00606A63"/>
    <w:rsid w:val="00610211"/>
    <w:rsid w:val="00611C79"/>
    <w:rsid w:val="006136D4"/>
    <w:rsid w:val="00613ABB"/>
    <w:rsid w:val="00615157"/>
    <w:rsid w:val="006172DB"/>
    <w:rsid w:val="00620CAC"/>
    <w:rsid w:val="00621A31"/>
    <w:rsid w:val="00622E2D"/>
    <w:rsid w:val="006250D9"/>
    <w:rsid w:val="00630200"/>
    <w:rsid w:val="006302FA"/>
    <w:rsid w:val="006306C9"/>
    <w:rsid w:val="006328F5"/>
    <w:rsid w:val="00635336"/>
    <w:rsid w:val="0063669B"/>
    <w:rsid w:val="006367DB"/>
    <w:rsid w:val="0063782F"/>
    <w:rsid w:val="00644297"/>
    <w:rsid w:val="0064437B"/>
    <w:rsid w:val="00644818"/>
    <w:rsid w:val="00645A36"/>
    <w:rsid w:val="00645CDE"/>
    <w:rsid w:val="0064735C"/>
    <w:rsid w:val="006519A8"/>
    <w:rsid w:val="00652275"/>
    <w:rsid w:val="00653180"/>
    <w:rsid w:val="00653B8D"/>
    <w:rsid w:val="00656285"/>
    <w:rsid w:val="006562A2"/>
    <w:rsid w:val="00657C15"/>
    <w:rsid w:val="00657D33"/>
    <w:rsid w:val="00657F71"/>
    <w:rsid w:val="006608CE"/>
    <w:rsid w:val="00662950"/>
    <w:rsid w:val="00664451"/>
    <w:rsid w:val="006646D4"/>
    <w:rsid w:val="00665BB8"/>
    <w:rsid w:val="00665F98"/>
    <w:rsid w:val="00670093"/>
    <w:rsid w:val="00671B32"/>
    <w:rsid w:val="006752EB"/>
    <w:rsid w:val="0067559F"/>
    <w:rsid w:val="006766C8"/>
    <w:rsid w:val="006812EE"/>
    <w:rsid w:val="0068161D"/>
    <w:rsid w:val="006818CD"/>
    <w:rsid w:val="00681AA1"/>
    <w:rsid w:val="0068346A"/>
    <w:rsid w:val="00686701"/>
    <w:rsid w:val="00687B79"/>
    <w:rsid w:val="00687D95"/>
    <w:rsid w:val="00690A31"/>
    <w:rsid w:val="006917C2"/>
    <w:rsid w:val="00693403"/>
    <w:rsid w:val="0069351A"/>
    <w:rsid w:val="0069384C"/>
    <w:rsid w:val="00693F77"/>
    <w:rsid w:val="00694F08"/>
    <w:rsid w:val="00695E0C"/>
    <w:rsid w:val="006A0C9A"/>
    <w:rsid w:val="006A1080"/>
    <w:rsid w:val="006A3D9F"/>
    <w:rsid w:val="006B02EA"/>
    <w:rsid w:val="006B0322"/>
    <w:rsid w:val="006B08E1"/>
    <w:rsid w:val="006B0F7B"/>
    <w:rsid w:val="006B2466"/>
    <w:rsid w:val="006B346D"/>
    <w:rsid w:val="006B54F9"/>
    <w:rsid w:val="006B57AD"/>
    <w:rsid w:val="006B6CF5"/>
    <w:rsid w:val="006C03E0"/>
    <w:rsid w:val="006C07C8"/>
    <w:rsid w:val="006C0DA2"/>
    <w:rsid w:val="006C2DCE"/>
    <w:rsid w:val="006C3317"/>
    <w:rsid w:val="006C3BC9"/>
    <w:rsid w:val="006C4692"/>
    <w:rsid w:val="006C5D81"/>
    <w:rsid w:val="006C6692"/>
    <w:rsid w:val="006C6BA5"/>
    <w:rsid w:val="006D374F"/>
    <w:rsid w:val="006D52A5"/>
    <w:rsid w:val="006D5AE1"/>
    <w:rsid w:val="006D7ABC"/>
    <w:rsid w:val="006E3B3A"/>
    <w:rsid w:val="006E4392"/>
    <w:rsid w:val="006E5215"/>
    <w:rsid w:val="006E5E05"/>
    <w:rsid w:val="006E7737"/>
    <w:rsid w:val="006F0C29"/>
    <w:rsid w:val="006F113F"/>
    <w:rsid w:val="006F214C"/>
    <w:rsid w:val="006F4C3C"/>
    <w:rsid w:val="006F55BD"/>
    <w:rsid w:val="006F5941"/>
    <w:rsid w:val="006F69BC"/>
    <w:rsid w:val="00700118"/>
    <w:rsid w:val="00700676"/>
    <w:rsid w:val="00702004"/>
    <w:rsid w:val="00705C3D"/>
    <w:rsid w:val="00706272"/>
    <w:rsid w:val="00706799"/>
    <w:rsid w:val="00706A28"/>
    <w:rsid w:val="00707176"/>
    <w:rsid w:val="0071396E"/>
    <w:rsid w:val="00713B6D"/>
    <w:rsid w:val="00714A7F"/>
    <w:rsid w:val="00714C92"/>
    <w:rsid w:val="0071550E"/>
    <w:rsid w:val="00716538"/>
    <w:rsid w:val="00716BCC"/>
    <w:rsid w:val="0071748B"/>
    <w:rsid w:val="00720A93"/>
    <w:rsid w:val="0072228A"/>
    <w:rsid w:val="007225B3"/>
    <w:rsid w:val="007225F1"/>
    <w:rsid w:val="007232E4"/>
    <w:rsid w:val="00723E11"/>
    <w:rsid w:val="00724C9C"/>
    <w:rsid w:val="00724E47"/>
    <w:rsid w:val="007265F7"/>
    <w:rsid w:val="00726D6F"/>
    <w:rsid w:val="0072718D"/>
    <w:rsid w:val="00730505"/>
    <w:rsid w:val="00730F7D"/>
    <w:rsid w:val="007317A6"/>
    <w:rsid w:val="007339CA"/>
    <w:rsid w:val="007341E4"/>
    <w:rsid w:val="00737DE8"/>
    <w:rsid w:val="00737EF5"/>
    <w:rsid w:val="007406F9"/>
    <w:rsid w:val="007410DF"/>
    <w:rsid w:val="0074136D"/>
    <w:rsid w:val="00743895"/>
    <w:rsid w:val="0074395A"/>
    <w:rsid w:val="00744D23"/>
    <w:rsid w:val="0074648E"/>
    <w:rsid w:val="007469D9"/>
    <w:rsid w:val="00750B47"/>
    <w:rsid w:val="00752762"/>
    <w:rsid w:val="00753440"/>
    <w:rsid w:val="007535EE"/>
    <w:rsid w:val="0075384A"/>
    <w:rsid w:val="00753E52"/>
    <w:rsid w:val="007553DE"/>
    <w:rsid w:val="00755E94"/>
    <w:rsid w:val="0075733F"/>
    <w:rsid w:val="00761BC3"/>
    <w:rsid w:val="00761CFA"/>
    <w:rsid w:val="0076209D"/>
    <w:rsid w:val="00762C7E"/>
    <w:rsid w:val="00763E84"/>
    <w:rsid w:val="00766C98"/>
    <w:rsid w:val="007707D5"/>
    <w:rsid w:val="0077083D"/>
    <w:rsid w:val="00771E9E"/>
    <w:rsid w:val="00772F82"/>
    <w:rsid w:val="00774110"/>
    <w:rsid w:val="007753F3"/>
    <w:rsid w:val="00776F36"/>
    <w:rsid w:val="00777A61"/>
    <w:rsid w:val="007825BE"/>
    <w:rsid w:val="0078323C"/>
    <w:rsid w:val="0078357D"/>
    <w:rsid w:val="007847B3"/>
    <w:rsid w:val="00784AB0"/>
    <w:rsid w:val="00785C5C"/>
    <w:rsid w:val="007867CE"/>
    <w:rsid w:val="007868C0"/>
    <w:rsid w:val="0078694C"/>
    <w:rsid w:val="00790631"/>
    <w:rsid w:val="00791CB4"/>
    <w:rsid w:val="00792BB6"/>
    <w:rsid w:val="00792C4E"/>
    <w:rsid w:val="007941D3"/>
    <w:rsid w:val="00794511"/>
    <w:rsid w:val="0079787C"/>
    <w:rsid w:val="00797E5F"/>
    <w:rsid w:val="007A0A91"/>
    <w:rsid w:val="007A42E4"/>
    <w:rsid w:val="007A6818"/>
    <w:rsid w:val="007A7CD9"/>
    <w:rsid w:val="007B108A"/>
    <w:rsid w:val="007B1B18"/>
    <w:rsid w:val="007C0063"/>
    <w:rsid w:val="007C16AB"/>
    <w:rsid w:val="007C290A"/>
    <w:rsid w:val="007C47E0"/>
    <w:rsid w:val="007C6318"/>
    <w:rsid w:val="007C75A8"/>
    <w:rsid w:val="007C78CA"/>
    <w:rsid w:val="007D09AC"/>
    <w:rsid w:val="007D2C55"/>
    <w:rsid w:val="007D3484"/>
    <w:rsid w:val="007D7AEA"/>
    <w:rsid w:val="007E0C2A"/>
    <w:rsid w:val="007E0CF3"/>
    <w:rsid w:val="007E1972"/>
    <w:rsid w:val="007E2780"/>
    <w:rsid w:val="007E4674"/>
    <w:rsid w:val="007E52F1"/>
    <w:rsid w:val="007E58C4"/>
    <w:rsid w:val="007E5F33"/>
    <w:rsid w:val="007F0938"/>
    <w:rsid w:val="007F095A"/>
    <w:rsid w:val="007F31A3"/>
    <w:rsid w:val="007F32EA"/>
    <w:rsid w:val="007F4451"/>
    <w:rsid w:val="007F4C7A"/>
    <w:rsid w:val="007F6617"/>
    <w:rsid w:val="007F7B01"/>
    <w:rsid w:val="00802889"/>
    <w:rsid w:val="00804898"/>
    <w:rsid w:val="008065A3"/>
    <w:rsid w:val="008109A1"/>
    <w:rsid w:val="00810A2E"/>
    <w:rsid w:val="008137EF"/>
    <w:rsid w:val="00813F66"/>
    <w:rsid w:val="008166B8"/>
    <w:rsid w:val="00816F04"/>
    <w:rsid w:val="0081711E"/>
    <w:rsid w:val="00817ADB"/>
    <w:rsid w:val="00821F12"/>
    <w:rsid w:val="008231A7"/>
    <w:rsid w:val="0082444D"/>
    <w:rsid w:val="00826411"/>
    <w:rsid w:val="00827A67"/>
    <w:rsid w:val="00830529"/>
    <w:rsid w:val="00831081"/>
    <w:rsid w:val="00835E17"/>
    <w:rsid w:val="008366E5"/>
    <w:rsid w:val="008410FE"/>
    <w:rsid w:val="008436C6"/>
    <w:rsid w:val="00845CE2"/>
    <w:rsid w:val="00847991"/>
    <w:rsid w:val="00851956"/>
    <w:rsid w:val="008519F2"/>
    <w:rsid w:val="00852157"/>
    <w:rsid w:val="008525AD"/>
    <w:rsid w:val="00852EB7"/>
    <w:rsid w:val="00853D76"/>
    <w:rsid w:val="008547D6"/>
    <w:rsid w:val="00855B7C"/>
    <w:rsid w:val="00856420"/>
    <w:rsid w:val="00857034"/>
    <w:rsid w:val="0085736A"/>
    <w:rsid w:val="0086082C"/>
    <w:rsid w:val="00861ADD"/>
    <w:rsid w:val="008626A8"/>
    <w:rsid w:val="00862B10"/>
    <w:rsid w:val="00862CFD"/>
    <w:rsid w:val="00862F5D"/>
    <w:rsid w:val="008634B1"/>
    <w:rsid w:val="00865699"/>
    <w:rsid w:val="00865855"/>
    <w:rsid w:val="00866B16"/>
    <w:rsid w:val="00870C74"/>
    <w:rsid w:val="008719A3"/>
    <w:rsid w:val="008739A0"/>
    <w:rsid w:val="00874C77"/>
    <w:rsid w:val="00874E6A"/>
    <w:rsid w:val="00876624"/>
    <w:rsid w:val="0088038E"/>
    <w:rsid w:val="0088169C"/>
    <w:rsid w:val="0088282A"/>
    <w:rsid w:val="00882A36"/>
    <w:rsid w:val="0088436E"/>
    <w:rsid w:val="00884456"/>
    <w:rsid w:val="008848C8"/>
    <w:rsid w:val="00885C58"/>
    <w:rsid w:val="00890093"/>
    <w:rsid w:val="00891C24"/>
    <w:rsid w:val="00891CDC"/>
    <w:rsid w:val="008920B9"/>
    <w:rsid w:val="00896442"/>
    <w:rsid w:val="00896C9F"/>
    <w:rsid w:val="00897B19"/>
    <w:rsid w:val="008A1AF3"/>
    <w:rsid w:val="008A5A00"/>
    <w:rsid w:val="008A5BC7"/>
    <w:rsid w:val="008A7591"/>
    <w:rsid w:val="008A79BF"/>
    <w:rsid w:val="008B09FC"/>
    <w:rsid w:val="008B1652"/>
    <w:rsid w:val="008B39A8"/>
    <w:rsid w:val="008B56B4"/>
    <w:rsid w:val="008B6BE8"/>
    <w:rsid w:val="008B7996"/>
    <w:rsid w:val="008C0489"/>
    <w:rsid w:val="008C06BB"/>
    <w:rsid w:val="008C0FEF"/>
    <w:rsid w:val="008C1F98"/>
    <w:rsid w:val="008C2A35"/>
    <w:rsid w:val="008C3CD1"/>
    <w:rsid w:val="008C4641"/>
    <w:rsid w:val="008C4F94"/>
    <w:rsid w:val="008C632D"/>
    <w:rsid w:val="008C682C"/>
    <w:rsid w:val="008C6A95"/>
    <w:rsid w:val="008C77C3"/>
    <w:rsid w:val="008C7F7F"/>
    <w:rsid w:val="008D06A7"/>
    <w:rsid w:val="008D3E4F"/>
    <w:rsid w:val="008D528C"/>
    <w:rsid w:val="008E05F0"/>
    <w:rsid w:val="008E18FF"/>
    <w:rsid w:val="008E239A"/>
    <w:rsid w:val="008E5B8A"/>
    <w:rsid w:val="008F06C8"/>
    <w:rsid w:val="008F07F6"/>
    <w:rsid w:val="008F1FD0"/>
    <w:rsid w:val="008F4C2F"/>
    <w:rsid w:val="008F529A"/>
    <w:rsid w:val="009021E9"/>
    <w:rsid w:val="009037F9"/>
    <w:rsid w:val="00904356"/>
    <w:rsid w:val="0090460B"/>
    <w:rsid w:val="00905EFF"/>
    <w:rsid w:val="009060B6"/>
    <w:rsid w:val="009112FB"/>
    <w:rsid w:val="009115BD"/>
    <w:rsid w:val="00914B67"/>
    <w:rsid w:val="00915D39"/>
    <w:rsid w:val="00916B0F"/>
    <w:rsid w:val="00917AFE"/>
    <w:rsid w:val="009204E9"/>
    <w:rsid w:val="009221F3"/>
    <w:rsid w:val="009243BD"/>
    <w:rsid w:val="009246DF"/>
    <w:rsid w:val="00927BDF"/>
    <w:rsid w:val="0093038B"/>
    <w:rsid w:val="009313E8"/>
    <w:rsid w:val="0093190B"/>
    <w:rsid w:val="00932048"/>
    <w:rsid w:val="00932CD2"/>
    <w:rsid w:val="00934222"/>
    <w:rsid w:val="00936416"/>
    <w:rsid w:val="00936C60"/>
    <w:rsid w:val="009377CB"/>
    <w:rsid w:val="009400CD"/>
    <w:rsid w:val="00941F60"/>
    <w:rsid w:val="00942837"/>
    <w:rsid w:val="00944D53"/>
    <w:rsid w:val="009453B4"/>
    <w:rsid w:val="00945639"/>
    <w:rsid w:val="009469C3"/>
    <w:rsid w:val="00946BC3"/>
    <w:rsid w:val="00952ACA"/>
    <w:rsid w:val="00952F2C"/>
    <w:rsid w:val="0095513D"/>
    <w:rsid w:val="00955404"/>
    <w:rsid w:val="00955B0A"/>
    <w:rsid w:val="00956622"/>
    <w:rsid w:val="00960B3C"/>
    <w:rsid w:val="00961FA4"/>
    <w:rsid w:val="00962B89"/>
    <w:rsid w:val="00963F3F"/>
    <w:rsid w:val="00965665"/>
    <w:rsid w:val="00971DC0"/>
    <w:rsid w:val="009721F5"/>
    <w:rsid w:val="00977719"/>
    <w:rsid w:val="0098202E"/>
    <w:rsid w:val="00982341"/>
    <w:rsid w:val="00982F88"/>
    <w:rsid w:val="0098458C"/>
    <w:rsid w:val="00985213"/>
    <w:rsid w:val="0098679B"/>
    <w:rsid w:val="00986EBF"/>
    <w:rsid w:val="00991C52"/>
    <w:rsid w:val="00992366"/>
    <w:rsid w:val="0099307A"/>
    <w:rsid w:val="00994613"/>
    <w:rsid w:val="009947C5"/>
    <w:rsid w:val="00994C58"/>
    <w:rsid w:val="009952A5"/>
    <w:rsid w:val="00995FED"/>
    <w:rsid w:val="009A20AA"/>
    <w:rsid w:val="009A3E67"/>
    <w:rsid w:val="009A4D7B"/>
    <w:rsid w:val="009A52A3"/>
    <w:rsid w:val="009A6940"/>
    <w:rsid w:val="009A76C6"/>
    <w:rsid w:val="009B0709"/>
    <w:rsid w:val="009B0EF8"/>
    <w:rsid w:val="009B0F52"/>
    <w:rsid w:val="009B2F34"/>
    <w:rsid w:val="009B3EBC"/>
    <w:rsid w:val="009B4077"/>
    <w:rsid w:val="009B6B9D"/>
    <w:rsid w:val="009B77C1"/>
    <w:rsid w:val="009C088B"/>
    <w:rsid w:val="009C19B5"/>
    <w:rsid w:val="009C2289"/>
    <w:rsid w:val="009C47F8"/>
    <w:rsid w:val="009C4FF0"/>
    <w:rsid w:val="009C5BDB"/>
    <w:rsid w:val="009C6B0A"/>
    <w:rsid w:val="009D17D5"/>
    <w:rsid w:val="009D217F"/>
    <w:rsid w:val="009D287F"/>
    <w:rsid w:val="009D4881"/>
    <w:rsid w:val="009E03E9"/>
    <w:rsid w:val="009E1D65"/>
    <w:rsid w:val="009E290E"/>
    <w:rsid w:val="009E362F"/>
    <w:rsid w:val="009E3804"/>
    <w:rsid w:val="009E41DB"/>
    <w:rsid w:val="009E494C"/>
    <w:rsid w:val="009E577C"/>
    <w:rsid w:val="009E5ABC"/>
    <w:rsid w:val="009E69CB"/>
    <w:rsid w:val="009F110A"/>
    <w:rsid w:val="009F4DEC"/>
    <w:rsid w:val="009F4E04"/>
    <w:rsid w:val="009F501E"/>
    <w:rsid w:val="009F6174"/>
    <w:rsid w:val="009F6B77"/>
    <w:rsid w:val="009F7B05"/>
    <w:rsid w:val="00A017DC"/>
    <w:rsid w:val="00A02669"/>
    <w:rsid w:val="00A02898"/>
    <w:rsid w:val="00A0500A"/>
    <w:rsid w:val="00A05E0B"/>
    <w:rsid w:val="00A119DD"/>
    <w:rsid w:val="00A11EAF"/>
    <w:rsid w:val="00A14C2A"/>
    <w:rsid w:val="00A160FB"/>
    <w:rsid w:val="00A16775"/>
    <w:rsid w:val="00A20FB3"/>
    <w:rsid w:val="00A21D88"/>
    <w:rsid w:val="00A21F40"/>
    <w:rsid w:val="00A22AB6"/>
    <w:rsid w:val="00A22FA3"/>
    <w:rsid w:val="00A24339"/>
    <w:rsid w:val="00A251F3"/>
    <w:rsid w:val="00A25483"/>
    <w:rsid w:val="00A26AC5"/>
    <w:rsid w:val="00A27117"/>
    <w:rsid w:val="00A27241"/>
    <w:rsid w:val="00A27FEC"/>
    <w:rsid w:val="00A31E0A"/>
    <w:rsid w:val="00A351DA"/>
    <w:rsid w:val="00A35444"/>
    <w:rsid w:val="00A4017E"/>
    <w:rsid w:val="00A4063E"/>
    <w:rsid w:val="00A41625"/>
    <w:rsid w:val="00A43554"/>
    <w:rsid w:val="00A45DC5"/>
    <w:rsid w:val="00A4718E"/>
    <w:rsid w:val="00A47B6F"/>
    <w:rsid w:val="00A5039A"/>
    <w:rsid w:val="00A50EE3"/>
    <w:rsid w:val="00A51CC0"/>
    <w:rsid w:val="00A525AD"/>
    <w:rsid w:val="00A52892"/>
    <w:rsid w:val="00A55256"/>
    <w:rsid w:val="00A615AB"/>
    <w:rsid w:val="00A63D06"/>
    <w:rsid w:val="00A664EE"/>
    <w:rsid w:val="00A70927"/>
    <w:rsid w:val="00A71EF5"/>
    <w:rsid w:val="00A72622"/>
    <w:rsid w:val="00A7391F"/>
    <w:rsid w:val="00A7417A"/>
    <w:rsid w:val="00A741BB"/>
    <w:rsid w:val="00A74300"/>
    <w:rsid w:val="00A764B3"/>
    <w:rsid w:val="00A77B57"/>
    <w:rsid w:val="00A80A35"/>
    <w:rsid w:val="00A81598"/>
    <w:rsid w:val="00A82457"/>
    <w:rsid w:val="00A83C5F"/>
    <w:rsid w:val="00A84D1E"/>
    <w:rsid w:val="00A85BF1"/>
    <w:rsid w:val="00A85F3C"/>
    <w:rsid w:val="00A874CF"/>
    <w:rsid w:val="00A9070C"/>
    <w:rsid w:val="00A90890"/>
    <w:rsid w:val="00A90E9E"/>
    <w:rsid w:val="00A9173C"/>
    <w:rsid w:val="00A9350D"/>
    <w:rsid w:val="00A94A32"/>
    <w:rsid w:val="00A94CF3"/>
    <w:rsid w:val="00A95B25"/>
    <w:rsid w:val="00A95FA5"/>
    <w:rsid w:val="00A972D4"/>
    <w:rsid w:val="00AA1572"/>
    <w:rsid w:val="00AA4B8F"/>
    <w:rsid w:val="00AA68A3"/>
    <w:rsid w:val="00AA6EF5"/>
    <w:rsid w:val="00AA7A9F"/>
    <w:rsid w:val="00AA7FE1"/>
    <w:rsid w:val="00AB0721"/>
    <w:rsid w:val="00AB0FCB"/>
    <w:rsid w:val="00AB1823"/>
    <w:rsid w:val="00AB3556"/>
    <w:rsid w:val="00AB4488"/>
    <w:rsid w:val="00AC1378"/>
    <w:rsid w:val="00AC1998"/>
    <w:rsid w:val="00AC497A"/>
    <w:rsid w:val="00AC4DBF"/>
    <w:rsid w:val="00AC7171"/>
    <w:rsid w:val="00AC7BC3"/>
    <w:rsid w:val="00AD0CCC"/>
    <w:rsid w:val="00AD1D10"/>
    <w:rsid w:val="00AD2145"/>
    <w:rsid w:val="00AD2B9B"/>
    <w:rsid w:val="00AD4207"/>
    <w:rsid w:val="00AD5107"/>
    <w:rsid w:val="00AD53DB"/>
    <w:rsid w:val="00AD6D8A"/>
    <w:rsid w:val="00AD74E0"/>
    <w:rsid w:val="00AD799B"/>
    <w:rsid w:val="00AE1001"/>
    <w:rsid w:val="00AE16AD"/>
    <w:rsid w:val="00AE1B11"/>
    <w:rsid w:val="00AE1E53"/>
    <w:rsid w:val="00AE20C9"/>
    <w:rsid w:val="00AE448E"/>
    <w:rsid w:val="00AE4D15"/>
    <w:rsid w:val="00AE7215"/>
    <w:rsid w:val="00AF248F"/>
    <w:rsid w:val="00AF3DFE"/>
    <w:rsid w:val="00AF4033"/>
    <w:rsid w:val="00AF4701"/>
    <w:rsid w:val="00AF47A2"/>
    <w:rsid w:val="00AF5B20"/>
    <w:rsid w:val="00AF67DE"/>
    <w:rsid w:val="00AF786F"/>
    <w:rsid w:val="00B020D8"/>
    <w:rsid w:val="00B02370"/>
    <w:rsid w:val="00B03EBC"/>
    <w:rsid w:val="00B05192"/>
    <w:rsid w:val="00B13EA7"/>
    <w:rsid w:val="00B16DE3"/>
    <w:rsid w:val="00B179D8"/>
    <w:rsid w:val="00B17DCF"/>
    <w:rsid w:val="00B17FC2"/>
    <w:rsid w:val="00B22501"/>
    <w:rsid w:val="00B22D22"/>
    <w:rsid w:val="00B270B9"/>
    <w:rsid w:val="00B277A1"/>
    <w:rsid w:val="00B27BB6"/>
    <w:rsid w:val="00B34746"/>
    <w:rsid w:val="00B34A0E"/>
    <w:rsid w:val="00B41688"/>
    <w:rsid w:val="00B426CD"/>
    <w:rsid w:val="00B427C8"/>
    <w:rsid w:val="00B47F5D"/>
    <w:rsid w:val="00B51DEB"/>
    <w:rsid w:val="00B55E36"/>
    <w:rsid w:val="00B60A3E"/>
    <w:rsid w:val="00B61B06"/>
    <w:rsid w:val="00B62FE0"/>
    <w:rsid w:val="00B764E0"/>
    <w:rsid w:val="00B77380"/>
    <w:rsid w:val="00B81240"/>
    <w:rsid w:val="00B827C7"/>
    <w:rsid w:val="00B83CC0"/>
    <w:rsid w:val="00B84AAB"/>
    <w:rsid w:val="00B856FF"/>
    <w:rsid w:val="00B85D04"/>
    <w:rsid w:val="00B87F8F"/>
    <w:rsid w:val="00B905A6"/>
    <w:rsid w:val="00B91373"/>
    <w:rsid w:val="00B9145C"/>
    <w:rsid w:val="00B9414A"/>
    <w:rsid w:val="00B95C6F"/>
    <w:rsid w:val="00B9799D"/>
    <w:rsid w:val="00BA24F2"/>
    <w:rsid w:val="00BA33C9"/>
    <w:rsid w:val="00BA4034"/>
    <w:rsid w:val="00BA6BDB"/>
    <w:rsid w:val="00BA7438"/>
    <w:rsid w:val="00BB0350"/>
    <w:rsid w:val="00BB09EC"/>
    <w:rsid w:val="00BB0B68"/>
    <w:rsid w:val="00BB15AD"/>
    <w:rsid w:val="00BB19A5"/>
    <w:rsid w:val="00BB1FC9"/>
    <w:rsid w:val="00BB5497"/>
    <w:rsid w:val="00BC0FA8"/>
    <w:rsid w:val="00BC257C"/>
    <w:rsid w:val="00BC2DCE"/>
    <w:rsid w:val="00BC4753"/>
    <w:rsid w:val="00BC4DC6"/>
    <w:rsid w:val="00BC52FD"/>
    <w:rsid w:val="00BC5FFF"/>
    <w:rsid w:val="00BC6307"/>
    <w:rsid w:val="00BC6867"/>
    <w:rsid w:val="00BC77A1"/>
    <w:rsid w:val="00BD24AB"/>
    <w:rsid w:val="00BD48F8"/>
    <w:rsid w:val="00BD4FF2"/>
    <w:rsid w:val="00BD54BB"/>
    <w:rsid w:val="00BD67B9"/>
    <w:rsid w:val="00BD6D0C"/>
    <w:rsid w:val="00BD7549"/>
    <w:rsid w:val="00BE1774"/>
    <w:rsid w:val="00BE18DC"/>
    <w:rsid w:val="00BE2FE8"/>
    <w:rsid w:val="00BE30E3"/>
    <w:rsid w:val="00BE368E"/>
    <w:rsid w:val="00BE5BDE"/>
    <w:rsid w:val="00BE6EFD"/>
    <w:rsid w:val="00BF0608"/>
    <w:rsid w:val="00BF0ABC"/>
    <w:rsid w:val="00BF242B"/>
    <w:rsid w:val="00BF3074"/>
    <w:rsid w:val="00BF4369"/>
    <w:rsid w:val="00BF5C67"/>
    <w:rsid w:val="00C00C32"/>
    <w:rsid w:val="00C020A4"/>
    <w:rsid w:val="00C02435"/>
    <w:rsid w:val="00C02781"/>
    <w:rsid w:val="00C04618"/>
    <w:rsid w:val="00C07815"/>
    <w:rsid w:val="00C10171"/>
    <w:rsid w:val="00C10AD9"/>
    <w:rsid w:val="00C11531"/>
    <w:rsid w:val="00C15DA3"/>
    <w:rsid w:val="00C15E45"/>
    <w:rsid w:val="00C163A8"/>
    <w:rsid w:val="00C1719B"/>
    <w:rsid w:val="00C175C0"/>
    <w:rsid w:val="00C17E90"/>
    <w:rsid w:val="00C20F2F"/>
    <w:rsid w:val="00C21FAB"/>
    <w:rsid w:val="00C227BD"/>
    <w:rsid w:val="00C24424"/>
    <w:rsid w:val="00C26E76"/>
    <w:rsid w:val="00C30D64"/>
    <w:rsid w:val="00C31BD6"/>
    <w:rsid w:val="00C32BCE"/>
    <w:rsid w:val="00C3307A"/>
    <w:rsid w:val="00C35010"/>
    <w:rsid w:val="00C3540D"/>
    <w:rsid w:val="00C35D7F"/>
    <w:rsid w:val="00C47223"/>
    <w:rsid w:val="00C53036"/>
    <w:rsid w:val="00C53816"/>
    <w:rsid w:val="00C60966"/>
    <w:rsid w:val="00C60D42"/>
    <w:rsid w:val="00C6220C"/>
    <w:rsid w:val="00C65ED2"/>
    <w:rsid w:val="00C66324"/>
    <w:rsid w:val="00C673F5"/>
    <w:rsid w:val="00C67421"/>
    <w:rsid w:val="00C7377C"/>
    <w:rsid w:val="00C73967"/>
    <w:rsid w:val="00C75813"/>
    <w:rsid w:val="00C76220"/>
    <w:rsid w:val="00C831C3"/>
    <w:rsid w:val="00C86059"/>
    <w:rsid w:val="00C86513"/>
    <w:rsid w:val="00C871C9"/>
    <w:rsid w:val="00C87BC0"/>
    <w:rsid w:val="00C90583"/>
    <w:rsid w:val="00C90BC5"/>
    <w:rsid w:val="00C91936"/>
    <w:rsid w:val="00C9434F"/>
    <w:rsid w:val="00C962E8"/>
    <w:rsid w:val="00C96724"/>
    <w:rsid w:val="00CA043D"/>
    <w:rsid w:val="00CA28B7"/>
    <w:rsid w:val="00CA3477"/>
    <w:rsid w:val="00CA4AA9"/>
    <w:rsid w:val="00CA5EA6"/>
    <w:rsid w:val="00CB117C"/>
    <w:rsid w:val="00CB200E"/>
    <w:rsid w:val="00CB2612"/>
    <w:rsid w:val="00CB5820"/>
    <w:rsid w:val="00CB7413"/>
    <w:rsid w:val="00CC286D"/>
    <w:rsid w:val="00CC345D"/>
    <w:rsid w:val="00CC44B3"/>
    <w:rsid w:val="00CC794F"/>
    <w:rsid w:val="00CC7E3D"/>
    <w:rsid w:val="00CD0CC8"/>
    <w:rsid w:val="00CD1AA8"/>
    <w:rsid w:val="00CD20BB"/>
    <w:rsid w:val="00CD3793"/>
    <w:rsid w:val="00CD6CBD"/>
    <w:rsid w:val="00CD70DC"/>
    <w:rsid w:val="00CE1545"/>
    <w:rsid w:val="00CE4124"/>
    <w:rsid w:val="00CE6849"/>
    <w:rsid w:val="00CF045E"/>
    <w:rsid w:val="00CF22CA"/>
    <w:rsid w:val="00CF70B3"/>
    <w:rsid w:val="00CF7CD2"/>
    <w:rsid w:val="00CF7F8D"/>
    <w:rsid w:val="00D01188"/>
    <w:rsid w:val="00D01FDF"/>
    <w:rsid w:val="00D02471"/>
    <w:rsid w:val="00D039E7"/>
    <w:rsid w:val="00D0488B"/>
    <w:rsid w:val="00D04E1E"/>
    <w:rsid w:val="00D07639"/>
    <w:rsid w:val="00D10EB6"/>
    <w:rsid w:val="00D1264D"/>
    <w:rsid w:val="00D1330A"/>
    <w:rsid w:val="00D13444"/>
    <w:rsid w:val="00D1461F"/>
    <w:rsid w:val="00D146FB"/>
    <w:rsid w:val="00D14DBC"/>
    <w:rsid w:val="00D163C9"/>
    <w:rsid w:val="00D20926"/>
    <w:rsid w:val="00D20A51"/>
    <w:rsid w:val="00D21EAE"/>
    <w:rsid w:val="00D22B83"/>
    <w:rsid w:val="00D22F80"/>
    <w:rsid w:val="00D255B7"/>
    <w:rsid w:val="00D2731F"/>
    <w:rsid w:val="00D27FF6"/>
    <w:rsid w:val="00D304D3"/>
    <w:rsid w:val="00D3099C"/>
    <w:rsid w:val="00D30B7C"/>
    <w:rsid w:val="00D31D01"/>
    <w:rsid w:val="00D33EB4"/>
    <w:rsid w:val="00D36B59"/>
    <w:rsid w:val="00D36EBB"/>
    <w:rsid w:val="00D37A27"/>
    <w:rsid w:val="00D4073B"/>
    <w:rsid w:val="00D4380D"/>
    <w:rsid w:val="00D466B9"/>
    <w:rsid w:val="00D46E3C"/>
    <w:rsid w:val="00D5173A"/>
    <w:rsid w:val="00D51BC7"/>
    <w:rsid w:val="00D52185"/>
    <w:rsid w:val="00D52BE6"/>
    <w:rsid w:val="00D5403B"/>
    <w:rsid w:val="00D562CE"/>
    <w:rsid w:val="00D571FD"/>
    <w:rsid w:val="00D60342"/>
    <w:rsid w:val="00D6170D"/>
    <w:rsid w:val="00D624C6"/>
    <w:rsid w:val="00D62D40"/>
    <w:rsid w:val="00D631EC"/>
    <w:rsid w:val="00D650E1"/>
    <w:rsid w:val="00D70615"/>
    <w:rsid w:val="00D71AA9"/>
    <w:rsid w:val="00D72179"/>
    <w:rsid w:val="00D72ADF"/>
    <w:rsid w:val="00D74A6E"/>
    <w:rsid w:val="00D772C8"/>
    <w:rsid w:val="00D77D44"/>
    <w:rsid w:val="00D81437"/>
    <w:rsid w:val="00D838B0"/>
    <w:rsid w:val="00D84318"/>
    <w:rsid w:val="00D84565"/>
    <w:rsid w:val="00D846B4"/>
    <w:rsid w:val="00D846B5"/>
    <w:rsid w:val="00D84DDE"/>
    <w:rsid w:val="00D86A4A"/>
    <w:rsid w:val="00D87524"/>
    <w:rsid w:val="00D93D6C"/>
    <w:rsid w:val="00D962A7"/>
    <w:rsid w:val="00DA186B"/>
    <w:rsid w:val="00DA1CAD"/>
    <w:rsid w:val="00DA5449"/>
    <w:rsid w:val="00DA5960"/>
    <w:rsid w:val="00DA6484"/>
    <w:rsid w:val="00DA6C9C"/>
    <w:rsid w:val="00DA751F"/>
    <w:rsid w:val="00DA7C2F"/>
    <w:rsid w:val="00DB2F59"/>
    <w:rsid w:val="00DB300B"/>
    <w:rsid w:val="00DB3806"/>
    <w:rsid w:val="00DB4854"/>
    <w:rsid w:val="00DB4C99"/>
    <w:rsid w:val="00DB5E52"/>
    <w:rsid w:val="00DC1FB5"/>
    <w:rsid w:val="00DC355C"/>
    <w:rsid w:val="00DC386B"/>
    <w:rsid w:val="00DC6667"/>
    <w:rsid w:val="00DC7D7B"/>
    <w:rsid w:val="00DD1268"/>
    <w:rsid w:val="00DD12F9"/>
    <w:rsid w:val="00DD3015"/>
    <w:rsid w:val="00DD4265"/>
    <w:rsid w:val="00DD54E3"/>
    <w:rsid w:val="00DD785C"/>
    <w:rsid w:val="00DD7F9A"/>
    <w:rsid w:val="00DE0615"/>
    <w:rsid w:val="00DE2CF4"/>
    <w:rsid w:val="00DE3492"/>
    <w:rsid w:val="00DE3677"/>
    <w:rsid w:val="00DE6871"/>
    <w:rsid w:val="00DE7138"/>
    <w:rsid w:val="00DF01CA"/>
    <w:rsid w:val="00DF2676"/>
    <w:rsid w:val="00DF2B1E"/>
    <w:rsid w:val="00DF3306"/>
    <w:rsid w:val="00DF37C0"/>
    <w:rsid w:val="00DF470B"/>
    <w:rsid w:val="00DF70B8"/>
    <w:rsid w:val="00E02DBD"/>
    <w:rsid w:val="00E0516E"/>
    <w:rsid w:val="00E0554E"/>
    <w:rsid w:val="00E11FE5"/>
    <w:rsid w:val="00E12D13"/>
    <w:rsid w:val="00E177FD"/>
    <w:rsid w:val="00E2060B"/>
    <w:rsid w:val="00E21F75"/>
    <w:rsid w:val="00E221A5"/>
    <w:rsid w:val="00E234D3"/>
    <w:rsid w:val="00E24AF5"/>
    <w:rsid w:val="00E2773F"/>
    <w:rsid w:val="00E3294D"/>
    <w:rsid w:val="00E32971"/>
    <w:rsid w:val="00E340B1"/>
    <w:rsid w:val="00E34A9A"/>
    <w:rsid w:val="00E34EE6"/>
    <w:rsid w:val="00E35092"/>
    <w:rsid w:val="00E3774F"/>
    <w:rsid w:val="00E40D5A"/>
    <w:rsid w:val="00E417A0"/>
    <w:rsid w:val="00E42099"/>
    <w:rsid w:val="00E430CE"/>
    <w:rsid w:val="00E4339F"/>
    <w:rsid w:val="00E43642"/>
    <w:rsid w:val="00E442AB"/>
    <w:rsid w:val="00E44F8D"/>
    <w:rsid w:val="00E47B75"/>
    <w:rsid w:val="00E505BE"/>
    <w:rsid w:val="00E511B8"/>
    <w:rsid w:val="00E52E8C"/>
    <w:rsid w:val="00E5367A"/>
    <w:rsid w:val="00E53EA6"/>
    <w:rsid w:val="00E54CCC"/>
    <w:rsid w:val="00E56A48"/>
    <w:rsid w:val="00E56E76"/>
    <w:rsid w:val="00E609E8"/>
    <w:rsid w:val="00E61AE1"/>
    <w:rsid w:val="00E621B2"/>
    <w:rsid w:val="00E62C38"/>
    <w:rsid w:val="00E642B4"/>
    <w:rsid w:val="00E65B8C"/>
    <w:rsid w:val="00E66868"/>
    <w:rsid w:val="00E675F5"/>
    <w:rsid w:val="00E708AA"/>
    <w:rsid w:val="00E7352A"/>
    <w:rsid w:val="00E74FB0"/>
    <w:rsid w:val="00E77449"/>
    <w:rsid w:val="00E81D27"/>
    <w:rsid w:val="00E822F6"/>
    <w:rsid w:val="00E84D63"/>
    <w:rsid w:val="00E913B9"/>
    <w:rsid w:val="00E94511"/>
    <w:rsid w:val="00E97E87"/>
    <w:rsid w:val="00EA018D"/>
    <w:rsid w:val="00EA0C05"/>
    <w:rsid w:val="00EA2472"/>
    <w:rsid w:val="00EA315A"/>
    <w:rsid w:val="00EA3E5F"/>
    <w:rsid w:val="00EA4144"/>
    <w:rsid w:val="00EA440A"/>
    <w:rsid w:val="00EA62DC"/>
    <w:rsid w:val="00EA6408"/>
    <w:rsid w:val="00EA782F"/>
    <w:rsid w:val="00EB03E3"/>
    <w:rsid w:val="00EB20BE"/>
    <w:rsid w:val="00EB3341"/>
    <w:rsid w:val="00EB34D8"/>
    <w:rsid w:val="00EB485B"/>
    <w:rsid w:val="00EB520E"/>
    <w:rsid w:val="00EC166B"/>
    <w:rsid w:val="00EC3629"/>
    <w:rsid w:val="00EC48DD"/>
    <w:rsid w:val="00EC4A6D"/>
    <w:rsid w:val="00EC4AC6"/>
    <w:rsid w:val="00EC4C61"/>
    <w:rsid w:val="00EC7A6F"/>
    <w:rsid w:val="00ED0B48"/>
    <w:rsid w:val="00ED3C20"/>
    <w:rsid w:val="00ED7936"/>
    <w:rsid w:val="00EE04A8"/>
    <w:rsid w:val="00EE0D7D"/>
    <w:rsid w:val="00EE1D73"/>
    <w:rsid w:val="00EE36CC"/>
    <w:rsid w:val="00EE464B"/>
    <w:rsid w:val="00EE4A26"/>
    <w:rsid w:val="00EE5191"/>
    <w:rsid w:val="00EE5284"/>
    <w:rsid w:val="00EE5B6C"/>
    <w:rsid w:val="00EE6C81"/>
    <w:rsid w:val="00EE734F"/>
    <w:rsid w:val="00EF2E19"/>
    <w:rsid w:val="00EF39E0"/>
    <w:rsid w:val="00EF664C"/>
    <w:rsid w:val="00F00E5C"/>
    <w:rsid w:val="00F01843"/>
    <w:rsid w:val="00F0200F"/>
    <w:rsid w:val="00F02EBB"/>
    <w:rsid w:val="00F045E2"/>
    <w:rsid w:val="00F0466B"/>
    <w:rsid w:val="00F04E84"/>
    <w:rsid w:val="00F06F28"/>
    <w:rsid w:val="00F07042"/>
    <w:rsid w:val="00F07B04"/>
    <w:rsid w:val="00F07F50"/>
    <w:rsid w:val="00F10A12"/>
    <w:rsid w:val="00F10FA5"/>
    <w:rsid w:val="00F12503"/>
    <w:rsid w:val="00F1575D"/>
    <w:rsid w:val="00F16854"/>
    <w:rsid w:val="00F17B1C"/>
    <w:rsid w:val="00F17F09"/>
    <w:rsid w:val="00F203E5"/>
    <w:rsid w:val="00F21146"/>
    <w:rsid w:val="00F21273"/>
    <w:rsid w:val="00F23832"/>
    <w:rsid w:val="00F24454"/>
    <w:rsid w:val="00F25858"/>
    <w:rsid w:val="00F27BFE"/>
    <w:rsid w:val="00F307E1"/>
    <w:rsid w:val="00F30CFA"/>
    <w:rsid w:val="00F3561B"/>
    <w:rsid w:val="00F368DD"/>
    <w:rsid w:val="00F36F94"/>
    <w:rsid w:val="00F414E5"/>
    <w:rsid w:val="00F41B1F"/>
    <w:rsid w:val="00F43604"/>
    <w:rsid w:val="00F44FCD"/>
    <w:rsid w:val="00F45AD2"/>
    <w:rsid w:val="00F5112B"/>
    <w:rsid w:val="00F51AA7"/>
    <w:rsid w:val="00F549F1"/>
    <w:rsid w:val="00F5597F"/>
    <w:rsid w:val="00F60D13"/>
    <w:rsid w:val="00F805C6"/>
    <w:rsid w:val="00F81194"/>
    <w:rsid w:val="00F83A96"/>
    <w:rsid w:val="00F84C0A"/>
    <w:rsid w:val="00F86056"/>
    <w:rsid w:val="00F93EA1"/>
    <w:rsid w:val="00F94F85"/>
    <w:rsid w:val="00F95AB5"/>
    <w:rsid w:val="00FA67E0"/>
    <w:rsid w:val="00FA6AAA"/>
    <w:rsid w:val="00FA6F83"/>
    <w:rsid w:val="00FA7B61"/>
    <w:rsid w:val="00FA7C1B"/>
    <w:rsid w:val="00FB1ECD"/>
    <w:rsid w:val="00FB22DE"/>
    <w:rsid w:val="00FB2A25"/>
    <w:rsid w:val="00FB3664"/>
    <w:rsid w:val="00FB4094"/>
    <w:rsid w:val="00FB42FC"/>
    <w:rsid w:val="00FB4BEE"/>
    <w:rsid w:val="00FB5C58"/>
    <w:rsid w:val="00FB5D00"/>
    <w:rsid w:val="00FB66D0"/>
    <w:rsid w:val="00FB6B3A"/>
    <w:rsid w:val="00FC1EF3"/>
    <w:rsid w:val="00FC500F"/>
    <w:rsid w:val="00FC56DA"/>
    <w:rsid w:val="00FC65BB"/>
    <w:rsid w:val="00FC6A27"/>
    <w:rsid w:val="00FC7588"/>
    <w:rsid w:val="00FC7851"/>
    <w:rsid w:val="00FD0068"/>
    <w:rsid w:val="00FD117B"/>
    <w:rsid w:val="00FD21A6"/>
    <w:rsid w:val="00FD21D5"/>
    <w:rsid w:val="00FD27E7"/>
    <w:rsid w:val="00FD2D67"/>
    <w:rsid w:val="00FD38E6"/>
    <w:rsid w:val="00FE2577"/>
    <w:rsid w:val="00FE2B3F"/>
    <w:rsid w:val="00FE317A"/>
    <w:rsid w:val="00FE3D57"/>
    <w:rsid w:val="00FE4FE7"/>
    <w:rsid w:val="00FE6551"/>
    <w:rsid w:val="00FE7EBC"/>
    <w:rsid w:val="00FF3DBB"/>
    <w:rsid w:val="00FF493B"/>
    <w:rsid w:val="00FF5FAC"/>
    <w:rsid w:val="00FF6C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EUAlbertina"/>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5684"/>
    <w:pPr>
      <w:spacing w:after="200" w:line="276" w:lineRule="auto"/>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60086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00869"/>
    <w:rPr>
      <w:rFonts w:ascii="Tahoma" w:hAnsi="Tahoma" w:cs="Tahoma"/>
      <w:sz w:val="16"/>
      <w:szCs w:val="16"/>
    </w:rPr>
  </w:style>
  <w:style w:type="character" w:styleId="Jegyzethivatkozs">
    <w:name w:val="annotation reference"/>
    <w:basedOn w:val="Bekezdsalapbettpusa"/>
    <w:uiPriority w:val="99"/>
    <w:semiHidden/>
    <w:rsid w:val="003E34B8"/>
    <w:rPr>
      <w:rFonts w:cs="Times New Roman"/>
      <w:sz w:val="16"/>
      <w:szCs w:val="16"/>
    </w:rPr>
  </w:style>
  <w:style w:type="paragraph" w:styleId="Jegyzetszveg">
    <w:name w:val="annotation text"/>
    <w:basedOn w:val="Norml"/>
    <w:link w:val="JegyzetszvegChar"/>
    <w:uiPriority w:val="99"/>
    <w:semiHidden/>
    <w:rsid w:val="003E34B8"/>
    <w:rPr>
      <w:sz w:val="20"/>
      <w:szCs w:val="20"/>
    </w:rPr>
  </w:style>
  <w:style w:type="character" w:customStyle="1" w:styleId="JegyzetszvegChar">
    <w:name w:val="Jegyzetszöveg Char"/>
    <w:basedOn w:val="Bekezdsalapbettpusa"/>
    <w:link w:val="Jegyzetszveg"/>
    <w:uiPriority w:val="99"/>
    <w:semiHidden/>
    <w:rsid w:val="00E86927"/>
    <w:rPr>
      <w:sz w:val="20"/>
      <w:szCs w:val="20"/>
      <w:lang w:eastAsia="en-US"/>
    </w:rPr>
  </w:style>
  <w:style w:type="paragraph" w:styleId="Megjegyzstrgya">
    <w:name w:val="annotation subject"/>
    <w:basedOn w:val="Jegyzetszveg"/>
    <w:next w:val="Jegyzetszveg"/>
    <w:link w:val="MegjegyzstrgyaChar"/>
    <w:uiPriority w:val="99"/>
    <w:semiHidden/>
    <w:rsid w:val="003E34B8"/>
    <w:rPr>
      <w:b/>
      <w:bCs/>
    </w:rPr>
  </w:style>
  <w:style w:type="character" w:customStyle="1" w:styleId="MegjegyzstrgyaChar">
    <w:name w:val="Megjegyzés tárgya Char"/>
    <w:basedOn w:val="JegyzetszvegChar"/>
    <w:link w:val="Megjegyzstrgya"/>
    <w:uiPriority w:val="99"/>
    <w:semiHidden/>
    <w:rsid w:val="00E86927"/>
    <w:rPr>
      <w:b/>
      <w:bCs/>
      <w:sz w:val="20"/>
      <w:szCs w:val="20"/>
      <w:lang w:eastAsia="en-US"/>
    </w:rPr>
  </w:style>
  <w:style w:type="paragraph" w:styleId="Listaszerbekezds">
    <w:name w:val="List Paragraph"/>
    <w:basedOn w:val="Norml"/>
    <w:uiPriority w:val="34"/>
    <w:qFormat/>
    <w:rsid w:val="00263DEF"/>
    <w:pPr>
      <w:ind w:left="720"/>
      <w:contextualSpacing/>
    </w:pPr>
  </w:style>
  <w:style w:type="table" w:styleId="Rcsostblzat">
    <w:name w:val="Table Grid"/>
    <w:basedOn w:val="Normltblzat"/>
    <w:locked/>
    <w:rsid w:val="00105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locked/>
    <w:rsid w:val="00B427C8"/>
    <w:rPr>
      <w:b/>
      <w:bCs/>
    </w:rPr>
  </w:style>
  <w:style w:type="character" w:styleId="Kiemels">
    <w:name w:val="Emphasis"/>
    <w:basedOn w:val="Bekezdsalapbettpusa"/>
    <w:uiPriority w:val="20"/>
    <w:qFormat/>
    <w:locked/>
    <w:rsid w:val="00B427C8"/>
    <w:rPr>
      <w:i/>
      <w:iCs/>
    </w:rPr>
  </w:style>
  <w:style w:type="character" w:styleId="Hiperhivatkozs">
    <w:name w:val="Hyperlink"/>
    <w:basedOn w:val="Bekezdsalapbettpusa"/>
    <w:uiPriority w:val="99"/>
    <w:unhideWhenUsed/>
    <w:rsid w:val="00490AA5"/>
    <w:rPr>
      <w:color w:val="0000FF" w:themeColor="hyperlink"/>
      <w:u w:val="single"/>
    </w:rPr>
  </w:style>
  <w:style w:type="paragraph" w:styleId="NormlWeb">
    <w:name w:val="Normal (Web)"/>
    <w:basedOn w:val="Norml"/>
    <w:uiPriority w:val="99"/>
    <w:unhideWhenUsed/>
    <w:rsid w:val="00785C5C"/>
    <w:pPr>
      <w:spacing w:before="100" w:beforeAutospacing="1" w:after="100" w:afterAutospacing="1" w:line="240" w:lineRule="auto"/>
    </w:pPr>
    <w:rPr>
      <w:rFonts w:eastAsia="Times New Roman" w:cs="Times New Roman"/>
      <w:lang w:eastAsia="hu-HU"/>
    </w:rPr>
  </w:style>
  <w:style w:type="paragraph" w:customStyle="1" w:styleId="uj">
    <w:name w:val="uj"/>
    <w:basedOn w:val="Norml"/>
    <w:rsid w:val="00CC7E3D"/>
    <w:pPr>
      <w:pBdr>
        <w:left w:val="single" w:sz="36" w:space="3" w:color="FF0000"/>
      </w:pBdr>
      <w:spacing w:after="20" w:line="240" w:lineRule="auto"/>
      <w:ind w:firstLine="180"/>
      <w:jc w:val="both"/>
    </w:pPr>
    <w:rPr>
      <w:rFonts w:eastAsia="Times New Roman" w:cs="Times New Roman"/>
      <w:lang w:eastAsia="hu-HU"/>
    </w:rPr>
  </w:style>
  <w:style w:type="paragraph" w:styleId="Alcm">
    <w:name w:val="Subtitle"/>
    <w:basedOn w:val="Norml"/>
    <w:next w:val="Norml"/>
    <w:link w:val="AlcmChar"/>
    <w:qFormat/>
    <w:locked/>
    <w:rsid w:val="00BC52FD"/>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rsid w:val="00BC52FD"/>
    <w:rPr>
      <w:rFonts w:asciiTheme="majorHAnsi" w:eastAsiaTheme="majorEastAsia" w:hAnsiTheme="majorHAnsi" w:cstheme="majorBidi"/>
      <w:i/>
      <w:iCs/>
      <w:color w:val="4F81BD" w:themeColor="accent1"/>
      <w:spacing w:val="15"/>
      <w:sz w:val="24"/>
      <w:szCs w:val="24"/>
      <w:lang w:eastAsia="en-US"/>
    </w:rPr>
  </w:style>
  <w:style w:type="paragraph" w:styleId="Cm">
    <w:name w:val="Title"/>
    <w:basedOn w:val="Norml"/>
    <w:next w:val="Norml"/>
    <w:link w:val="CmChar"/>
    <w:qFormat/>
    <w:locked/>
    <w:rsid w:val="00214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214AE5"/>
    <w:rPr>
      <w:rFonts w:asciiTheme="majorHAnsi" w:eastAsiaTheme="majorEastAsia" w:hAnsiTheme="majorHAnsi" w:cstheme="majorBidi"/>
      <w:color w:val="17365D" w:themeColor="text2" w:themeShade="BF"/>
      <w:spacing w:val="5"/>
      <w:kern w:val="28"/>
      <w:sz w:val="52"/>
      <w:szCs w:val="52"/>
      <w:lang w:eastAsia="en-US"/>
    </w:rPr>
  </w:style>
  <w:style w:type="paragraph" w:styleId="Vltozat">
    <w:name w:val="Revision"/>
    <w:hidden/>
    <w:uiPriority w:val="99"/>
    <w:semiHidden/>
    <w:rsid w:val="00CA3477"/>
    <w:rPr>
      <w:sz w:val="24"/>
      <w:szCs w:val="24"/>
      <w:lang w:eastAsia="en-US"/>
    </w:rPr>
  </w:style>
  <w:style w:type="paragraph" w:styleId="lfej">
    <w:name w:val="header"/>
    <w:basedOn w:val="Norml"/>
    <w:link w:val="lfejChar"/>
    <w:uiPriority w:val="99"/>
    <w:unhideWhenUsed/>
    <w:rsid w:val="00441138"/>
    <w:pPr>
      <w:tabs>
        <w:tab w:val="center" w:pos="4536"/>
        <w:tab w:val="right" w:pos="9072"/>
      </w:tabs>
      <w:spacing w:after="0" w:line="240" w:lineRule="auto"/>
    </w:pPr>
  </w:style>
  <w:style w:type="character" w:customStyle="1" w:styleId="lfejChar">
    <w:name w:val="Élőfej Char"/>
    <w:basedOn w:val="Bekezdsalapbettpusa"/>
    <w:link w:val="lfej"/>
    <w:uiPriority w:val="99"/>
    <w:rsid w:val="00441138"/>
    <w:rPr>
      <w:sz w:val="24"/>
      <w:szCs w:val="24"/>
      <w:lang w:eastAsia="en-US"/>
    </w:rPr>
  </w:style>
  <w:style w:type="paragraph" w:styleId="llb">
    <w:name w:val="footer"/>
    <w:basedOn w:val="Norml"/>
    <w:link w:val="llbChar"/>
    <w:uiPriority w:val="99"/>
    <w:unhideWhenUsed/>
    <w:rsid w:val="00441138"/>
    <w:pPr>
      <w:tabs>
        <w:tab w:val="center" w:pos="4536"/>
        <w:tab w:val="right" w:pos="9072"/>
      </w:tabs>
      <w:spacing w:after="0" w:line="240" w:lineRule="auto"/>
    </w:pPr>
  </w:style>
  <w:style w:type="character" w:customStyle="1" w:styleId="llbChar">
    <w:name w:val="Élőláb Char"/>
    <w:basedOn w:val="Bekezdsalapbettpusa"/>
    <w:link w:val="llb"/>
    <w:uiPriority w:val="99"/>
    <w:rsid w:val="00441138"/>
    <w:rPr>
      <w:sz w:val="24"/>
      <w:szCs w:val="24"/>
      <w:lang w:eastAsia="en-US"/>
    </w:rPr>
  </w:style>
  <w:style w:type="character" w:customStyle="1" w:styleId="CharStyle14">
    <w:name w:val="Char Style 14"/>
    <w:link w:val="Style13"/>
    <w:uiPriority w:val="99"/>
    <w:locked/>
    <w:rsid w:val="00ED3C20"/>
    <w:rPr>
      <w:b/>
      <w:bCs/>
      <w:sz w:val="17"/>
      <w:szCs w:val="17"/>
      <w:shd w:val="clear" w:color="auto" w:fill="FFFFFF"/>
    </w:rPr>
  </w:style>
  <w:style w:type="paragraph" w:customStyle="1" w:styleId="Style13">
    <w:name w:val="Style 13"/>
    <w:basedOn w:val="Norml"/>
    <w:link w:val="CharStyle14"/>
    <w:uiPriority w:val="99"/>
    <w:rsid w:val="00ED3C20"/>
    <w:pPr>
      <w:widowControl w:val="0"/>
      <w:shd w:val="clear" w:color="auto" w:fill="FFFFFF"/>
      <w:spacing w:before="720" w:after="0" w:line="341" w:lineRule="exact"/>
      <w:jc w:val="center"/>
    </w:pPr>
    <w:rPr>
      <w:b/>
      <w:bCs/>
      <w:sz w:val="17"/>
      <w:szCs w:val="17"/>
      <w:lang w:eastAsia="hu-HU"/>
    </w:rPr>
  </w:style>
  <w:style w:type="character" w:customStyle="1" w:styleId="CharStyle15">
    <w:name w:val="Char Style 15"/>
    <w:uiPriority w:val="99"/>
    <w:rsid w:val="00ED3C20"/>
    <w:rPr>
      <w:b w:val="0"/>
      <w:bCs w:val="0"/>
      <w:sz w:val="17"/>
      <w:szCs w:val="17"/>
      <w:shd w:val="clear" w:color="auto" w:fill="FFFFFF"/>
    </w:rPr>
  </w:style>
  <w:style w:type="character" w:customStyle="1" w:styleId="CharStyle28">
    <w:name w:val="Char Style 28"/>
    <w:uiPriority w:val="99"/>
    <w:rsid w:val="00EB34D8"/>
    <w:rPr>
      <w:color w:val="221E1F"/>
      <w:sz w:val="14"/>
      <w:szCs w:val="1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EUAlbertina"/>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5684"/>
    <w:pPr>
      <w:spacing w:after="200" w:line="276" w:lineRule="auto"/>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60086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00869"/>
    <w:rPr>
      <w:rFonts w:ascii="Tahoma" w:hAnsi="Tahoma" w:cs="Tahoma"/>
      <w:sz w:val="16"/>
      <w:szCs w:val="16"/>
    </w:rPr>
  </w:style>
  <w:style w:type="character" w:styleId="Jegyzethivatkozs">
    <w:name w:val="annotation reference"/>
    <w:basedOn w:val="Bekezdsalapbettpusa"/>
    <w:uiPriority w:val="99"/>
    <w:semiHidden/>
    <w:rsid w:val="003E34B8"/>
    <w:rPr>
      <w:rFonts w:cs="Times New Roman"/>
      <w:sz w:val="16"/>
      <w:szCs w:val="16"/>
    </w:rPr>
  </w:style>
  <w:style w:type="paragraph" w:styleId="Jegyzetszveg">
    <w:name w:val="annotation text"/>
    <w:basedOn w:val="Norml"/>
    <w:link w:val="JegyzetszvegChar"/>
    <w:uiPriority w:val="99"/>
    <w:semiHidden/>
    <w:rsid w:val="003E34B8"/>
    <w:rPr>
      <w:sz w:val="20"/>
      <w:szCs w:val="20"/>
    </w:rPr>
  </w:style>
  <w:style w:type="character" w:customStyle="1" w:styleId="JegyzetszvegChar">
    <w:name w:val="Jegyzetszöveg Char"/>
    <w:basedOn w:val="Bekezdsalapbettpusa"/>
    <w:link w:val="Jegyzetszveg"/>
    <w:uiPriority w:val="99"/>
    <w:semiHidden/>
    <w:rsid w:val="00E86927"/>
    <w:rPr>
      <w:sz w:val="20"/>
      <w:szCs w:val="20"/>
      <w:lang w:eastAsia="en-US"/>
    </w:rPr>
  </w:style>
  <w:style w:type="paragraph" w:styleId="Megjegyzstrgya">
    <w:name w:val="annotation subject"/>
    <w:basedOn w:val="Jegyzetszveg"/>
    <w:next w:val="Jegyzetszveg"/>
    <w:link w:val="MegjegyzstrgyaChar"/>
    <w:uiPriority w:val="99"/>
    <w:semiHidden/>
    <w:rsid w:val="003E34B8"/>
    <w:rPr>
      <w:b/>
      <w:bCs/>
    </w:rPr>
  </w:style>
  <w:style w:type="character" w:customStyle="1" w:styleId="MegjegyzstrgyaChar">
    <w:name w:val="Megjegyzés tárgya Char"/>
    <w:basedOn w:val="JegyzetszvegChar"/>
    <w:link w:val="Megjegyzstrgya"/>
    <w:uiPriority w:val="99"/>
    <w:semiHidden/>
    <w:rsid w:val="00E86927"/>
    <w:rPr>
      <w:b/>
      <w:bCs/>
      <w:sz w:val="20"/>
      <w:szCs w:val="20"/>
      <w:lang w:eastAsia="en-US"/>
    </w:rPr>
  </w:style>
  <w:style w:type="paragraph" w:styleId="Listaszerbekezds">
    <w:name w:val="List Paragraph"/>
    <w:basedOn w:val="Norml"/>
    <w:uiPriority w:val="34"/>
    <w:qFormat/>
    <w:rsid w:val="00263DEF"/>
    <w:pPr>
      <w:ind w:left="720"/>
      <w:contextualSpacing/>
    </w:pPr>
  </w:style>
  <w:style w:type="table" w:styleId="Rcsostblzat">
    <w:name w:val="Table Grid"/>
    <w:basedOn w:val="Normltblzat"/>
    <w:locked/>
    <w:rsid w:val="00105E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22"/>
    <w:qFormat/>
    <w:locked/>
    <w:rsid w:val="00B427C8"/>
    <w:rPr>
      <w:b/>
      <w:bCs/>
    </w:rPr>
  </w:style>
  <w:style w:type="character" w:styleId="Kiemels">
    <w:name w:val="Emphasis"/>
    <w:basedOn w:val="Bekezdsalapbettpusa"/>
    <w:uiPriority w:val="20"/>
    <w:qFormat/>
    <w:locked/>
    <w:rsid w:val="00B427C8"/>
    <w:rPr>
      <w:i/>
      <w:iCs/>
    </w:rPr>
  </w:style>
  <w:style w:type="character" w:styleId="Hiperhivatkozs">
    <w:name w:val="Hyperlink"/>
    <w:basedOn w:val="Bekezdsalapbettpusa"/>
    <w:uiPriority w:val="99"/>
    <w:unhideWhenUsed/>
    <w:rsid w:val="00490AA5"/>
    <w:rPr>
      <w:color w:val="0000FF" w:themeColor="hyperlink"/>
      <w:u w:val="single"/>
    </w:rPr>
  </w:style>
  <w:style w:type="paragraph" w:styleId="NormlWeb">
    <w:name w:val="Normal (Web)"/>
    <w:basedOn w:val="Norml"/>
    <w:uiPriority w:val="99"/>
    <w:unhideWhenUsed/>
    <w:rsid w:val="00785C5C"/>
    <w:pPr>
      <w:spacing w:before="100" w:beforeAutospacing="1" w:after="100" w:afterAutospacing="1" w:line="240" w:lineRule="auto"/>
    </w:pPr>
    <w:rPr>
      <w:rFonts w:eastAsia="Times New Roman" w:cs="Times New Roman"/>
      <w:lang w:eastAsia="hu-HU"/>
    </w:rPr>
  </w:style>
  <w:style w:type="paragraph" w:customStyle="1" w:styleId="uj">
    <w:name w:val="uj"/>
    <w:basedOn w:val="Norml"/>
    <w:rsid w:val="00CC7E3D"/>
    <w:pPr>
      <w:pBdr>
        <w:left w:val="single" w:sz="36" w:space="3" w:color="FF0000"/>
      </w:pBdr>
      <w:spacing w:after="20" w:line="240" w:lineRule="auto"/>
      <w:ind w:firstLine="180"/>
      <w:jc w:val="both"/>
    </w:pPr>
    <w:rPr>
      <w:rFonts w:eastAsia="Times New Roman" w:cs="Times New Roman"/>
      <w:lang w:eastAsia="hu-HU"/>
    </w:rPr>
  </w:style>
  <w:style w:type="paragraph" w:styleId="Alcm">
    <w:name w:val="Subtitle"/>
    <w:basedOn w:val="Norml"/>
    <w:next w:val="Norml"/>
    <w:link w:val="AlcmChar"/>
    <w:qFormat/>
    <w:locked/>
    <w:rsid w:val="00BC52FD"/>
    <w:pPr>
      <w:numPr>
        <w:ilvl w:val="1"/>
      </w:numPr>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rsid w:val="00BC52FD"/>
    <w:rPr>
      <w:rFonts w:asciiTheme="majorHAnsi" w:eastAsiaTheme="majorEastAsia" w:hAnsiTheme="majorHAnsi" w:cstheme="majorBidi"/>
      <w:i/>
      <w:iCs/>
      <w:color w:val="4F81BD" w:themeColor="accent1"/>
      <w:spacing w:val="15"/>
      <w:sz w:val="24"/>
      <w:szCs w:val="24"/>
      <w:lang w:eastAsia="en-US"/>
    </w:rPr>
  </w:style>
  <w:style w:type="paragraph" w:styleId="Cm">
    <w:name w:val="Title"/>
    <w:basedOn w:val="Norml"/>
    <w:next w:val="Norml"/>
    <w:link w:val="CmChar"/>
    <w:qFormat/>
    <w:locked/>
    <w:rsid w:val="00214A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rsid w:val="00214AE5"/>
    <w:rPr>
      <w:rFonts w:asciiTheme="majorHAnsi" w:eastAsiaTheme="majorEastAsia" w:hAnsiTheme="majorHAnsi" w:cstheme="majorBidi"/>
      <w:color w:val="17365D" w:themeColor="text2" w:themeShade="BF"/>
      <w:spacing w:val="5"/>
      <w:kern w:val="28"/>
      <w:sz w:val="52"/>
      <w:szCs w:val="52"/>
      <w:lang w:eastAsia="en-US"/>
    </w:rPr>
  </w:style>
  <w:style w:type="paragraph" w:styleId="Vltozat">
    <w:name w:val="Revision"/>
    <w:hidden/>
    <w:uiPriority w:val="99"/>
    <w:semiHidden/>
    <w:rsid w:val="00CA3477"/>
    <w:rPr>
      <w:sz w:val="24"/>
      <w:szCs w:val="24"/>
      <w:lang w:eastAsia="en-US"/>
    </w:rPr>
  </w:style>
  <w:style w:type="paragraph" w:styleId="lfej">
    <w:name w:val="header"/>
    <w:basedOn w:val="Norml"/>
    <w:link w:val="lfejChar"/>
    <w:uiPriority w:val="99"/>
    <w:unhideWhenUsed/>
    <w:rsid w:val="00441138"/>
    <w:pPr>
      <w:tabs>
        <w:tab w:val="center" w:pos="4536"/>
        <w:tab w:val="right" w:pos="9072"/>
      </w:tabs>
      <w:spacing w:after="0" w:line="240" w:lineRule="auto"/>
    </w:pPr>
  </w:style>
  <w:style w:type="character" w:customStyle="1" w:styleId="lfejChar">
    <w:name w:val="Élőfej Char"/>
    <w:basedOn w:val="Bekezdsalapbettpusa"/>
    <w:link w:val="lfej"/>
    <w:uiPriority w:val="99"/>
    <w:rsid w:val="00441138"/>
    <w:rPr>
      <w:sz w:val="24"/>
      <w:szCs w:val="24"/>
      <w:lang w:eastAsia="en-US"/>
    </w:rPr>
  </w:style>
  <w:style w:type="paragraph" w:styleId="llb">
    <w:name w:val="footer"/>
    <w:basedOn w:val="Norml"/>
    <w:link w:val="llbChar"/>
    <w:uiPriority w:val="99"/>
    <w:unhideWhenUsed/>
    <w:rsid w:val="00441138"/>
    <w:pPr>
      <w:tabs>
        <w:tab w:val="center" w:pos="4536"/>
        <w:tab w:val="right" w:pos="9072"/>
      </w:tabs>
      <w:spacing w:after="0" w:line="240" w:lineRule="auto"/>
    </w:pPr>
  </w:style>
  <w:style w:type="character" w:customStyle="1" w:styleId="llbChar">
    <w:name w:val="Élőláb Char"/>
    <w:basedOn w:val="Bekezdsalapbettpusa"/>
    <w:link w:val="llb"/>
    <w:uiPriority w:val="99"/>
    <w:rsid w:val="00441138"/>
    <w:rPr>
      <w:sz w:val="24"/>
      <w:szCs w:val="24"/>
      <w:lang w:eastAsia="en-US"/>
    </w:rPr>
  </w:style>
  <w:style w:type="character" w:customStyle="1" w:styleId="CharStyle14">
    <w:name w:val="Char Style 14"/>
    <w:link w:val="Style13"/>
    <w:uiPriority w:val="99"/>
    <w:locked/>
    <w:rsid w:val="00ED3C20"/>
    <w:rPr>
      <w:b/>
      <w:bCs/>
      <w:sz w:val="17"/>
      <w:szCs w:val="17"/>
      <w:shd w:val="clear" w:color="auto" w:fill="FFFFFF"/>
    </w:rPr>
  </w:style>
  <w:style w:type="paragraph" w:customStyle="1" w:styleId="Style13">
    <w:name w:val="Style 13"/>
    <w:basedOn w:val="Norml"/>
    <w:link w:val="CharStyle14"/>
    <w:uiPriority w:val="99"/>
    <w:rsid w:val="00ED3C20"/>
    <w:pPr>
      <w:widowControl w:val="0"/>
      <w:shd w:val="clear" w:color="auto" w:fill="FFFFFF"/>
      <w:spacing w:before="720" w:after="0" w:line="341" w:lineRule="exact"/>
      <w:jc w:val="center"/>
    </w:pPr>
    <w:rPr>
      <w:b/>
      <w:bCs/>
      <w:sz w:val="17"/>
      <w:szCs w:val="17"/>
      <w:lang w:eastAsia="hu-HU"/>
    </w:rPr>
  </w:style>
  <w:style w:type="character" w:customStyle="1" w:styleId="CharStyle15">
    <w:name w:val="Char Style 15"/>
    <w:uiPriority w:val="99"/>
    <w:rsid w:val="00ED3C20"/>
    <w:rPr>
      <w:b w:val="0"/>
      <w:bCs w:val="0"/>
      <w:sz w:val="17"/>
      <w:szCs w:val="17"/>
      <w:shd w:val="clear" w:color="auto" w:fill="FFFFFF"/>
    </w:rPr>
  </w:style>
  <w:style w:type="character" w:customStyle="1" w:styleId="CharStyle28">
    <w:name w:val="Char Style 28"/>
    <w:uiPriority w:val="99"/>
    <w:rsid w:val="00EB34D8"/>
    <w:rPr>
      <w:color w:val="221E1F"/>
      <w:sz w:val="14"/>
      <w:szCs w:val="1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299771">
      <w:bodyDiv w:val="1"/>
      <w:marLeft w:val="0"/>
      <w:marRight w:val="0"/>
      <w:marTop w:val="0"/>
      <w:marBottom w:val="0"/>
      <w:divBdr>
        <w:top w:val="none" w:sz="0" w:space="0" w:color="auto"/>
        <w:left w:val="none" w:sz="0" w:space="0" w:color="auto"/>
        <w:bottom w:val="none" w:sz="0" w:space="0" w:color="auto"/>
        <w:right w:val="none" w:sz="0" w:space="0" w:color="auto"/>
      </w:divBdr>
    </w:div>
    <w:div w:id="351226134">
      <w:bodyDiv w:val="1"/>
      <w:marLeft w:val="0"/>
      <w:marRight w:val="0"/>
      <w:marTop w:val="0"/>
      <w:marBottom w:val="0"/>
      <w:divBdr>
        <w:top w:val="none" w:sz="0" w:space="0" w:color="auto"/>
        <w:left w:val="none" w:sz="0" w:space="0" w:color="auto"/>
        <w:bottom w:val="none" w:sz="0" w:space="0" w:color="auto"/>
        <w:right w:val="none" w:sz="0" w:space="0" w:color="auto"/>
      </w:divBdr>
    </w:div>
    <w:div w:id="576133057">
      <w:bodyDiv w:val="1"/>
      <w:marLeft w:val="0"/>
      <w:marRight w:val="0"/>
      <w:marTop w:val="0"/>
      <w:marBottom w:val="0"/>
      <w:divBdr>
        <w:top w:val="none" w:sz="0" w:space="0" w:color="auto"/>
        <w:left w:val="none" w:sz="0" w:space="0" w:color="auto"/>
        <w:bottom w:val="none" w:sz="0" w:space="0" w:color="auto"/>
        <w:right w:val="none" w:sz="0" w:space="0" w:color="auto"/>
      </w:divBdr>
      <w:divsChild>
        <w:div w:id="178158695">
          <w:marLeft w:val="0"/>
          <w:marRight w:val="0"/>
          <w:marTop w:val="0"/>
          <w:marBottom w:val="0"/>
          <w:divBdr>
            <w:top w:val="none" w:sz="0" w:space="0" w:color="auto"/>
            <w:left w:val="none" w:sz="0" w:space="0" w:color="auto"/>
            <w:bottom w:val="none" w:sz="0" w:space="0" w:color="auto"/>
            <w:right w:val="none" w:sz="0" w:space="0" w:color="auto"/>
          </w:divBdr>
          <w:divsChild>
            <w:div w:id="631978465">
              <w:marLeft w:val="0"/>
              <w:marRight w:val="0"/>
              <w:marTop w:val="0"/>
              <w:marBottom w:val="0"/>
              <w:divBdr>
                <w:top w:val="none" w:sz="0" w:space="0" w:color="auto"/>
                <w:left w:val="none" w:sz="0" w:space="0" w:color="auto"/>
                <w:bottom w:val="none" w:sz="0" w:space="0" w:color="auto"/>
                <w:right w:val="none" w:sz="0" w:space="0" w:color="auto"/>
              </w:divBdr>
              <w:divsChild>
                <w:div w:id="184909110">
                  <w:marLeft w:val="0"/>
                  <w:marRight w:val="0"/>
                  <w:marTop w:val="0"/>
                  <w:marBottom w:val="0"/>
                  <w:divBdr>
                    <w:top w:val="none" w:sz="0" w:space="0" w:color="auto"/>
                    <w:left w:val="none" w:sz="0" w:space="0" w:color="auto"/>
                    <w:bottom w:val="none" w:sz="0" w:space="0" w:color="auto"/>
                    <w:right w:val="none" w:sz="0" w:space="0" w:color="auto"/>
                  </w:divBdr>
                  <w:divsChild>
                    <w:div w:id="1689064319">
                      <w:marLeft w:val="0"/>
                      <w:marRight w:val="0"/>
                      <w:marTop w:val="0"/>
                      <w:marBottom w:val="0"/>
                      <w:divBdr>
                        <w:top w:val="none" w:sz="0" w:space="0" w:color="auto"/>
                        <w:left w:val="none" w:sz="0" w:space="0" w:color="auto"/>
                        <w:bottom w:val="none" w:sz="0" w:space="0" w:color="auto"/>
                        <w:right w:val="none" w:sz="0" w:space="0" w:color="auto"/>
                      </w:divBdr>
                      <w:divsChild>
                        <w:div w:id="702285707">
                          <w:marLeft w:val="0"/>
                          <w:marRight w:val="0"/>
                          <w:marTop w:val="0"/>
                          <w:marBottom w:val="0"/>
                          <w:divBdr>
                            <w:top w:val="none" w:sz="0" w:space="0" w:color="auto"/>
                            <w:left w:val="none" w:sz="0" w:space="0" w:color="auto"/>
                            <w:bottom w:val="none" w:sz="0" w:space="0" w:color="auto"/>
                            <w:right w:val="none" w:sz="0" w:space="0" w:color="auto"/>
                          </w:divBdr>
                          <w:divsChild>
                            <w:div w:id="1895235868">
                              <w:marLeft w:val="0"/>
                              <w:marRight w:val="0"/>
                              <w:marTop w:val="0"/>
                              <w:marBottom w:val="0"/>
                              <w:divBdr>
                                <w:top w:val="none" w:sz="0" w:space="0" w:color="auto"/>
                                <w:left w:val="none" w:sz="0" w:space="0" w:color="auto"/>
                                <w:bottom w:val="none" w:sz="0" w:space="0" w:color="auto"/>
                                <w:right w:val="none" w:sz="0" w:space="0" w:color="auto"/>
                              </w:divBdr>
                              <w:divsChild>
                                <w:div w:id="1677460973">
                                  <w:marLeft w:val="0"/>
                                  <w:marRight w:val="0"/>
                                  <w:marTop w:val="0"/>
                                  <w:marBottom w:val="0"/>
                                  <w:divBdr>
                                    <w:top w:val="none" w:sz="0" w:space="0" w:color="auto"/>
                                    <w:left w:val="none" w:sz="0" w:space="0" w:color="auto"/>
                                    <w:bottom w:val="none" w:sz="0" w:space="0" w:color="auto"/>
                                    <w:right w:val="none" w:sz="0" w:space="0" w:color="auto"/>
                                  </w:divBdr>
                                  <w:divsChild>
                                    <w:div w:id="13343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378344">
      <w:bodyDiv w:val="1"/>
      <w:marLeft w:val="0"/>
      <w:marRight w:val="0"/>
      <w:marTop w:val="0"/>
      <w:marBottom w:val="0"/>
      <w:divBdr>
        <w:top w:val="none" w:sz="0" w:space="0" w:color="auto"/>
        <w:left w:val="none" w:sz="0" w:space="0" w:color="auto"/>
        <w:bottom w:val="none" w:sz="0" w:space="0" w:color="auto"/>
        <w:right w:val="none" w:sz="0" w:space="0" w:color="auto"/>
      </w:divBdr>
    </w:div>
    <w:div w:id="945112243">
      <w:bodyDiv w:val="1"/>
      <w:marLeft w:val="0"/>
      <w:marRight w:val="0"/>
      <w:marTop w:val="0"/>
      <w:marBottom w:val="0"/>
      <w:divBdr>
        <w:top w:val="none" w:sz="0" w:space="0" w:color="auto"/>
        <w:left w:val="none" w:sz="0" w:space="0" w:color="auto"/>
        <w:bottom w:val="none" w:sz="0" w:space="0" w:color="auto"/>
        <w:right w:val="none" w:sz="0" w:space="0" w:color="auto"/>
      </w:divBdr>
    </w:div>
    <w:div w:id="1083987960">
      <w:bodyDiv w:val="1"/>
      <w:marLeft w:val="0"/>
      <w:marRight w:val="0"/>
      <w:marTop w:val="0"/>
      <w:marBottom w:val="0"/>
      <w:divBdr>
        <w:top w:val="none" w:sz="0" w:space="0" w:color="auto"/>
        <w:left w:val="none" w:sz="0" w:space="0" w:color="auto"/>
        <w:bottom w:val="none" w:sz="0" w:space="0" w:color="auto"/>
        <w:right w:val="none" w:sz="0" w:space="0" w:color="auto"/>
      </w:divBdr>
      <w:divsChild>
        <w:div w:id="1808931907">
          <w:marLeft w:val="0"/>
          <w:marRight w:val="0"/>
          <w:marTop w:val="0"/>
          <w:marBottom w:val="0"/>
          <w:divBdr>
            <w:top w:val="none" w:sz="0" w:space="0" w:color="auto"/>
            <w:left w:val="none" w:sz="0" w:space="0" w:color="auto"/>
            <w:bottom w:val="none" w:sz="0" w:space="0" w:color="auto"/>
            <w:right w:val="none" w:sz="0" w:space="0" w:color="auto"/>
          </w:divBdr>
          <w:divsChild>
            <w:div w:id="32506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523376">
      <w:bodyDiv w:val="1"/>
      <w:marLeft w:val="0"/>
      <w:marRight w:val="0"/>
      <w:marTop w:val="0"/>
      <w:marBottom w:val="0"/>
      <w:divBdr>
        <w:top w:val="none" w:sz="0" w:space="0" w:color="auto"/>
        <w:left w:val="none" w:sz="0" w:space="0" w:color="auto"/>
        <w:bottom w:val="none" w:sz="0" w:space="0" w:color="auto"/>
        <w:right w:val="none" w:sz="0" w:space="0" w:color="auto"/>
      </w:divBdr>
    </w:div>
    <w:div w:id="1307858848">
      <w:bodyDiv w:val="1"/>
      <w:marLeft w:val="0"/>
      <w:marRight w:val="0"/>
      <w:marTop w:val="0"/>
      <w:marBottom w:val="0"/>
      <w:divBdr>
        <w:top w:val="none" w:sz="0" w:space="0" w:color="auto"/>
        <w:left w:val="none" w:sz="0" w:space="0" w:color="auto"/>
        <w:bottom w:val="none" w:sz="0" w:space="0" w:color="auto"/>
        <w:right w:val="none" w:sz="0" w:space="0" w:color="auto"/>
      </w:divBdr>
    </w:div>
    <w:div w:id="17901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5D67E-B5D5-45D2-8ED7-E2E442447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4118</Words>
  <Characters>28422</Characters>
  <Application>Microsoft Office Word</Application>
  <DocSecurity>0</DocSecurity>
  <Lines>236</Lines>
  <Paragraphs>64</Paragraphs>
  <ScaleCrop>false</ScaleCrop>
  <HeadingPairs>
    <vt:vector size="2" baseType="variant">
      <vt:variant>
        <vt:lpstr>Cím</vt:lpstr>
      </vt:variant>
      <vt:variant>
        <vt:i4>1</vt:i4>
      </vt:variant>
    </vt:vector>
  </HeadingPairs>
  <TitlesOfParts>
    <vt:vector size="1" baseType="lpstr">
      <vt:lpstr>…/2013</vt:lpstr>
    </vt:vector>
  </TitlesOfParts>
  <Company>KSZF</Company>
  <LinksUpToDate>false</LinksUpToDate>
  <CharactersWithSpaces>32476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dc:title>
  <dc:creator>lucskaia</dc:creator>
  <cp:lastModifiedBy>Pajer Adrienn</cp:lastModifiedBy>
  <cp:revision>3</cp:revision>
  <cp:lastPrinted>2014-06-24T08:20:00Z</cp:lastPrinted>
  <dcterms:created xsi:type="dcterms:W3CDTF">2014-07-14T08:57:00Z</dcterms:created>
  <dcterms:modified xsi:type="dcterms:W3CDTF">2014-07-14T12:34:00Z</dcterms:modified>
</cp:coreProperties>
</file>