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2E" w:rsidRPr="003C1D83" w:rsidRDefault="00C01DDB" w:rsidP="00713EA1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C1D83">
        <w:rPr>
          <w:rFonts w:ascii="Verdana" w:hAnsi="Verdana" w:cs="Times New Roman"/>
          <w:b/>
          <w:sz w:val="20"/>
          <w:szCs w:val="20"/>
        </w:rPr>
        <w:t>ÚNKP 2018/2019. elszámolható költségek</w:t>
      </w:r>
    </w:p>
    <w:p w:rsidR="00C01DDB" w:rsidRPr="003C1D83" w:rsidRDefault="00C01DDB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01DDB" w:rsidRPr="003C1D83" w:rsidRDefault="00C01DDB" w:rsidP="00082A0C">
      <w:pPr>
        <w:spacing w:after="0" w:line="240" w:lineRule="auto"/>
        <w:jc w:val="both"/>
        <w:outlineLvl w:val="0"/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</w:pPr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 xml:space="preserve">24/2013. </w:t>
      </w:r>
      <w:proofErr w:type="gramStart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>(II. 5.)</w:t>
      </w:r>
      <w:proofErr w:type="gramEnd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 xml:space="preserve"> </w:t>
      </w:r>
      <w:proofErr w:type="gramStart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>Korm.</w:t>
      </w:r>
      <w:proofErr w:type="gramEnd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 xml:space="preserve"> </w:t>
      </w:r>
      <w:proofErr w:type="gramStart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>rendelet</w:t>
      </w:r>
      <w:proofErr w:type="gramEnd"/>
      <w:r w:rsidRPr="003C1D83">
        <w:rPr>
          <w:rFonts w:ascii="Verdana" w:eastAsia="Times New Roman" w:hAnsi="Verdana" w:cs="Times New Roman"/>
          <w:b/>
          <w:bCs/>
          <w:color w:val="474747"/>
          <w:spacing w:val="-5"/>
          <w:kern w:val="36"/>
          <w:sz w:val="20"/>
          <w:szCs w:val="20"/>
          <w:lang w:val="en" w:eastAsia="hu-HU"/>
        </w:rPr>
        <w:t xml:space="preserve"> a nemzeti felsőoktatási kiválóságról 12. § </w:t>
      </w:r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(2)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Az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előirányzat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terhére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proofErr w:type="gram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az</w:t>
      </w:r>
      <w:proofErr w:type="spellEnd"/>
      <w:proofErr w:type="gram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ösztöndíj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összege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negyven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százalékának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megfelelő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támogatás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biztosítható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a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felsőoktatási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intézmény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számára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. A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támogatás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proofErr w:type="gram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az</w:t>
      </w:r>
      <w:proofErr w:type="spellEnd"/>
      <w:proofErr w:type="gram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ösztöndíjjal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támogatott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kutatásának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dologi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és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felhalmozási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költségeinek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,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továbbá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a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felsőoktatási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intézmény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kutatással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összefüggő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általános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költségeinek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,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valamint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az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ösztöndíj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lebonyolítási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költségeinek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fedezetére</w:t>
      </w:r>
      <w:proofErr w:type="spellEnd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b/>
          <w:color w:val="474747"/>
          <w:sz w:val="20"/>
          <w:szCs w:val="20"/>
          <w:lang w:val="en" w:eastAsia="hu-HU"/>
        </w:rPr>
        <w:t>fordítható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. </w:t>
      </w:r>
      <w:proofErr w:type="spellStart"/>
      <w:proofErr w:type="gram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Az</w:t>
      </w:r>
      <w:proofErr w:type="spellEnd"/>
      <w:proofErr w:type="gram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általános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költségek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és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a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lebonyolítási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költségek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összege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nem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haladhatja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meg a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támogatás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összegének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ötven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 </w:t>
      </w:r>
      <w:proofErr w:type="spellStart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>százalékát</w:t>
      </w:r>
      <w:proofErr w:type="spellEnd"/>
      <w:r w:rsidRPr="003C1D83">
        <w:rPr>
          <w:rFonts w:ascii="Verdana" w:eastAsia="Times New Roman" w:hAnsi="Verdana" w:cs="Times New Roman"/>
          <w:color w:val="474747"/>
          <w:sz w:val="20"/>
          <w:szCs w:val="20"/>
          <w:lang w:val="en" w:eastAsia="hu-HU"/>
        </w:rPr>
        <w:t xml:space="preserve">. </w:t>
      </w:r>
    </w:p>
    <w:p w:rsidR="00C01DDB" w:rsidRPr="003C1D83" w:rsidRDefault="00C01DDB" w:rsidP="00082A0C">
      <w:pPr>
        <w:spacing w:after="0" w:line="240" w:lineRule="auto"/>
        <w:ind w:left="108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F00BA7" w:rsidRPr="003C1D83" w:rsidRDefault="0078070C" w:rsidP="00082A0C">
      <w:pPr>
        <w:pStyle w:val="Listaszerbekezds"/>
        <w:numPr>
          <w:ilvl w:val="0"/>
          <w:numId w:val="11"/>
        </w:numPr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  <w:r w:rsidRPr="003C1D83">
        <w:rPr>
          <w:rFonts w:ascii="Verdana" w:hAnsi="Verdana" w:cs="Times New Roman"/>
          <w:b/>
          <w:sz w:val="20"/>
          <w:szCs w:val="20"/>
          <w:lang w:eastAsia="hu-HU"/>
        </w:rPr>
        <w:t>Bérköltség, egyéb s</w:t>
      </w:r>
      <w:r w:rsidR="00F00BA7" w:rsidRPr="003C1D83">
        <w:rPr>
          <w:rFonts w:ascii="Verdana" w:hAnsi="Verdana" w:cs="Times New Roman"/>
          <w:b/>
          <w:sz w:val="20"/>
          <w:szCs w:val="20"/>
          <w:lang w:eastAsia="hu-HU"/>
        </w:rPr>
        <w:t xml:space="preserve">zemélyi </w:t>
      </w:r>
      <w:r w:rsidR="00425BF9" w:rsidRPr="003C1D83">
        <w:rPr>
          <w:rFonts w:ascii="Verdana" w:hAnsi="Verdana" w:cs="Times New Roman"/>
          <w:b/>
          <w:sz w:val="20"/>
          <w:szCs w:val="20"/>
          <w:lang w:eastAsia="hu-HU"/>
        </w:rPr>
        <w:t>jellegű kifizetések</w:t>
      </w:r>
      <w:r w:rsidR="00F00BA7" w:rsidRPr="003C1D83">
        <w:rPr>
          <w:rFonts w:ascii="Verdana" w:hAnsi="Verdana" w:cs="Times New Roman"/>
          <w:b/>
          <w:sz w:val="20"/>
          <w:szCs w:val="20"/>
          <w:lang w:eastAsia="hu-HU"/>
        </w:rPr>
        <w:t xml:space="preserve"> </w:t>
      </w:r>
    </w:p>
    <w:p w:rsidR="00082A0C" w:rsidRPr="003C1D83" w:rsidRDefault="00082A0C" w:rsidP="00082A0C">
      <w:pPr>
        <w:pStyle w:val="Listaszerbekezds"/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</w:p>
    <w:p w:rsidR="00F67A2E" w:rsidRPr="003C1D83" w:rsidRDefault="00425BF9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K</w:t>
      </w:r>
      <w:r w:rsidR="00F67A2E" w:rsidRPr="003C1D83">
        <w:rPr>
          <w:rFonts w:ascii="Verdana" w:hAnsi="Verdana" w:cs="Times New Roman"/>
          <w:sz w:val="20"/>
          <w:szCs w:val="20"/>
          <w:lang w:eastAsia="hu-HU"/>
        </w:rPr>
        <w:t>izárólag a</w:t>
      </w:r>
      <w:r w:rsidR="000A038A" w:rsidRPr="003C1D83">
        <w:rPr>
          <w:rFonts w:ascii="Verdana" w:hAnsi="Verdana" w:cs="Times New Roman"/>
          <w:sz w:val="20"/>
          <w:szCs w:val="20"/>
          <w:lang w:eastAsia="hu-HU"/>
        </w:rPr>
        <w:t>z</w:t>
      </w:r>
      <w:r w:rsidR="00F67A2E" w:rsidRPr="003C1D83">
        <w:rPr>
          <w:rFonts w:ascii="Verdana" w:hAnsi="Verdana" w:cs="Times New Roman"/>
          <w:sz w:val="20"/>
          <w:szCs w:val="20"/>
          <w:lang w:eastAsia="hu-HU"/>
        </w:rPr>
        <w:t xml:space="preserve"> </w:t>
      </w:r>
      <w:proofErr w:type="spellStart"/>
      <w:r w:rsidR="000A038A" w:rsidRPr="003C1D83">
        <w:rPr>
          <w:rFonts w:ascii="Verdana" w:hAnsi="Verdana" w:cs="Times New Roman"/>
          <w:sz w:val="20"/>
          <w:szCs w:val="20"/>
          <w:lang w:eastAsia="hu-HU"/>
        </w:rPr>
        <w:t>ÚNKP-val</w:t>
      </w:r>
      <w:proofErr w:type="spellEnd"/>
      <w:r w:rsidR="00F67A2E" w:rsidRPr="003C1D83">
        <w:rPr>
          <w:rFonts w:ascii="Verdana" w:hAnsi="Verdana" w:cs="Times New Roman"/>
          <w:sz w:val="20"/>
          <w:szCs w:val="20"/>
          <w:lang w:eastAsia="hu-HU"/>
        </w:rPr>
        <w:t xml:space="preserve"> összefüggő személyi jellegű ráfordítások (</w:t>
      </w:r>
      <w:r w:rsidR="00F00BA7" w:rsidRPr="003C1D83">
        <w:rPr>
          <w:rFonts w:ascii="Verdana" w:hAnsi="Verdana" w:cs="Times New Roman"/>
          <w:sz w:val="20"/>
          <w:szCs w:val="20"/>
          <w:lang w:eastAsia="hu-HU"/>
        </w:rPr>
        <w:t>pályázatok bírálói, ÚNKP adminisztrátorok</w:t>
      </w:r>
      <w:r w:rsidR="00F67A2E" w:rsidRPr="003C1D83">
        <w:rPr>
          <w:rFonts w:ascii="Verdana" w:hAnsi="Verdana" w:cs="Times New Roman"/>
          <w:sz w:val="20"/>
          <w:szCs w:val="20"/>
          <w:lang w:eastAsia="hu-HU"/>
        </w:rPr>
        <w:t>)</w:t>
      </w:r>
      <w:r w:rsidR="00082A0C" w:rsidRPr="003C1D83">
        <w:rPr>
          <w:rFonts w:ascii="Verdana" w:hAnsi="Verdana" w:cs="Times New Roman"/>
          <w:sz w:val="20"/>
          <w:szCs w:val="20"/>
          <w:lang w:eastAsia="hu-HU"/>
        </w:rPr>
        <w:t xml:space="preserve"> számolhatók</w:t>
      </w:r>
      <w:r w:rsidR="00B74394" w:rsidRPr="003C1D83">
        <w:rPr>
          <w:rFonts w:ascii="Verdana" w:hAnsi="Verdana" w:cs="Times New Roman"/>
          <w:sz w:val="20"/>
          <w:szCs w:val="20"/>
          <w:lang w:eastAsia="hu-HU"/>
        </w:rPr>
        <w:t xml:space="preserve"> el</w:t>
      </w:r>
      <w:r w:rsidR="00082A0C" w:rsidRPr="003C1D83">
        <w:rPr>
          <w:rFonts w:ascii="Verdana" w:hAnsi="Verdana" w:cs="Times New Roman"/>
          <w:sz w:val="20"/>
          <w:szCs w:val="20"/>
          <w:lang w:eastAsia="hu-HU"/>
        </w:rPr>
        <w:t>.</w:t>
      </w:r>
    </w:p>
    <w:p w:rsidR="00425BF9" w:rsidRPr="003C1D83" w:rsidRDefault="00F67A2E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Elszámolható </w:t>
      </w:r>
      <w:r w:rsidR="002F4B9E" w:rsidRPr="003C1D83">
        <w:rPr>
          <w:rFonts w:ascii="Verdana" w:hAnsi="Verdana" w:cs="Times New Roman"/>
          <w:sz w:val="20"/>
          <w:szCs w:val="20"/>
          <w:lang w:eastAsia="hu-HU"/>
        </w:rPr>
        <w:t>az ÚNKP ügyintézők, és a pályázatok bírálóinak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bérköltség</w:t>
      </w:r>
      <w:r w:rsidR="002F4B9E" w:rsidRPr="003C1D83">
        <w:rPr>
          <w:rFonts w:ascii="Verdana" w:hAnsi="Verdana" w:cs="Times New Roman"/>
          <w:sz w:val="20"/>
          <w:szCs w:val="20"/>
          <w:lang w:eastAsia="hu-HU"/>
        </w:rPr>
        <w:t>e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(közalkalmazotti jogviszony (illetve közalkalmazott részére munkakörébe nem tartozó többletfeladatra kötött </w:t>
      </w:r>
      <w:proofErr w:type="spellStart"/>
      <w:r w:rsidRPr="003C1D83">
        <w:rPr>
          <w:rFonts w:ascii="Verdana" w:hAnsi="Verdana" w:cs="Times New Roman"/>
          <w:sz w:val="20"/>
          <w:szCs w:val="20"/>
          <w:lang w:eastAsia="hu-HU"/>
        </w:rPr>
        <w:t>keresetkiegészítésről</w:t>
      </w:r>
      <w:proofErr w:type="spellEnd"/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szóló megállapodás), vagy munkaviszony, vagy természetes személlyel kötött megbízási szerződés keretében történő munkavégzés keretében). Munkavállalóknak fizetett személyi jellegű költségek: munkába járás költsége, étkezési hozzájárulás járulékkal és kezelési költségekkel együtt, </w:t>
      </w:r>
      <w:proofErr w:type="spellStart"/>
      <w:r w:rsidRPr="003C1D83">
        <w:rPr>
          <w:rFonts w:ascii="Verdana" w:hAnsi="Verdana" w:cs="Times New Roman"/>
          <w:sz w:val="20"/>
          <w:szCs w:val="20"/>
          <w:lang w:eastAsia="hu-HU"/>
        </w:rPr>
        <w:t>Cafeteria</w:t>
      </w:r>
      <w:proofErr w:type="spellEnd"/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juttatás, ruhapénz járulékokkal együtt elszámolható abban az esetben, ha az intézmény egységes, minden munkavállalójára kiterjedő, jogszabályoknak megfelelő belső szabályozással rendelkezik a kifizethető juttatások körére és mértékére vonatkozóan. A tevékenységhez kapcsolódó egyéb személyi jellegű kifizetések (ruhapénz, étkezési jegy, tömegközlekedési bérlet/jegy stb.), kapcsolódó járulékaikkal együtt az intézmény belső szabályzatával összhangban, a tevékenységre fordított munkaidővel arányosan elszámolhatók. Nem számolható el jutalom v</w:t>
      </w:r>
      <w:bookmarkStart w:id="0" w:name="_GoBack"/>
      <w:bookmarkEnd w:id="0"/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agy olyan jutalom jellegű kifizetés, amely mögött a teljesítés nem igazolható. </w:t>
      </w:r>
    </w:p>
    <w:p w:rsidR="00425BF9" w:rsidRPr="003C1D83" w:rsidRDefault="00425BF9" w:rsidP="00082A0C">
      <w:pPr>
        <w:spacing w:after="0" w:line="240" w:lineRule="auto"/>
        <w:ind w:left="1080"/>
        <w:jc w:val="both"/>
        <w:rPr>
          <w:rFonts w:ascii="Verdana" w:hAnsi="Verdana" w:cs="Times New Roman"/>
          <w:sz w:val="20"/>
          <w:szCs w:val="20"/>
          <w:lang w:eastAsia="hu-HU"/>
        </w:rPr>
      </w:pPr>
    </w:p>
    <w:p w:rsidR="00425BF9" w:rsidRPr="003C1D83" w:rsidRDefault="00425BF9" w:rsidP="00082A0C">
      <w:pPr>
        <w:spacing w:after="0" w:line="240" w:lineRule="auto"/>
        <w:ind w:left="1080"/>
        <w:jc w:val="both"/>
        <w:rPr>
          <w:rFonts w:ascii="Verdana" w:hAnsi="Verdana" w:cs="Times New Roman"/>
          <w:sz w:val="20"/>
          <w:szCs w:val="20"/>
          <w:lang w:eastAsia="hu-HU"/>
        </w:rPr>
      </w:pPr>
    </w:p>
    <w:p w:rsidR="002F4B9E" w:rsidRPr="003C1D83" w:rsidRDefault="002F4B9E" w:rsidP="00082A0C">
      <w:pPr>
        <w:pStyle w:val="Listaszerbekezds"/>
        <w:numPr>
          <w:ilvl w:val="0"/>
          <w:numId w:val="11"/>
        </w:numPr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  <w:r w:rsidRPr="003C1D83">
        <w:rPr>
          <w:rFonts w:ascii="Verdana" w:hAnsi="Verdana" w:cs="Times New Roman"/>
          <w:b/>
          <w:sz w:val="20"/>
          <w:szCs w:val="20"/>
          <w:lang w:eastAsia="hu-HU"/>
        </w:rPr>
        <w:t>Munkaadókat terhelő járulékok és szociális hozzájárulási adó</w:t>
      </w:r>
    </w:p>
    <w:p w:rsidR="00082A0C" w:rsidRPr="003C1D83" w:rsidRDefault="00082A0C" w:rsidP="00082A0C">
      <w:pPr>
        <w:pStyle w:val="Listaszerbekezds"/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</w:p>
    <w:p w:rsidR="00F67A2E" w:rsidRPr="003C1D83" w:rsidRDefault="00F67A2E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Elszámolhatók a hatályos jogszabályok szerinti, munkáltatót terhelő adók és járulékok.</w:t>
      </w:r>
      <w:r w:rsidR="00F00BA7" w:rsidRPr="003C1D83">
        <w:rPr>
          <w:rFonts w:ascii="Verdana" w:hAnsi="Verdana" w:cs="Times New Roman"/>
          <w:sz w:val="20"/>
          <w:szCs w:val="20"/>
          <w:lang w:eastAsia="hu-HU"/>
        </w:rPr>
        <w:t xml:space="preserve"> </w:t>
      </w:r>
    </w:p>
    <w:p w:rsidR="00082A0C" w:rsidRPr="003C1D83" w:rsidRDefault="00082A0C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</w:p>
    <w:p w:rsidR="00F00BA7" w:rsidRPr="003C1D83" w:rsidRDefault="00F00BA7" w:rsidP="00082A0C">
      <w:pPr>
        <w:pStyle w:val="Listaszerbekezds"/>
        <w:numPr>
          <w:ilvl w:val="0"/>
          <w:numId w:val="11"/>
        </w:numPr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  <w:r w:rsidRPr="003C1D83">
        <w:rPr>
          <w:rFonts w:ascii="Verdana" w:hAnsi="Verdana" w:cs="Times New Roman"/>
          <w:b/>
          <w:sz w:val="20"/>
          <w:szCs w:val="20"/>
          <w:lang w:eastAsia="hu-HU"/>
        </w:rPr>
        <w:t>Dologi kiadások</w:t>
      </w:r>
    </w:p>
    <w:p w:rsidR="00082A0C" w:rsidRPr="003C1D83" w:rsidRDefault="00082A0C" w:rsidP="00082A0C">
      <w:pPr>
        <w:pStyle w:val="Listaszerbekezds"/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</w:p>
    <w:p w:rsidR="00425BF9" w:rsidRPr="003C1D83" w:rsidRDefault="00425BF9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A tevékenység megvalósítása érdekében szükséges és elengedhetetlen dologi kiadások elszámolására van lehetőség, melyek közvetlenül kapcsolódnak az ösztöndíjasok kutatásához, illetve az ösztöndíjprogram </w:t>
      </w:r>
      <w:r w:rsidR="000A038A" w:rsidRPr="003C1D83">
        <w:rPr>
          <w:rFonts w:ascii="Verdana" w:hAnsi="Verdana" w:cs="Times New Roman"/>
          <w:sz w:val="20"/>
          <w:szCs w:val="20"/>
          <w:lang w:eastAsia="hu-HU"/>
        </w:rPr>
        <w:t>lebonyolításához</w:t>
      </w:r>
      <w:r w:rsidR="00082A0C" w:rsidRPr="003C1D83">
        <w:rPr>
          <w:rFonts w:ascii="Verdana" w:hAnsi="Verdana" w:cs="Times New Roman"/>
          <w:sz w:val="20"/>
          <w:szCs w:val="20"/>
          <w:lang w:eastAsia="hu-HU"/>
        </w:rPr>
        <w:t>.</w:t>
      </w:r>
      <w:r w:rsidR="00507D88" w:rsidRPr="003C1D83">
        <w:rPr>
          <w:rFonts w:ascii="Verdana" w:hAnsi="Verdana" w:cs="Times New Roman"/>
          <w:sz w:val="20"/>
          <w:szCs w:val="20"/>
          <w:lang w:eastAsia="hu-HU"/>
        </w:rPr>
        <w:t xml:space="preserve"> </w:t>
      </w:r>
    </w:p>
    <w:p w:rsidR="00507D88" w:rsidRPr="003C1D83" w:rsidRDefault="00507D88" w:rsidP="00082A0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Anyagköltség, készletbeszerzés</w:t>
      </w:r>
    </w:p>
    <w:p w:rsidR="002F4B9E" w:rsidRPr="003C1D83" w:rsidRDefault="00F00BA7" w:rsidP="00082A0C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Szakmai anyagok beszerzése</w:t>
      </w:r>
      <w:r w:rsidR="00507D88" w:rsidRPr="003C1D83">
        <w:rPr>
          <w:rFonts w:ascii="Verdana" w:hAnsi="Verdana" w:cs="Times New Roman"/>
          <w:sz w:val="20"/>
          <w:szCs w:val="20"/>
          <w:lang w:eastAsia="hu-HU"/>
        </w:rPr>
        <w:t>: e</w:t>
      </w:r>
      <w:r w:rsidR="002F4B9E" w:rsidRPr="003C1D83">
        <w:rPr>
          <w:rFonts w:ascii="Verdana" w:hAnsi="Verdana" w:cs="Times New Roman"/>
          <w:sz w:val="20"/>
          <w:szCs w:val="20"/>
          <w:lang w:eastAsia="hu-HU"/>
        </w:rPr>
        <w:t>lszámolható többek között az ösztöndíjasok kutatásához szükséges folyóiratok, könyvek beszerzése, előfizetése után fizetett vételár, valamint a kutatáshoz szükséges anyagok, eszközök, védőfelszerelések vételára</w:t>
      </w:r>
    </w:p>
    <w:p w:rsidR="00935984" w:rsidRPr="003C1D83" w:rsidRDefault="00F00BA7" w:rsidP="00082A0C">
      <w:pPr>
        <w:pStyle w:val="Listaszerbekezds"/>
        <w:numPr>
          <w:ilvl w:val="2"/>
          <w:numId w:val="7"/>
        </w:numPr>
        <w:spacing w:after="0" w:line="240" w:lineRule="auto"/>
        <w:ind w:left="1800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Üzemeltetési anyagok beszerzése</w:t>
      </w:r>
      <w:r w:rsidR="00507D88" w:rsidRPr="003C1D83">
        <w:rPr>
          <w:rFonts w:ascii="Verdana" w:hAnsi="Verdana" w:cs="Times New Roman"/>
          <w:sz w:val="20"/>
          <w:szCs w:val="20"/>
          <w:lang w:eastAsia="hu-HU"/>
        </w:rPr>
        <w:t>: e</w:t>
      </w:r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lszámolható az ösztöndíjprogram lebonyolításával, valamint az ösztöndíjasok kutatásával összefüggésben vásárolt irodaszer</w:t>
      </w:r>
      <w:r w:rsidR="000A038A" w:rsidRPr="003C1D83">
        <w:rPr>
          <w:rFonts w:ascii="Verdana" w:hAnsi="Verdana" w:cs="Times New Roman"/>
          <w:sz w:val="20"/>
          <w:szCs w:val="20"/>
          <w:lang w:eastAsia="hu-HU"/>
        </w:rPr>
        <w:t>ek</w:t>
      </w:r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, nyomtatási, sokszorosítási feladatokkal összefüggő anyagok beszerzése után fizetett vételár</w:t>
      </w:r>
    </w:p>
    <w:p w:rsidR="00935984" w:rsidRPr="003C1D83" w:rsidRDefault="00F00BA7" w:rsidP="00082A0C">
      <w:pPr>
        <w:pStyle w:val="Listaszerbekezds"/>
        <w:numPr>
          <w:ilvl w:val="2"/>
          <w:numId w:val="7"/>
        </w:numPr>
        <w:spacing w:after="0" w:line="240" w:lineRule="auto"/>
        <w:ind w:left="1800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Informatikai szolgáltatások igénybevétele</w:t>
      </w:r>
      <w:r w:rsidR="00507D88" w:rsidRPr="003C1D83">
        <w:rPr>
          <w:rFonts w:ascii="Verdana" w:hAnsi="Verdana" w:cs="Times New Roman"/>
          <w:sz w:val="20"/>
          <w:szCs w:val="20"/>
          <w:lang w:eastAsia="hu-HU"/>
        </w:rPr>
        <w:t>: e</w:t>
      </w:r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lszámolható a kutatással összefüggésbe hozható adatbázis előfizetése, szoftver, licenc vételára</w:t>
      </w:r>
    </w:p>
    <w:p w:rsidR="00507D88" w:rsidRPr="003C1D83" w:rsidRDefault="00507D88" w:rsidP="00082A0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Szellemi tevékenység költségei, szakértői, előadói díjak: elszámolható az ösztöndíjasok kutatásával összefüggésben felmerült fordítás, lektorálás díja, grafikai tervezés, kivitelezés, </w:t>
      </w:r>
      <w:r w:rsidR="0046537E" w:rsidRPr="003C1D83">
        <w:rPr>
          <w:rFonts w:ascii="Verdana" w:hAnsi="Verdana" w:cs="Times New Roman"/>
          <w:sz w:val="20"/>
          <w:szCs w:val="20"/>
          <w:lang w:eastAsia="hu-HU"/>
        </w:rPr>
        <w:t xml:space="preserve">könyvvizsgáló díja, </w:t>
      </w:r>
      <w:r w:rsidRPr="003C1D83">
        <w:rPr>
          <w:rFonts w:ascii="Verdana" w:hAnsi="Verdana" w:cs="Times New Roman"/>
          <w:sz w:val="20"/>
          <w:szCs w:val="20"/>
          <w:lang w:eastAsia="hu-HU"/>
        </w:rPr>
        <w:t>egyéb szakértői, előadói tiszteletdíjak</w:t>
      </w:r>
    </w:p>
    <w:p w:rsidR="00507D88" w:rsidRPr="003C1D83" w:rsidRDefault="00507D88" w:rsidP="00082A0C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lastRenderedPageBreak/>
        <w:t>Bérleti díjak: elszámolható az ösztöndíjasok kutatásával kapcsolatos kutatóhely használati, bérleti díj</w:t>
      </w:r>
      <w:r w:rsidR="0046537E" w:rsidRPr="003C1D83">
        <w:rPr>
          <w:rFonts w:ascii="Verdana" w:hAnsi="Verdana" w:cs="Times New Roman"/>
          <w:sz w:val="20"/>
          <w:szCs w:val="20"/>
          <w:lang w:eastAsia="hu-HU"/>
        </w:rPr>
        <w:t xml:space="preserve">, gépkocsi bérleti díja, egyéb </w:t>
      </w:r>
      <w:r w:rsidR="00082A0C" w:rsidRPr="003C1D83">
        <w:rPr>
          <w:rFonts w:ascii="Verdana" w:hAnsi="Verdana" w:cs="Times New Roman"/>
          <w:sz w:val="20"/>
          <w:szCs w:val="20"/>
          <w:lang w:eastAsia="hu-HU"/>
        </w:rPr>
        <w:t xml:space="preserve">kutatáshoz szükséges </w:t>
      </w:r>
      <w:r w:rsidR="0046537E" w:rsidRPr="003C1D83">
        <w:rPr>
          <w:rFonts w:ascii="Verdana" w:hAnsi="Verdana" w:cs="Times New Roman"/>
          <w:sz w:val="20"/>
          <w:szCs w:val="20"/>
          <w:lang w:eastAsia="hu-HU"/>
        </w:rPr>
        <w:t>eszköz bérleti díja</w:t>
      </w:r>
    </w:p>
    <w:p w:rsidR="00935984" w:rsidRPr="003C1D83" w:rsidRDefault="00507D88" w:rsidP="00082A0C">
      <w:pPr>
        <w:pStyle w:val="Listaszerbekezds"/>
        <w:numPr>
          <w:ilvl w:val="3"/>
          <w:numId w:val="7"/>
        </w:numPr>
        <w:spacing w:after="0" w:line="240" w:lineRule="auto"/>
        <w:ind w:left="709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Rezsi jellegű kiadások: </w:t>
      </w:r>
      <w:r w:rsidR="00935984" w:rsidRPr="003C1D83">
        <w:rPr>
          <w:rFonts w:ascii="Verdana" w:hAnsi="Verdana" w:cs="Times New Roman"/>
          <w:sz w:val="20"/>
          <w:szCs w:val="20"/>
          <w:lang w:eastAsia="hu-HU"/>
        </w:rPr>
        <w:t xml:space="preserve">Elszámolható a </w:t>
      </w:r>
      <w:proofErr w:type="spellStart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villamosenergia</w:t>
      </w:r>
      <w:proofErr w:type="spellEnd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 xml:space="preserve">, gázenergia, </w:t>
      </w:r>
      <w:proofErr w:type="spellStart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távhő-</w:t>
      </w:r>
      <w:proofErr w:type="spellEnd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 xml:space="preserve"> és </w:t>
      </w:r>
      <w:proofErr w:type="spellStart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melegvízszolgáltatások</w:t>
      </w:r>
      <w:proofErr w:type="spellEnd"/>
      <w:r w:rsidR="00935984" w:rsidRPr="003C1D83">
        <w:rPr>
          <w:rFonts w:ascii="Verdana" w:hAnsi="Verdana" w:cs="Times New Roman"/>
          <w:sz w:val="20"/>
          <w:szCs w:val="20"/>
          <w:lang w:eastAsia="hu-HU"/>
        </w:rPr>
        <w:t>, víz- és csatornadíjak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, </w:t>
      </w:r>
      <w:r w:rsidR="0046537E" w:rsidRPr="003C1D83">
        <w:rPr>
          <w:rFonts w:ascii="Verdana" w:hAnsi="Verdana" w:cs="Times New Roman"/>
          <w:sz w:val="20"/>
          <w:szCs w:val="20"/>
          <w:lang w:eastAsia="hu-HU"/>
        </w:rPr>
        <w:t>és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telefonköltség</w:t>
      </w:r>
      <w:r w:rsidR="00935984" w:rsidRPr="003C1D83">
        <w:rPr>
          <w:rFonts w:ascii="Verdana" w:hAnsi="Verdana" w:cs="Times New Roman"/>
          <w:sz w:val="20"/>
          <w:szCs w:val="20"/>
          <w:lang w:eastAsia="hu-HU"/>
        </w:rPr>
        <w:t xml:space="preserve"> kutatással és lebonyolítással összefüggésben felmerült arányos összege</w:t>
      </w:r>
    </w:p>
    <w:p w:rsidR="00507D88" w:rsidRPr="003C1D83" w:rsidRDefault="00507D88" w:rsidP="00082A0C">
      <w:pPr>
        <w:pStyle w:val="Listaszerbekezds"/>
        <w:numPr>
          <w:ilvl w:val="3"/>
          <w:numId w:val="7"/>
        </w:numPr>
        <w:spacing w:after="0" w:line="240" w:lineRule="auto"/>
        <w:ind w:left="709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Szállítási, utazási költségek</w:t>
      </w:r>
    </w:p>
    <w:p w:rsidR="00705C3E" w:rsidRPr="003C1D83" w:rsidRDefault="00705C3E" w:rsidP="00082A0C">
      <w:pPr>
        <w:pStyle w:val="Listaszerbekezds"/>
        <w:spacing w:after="0" w:line="240" w:lineRule="auto"/>
        <w:ind w:left="709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Elszámolható az ösztöndíjasok kutatásával kapcsolatban felmerült utazási és szállásköltség.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Az </w:t>
      </w:r>
      <w:r w:rsidRPr="003C1D83">
        <w:rPr>
          <w:rFonts w:cs="Times New Roman"/>
          <w:bCs/>
          <w:sz w:val="20"/>
          <w:szCs w:val="20"/>
        </w:rPr>
        <w:t>útiköltségek</w:t>
      </w:r>
      <w:r w:rsidRPr="003C1D83">
        <w:rPr>
          <w:rFonts w:cs="Times New Roman"/>
          <w:b/>
          <w:bCs/>
          <w:sz w:val="20"/>
          <w:szCs w:val="20"/>
        </w:rPr>
        <w:t xml:space="preserve"> </w:t>
      </w:r>
      <w:r w:rsidRPr="003C1D83">
        <w:rPr>
          <w:rFonts w:cs="Times New Roman"/>
          <w:sz w:val="20"/>
          <w:szCs w:val="20"/>
        </w:rPr>
        <w:t xml:space="preserve">tervezésénél figyelembe kell venni, hogy az útiköltségek (utazás és helybiztosítás költsége) a 2. osztályú tömegközlekedési eszközök, külföldre repülőgéppel történő utazás esetén turista osztályú repülőjegy igénybevétele alapján számolhatók el.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Hivatali vagy saját (vagy közeli hozzátartozó) gépkocsi használat esetén a megtett kilométerek alapján a tényleges benzinköltség, vagy a Nemzeti Adó- és Vámhivatal (NAV) által közzétett elszámolható üzemanyag-költség és a kilométerenkénti adómentes térítés számolhatók el.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Repülőgéppel történő utazás esetén elszámolható a reptéri illeték, transzfer.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Az utasbiztosítás </w:t>
      </w:r>
      <w:r w:rsidR="00705C3E" w:rsidRPr="003C1D83">
        <w:rPr>
          <w:rFonts w:cs="Times New Roman"/>
          <w:sz w:val="20"/>
          <w:szCs w:val="20"/>
        </w:rPr>
        <w:t xml:space="preserve">és a vízum </w:t>
      </w:r>
      <w:r w:rsidRPr="003C1D83">
        <w:rPr>
          <w:rFonts w:cs="Times New Roman"/>
          <w:sz w:val="20"/>
          <w:szCs w:val="20"/>
        </w:rPr>
        <w:t xml:space="preserve">költsége külföldi utazás esetén elszámolható.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Utazási bérlet költségét olyan arányban lehet figyelembe venni, amilyen arányban az a projekt tevékenységet szolgálja. 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 xml:space="preserve">Az útiköltségek között elszámolható még az autópálya díj adott időszakra vonatkozóan megvásárolható legkisebb egysége, illetve parkolási díj a projektben rögzített tevékenységgel összefüggésben, az adott tevékenység időtartamával megegyező </w:t>
      </w:r>
      <w:r w:rsidR="00705C3E" w:rsidRPr="003C1D83">
        <w:rPr>
          <w:rFonts w:cs="Times New Roman"/>
          <w:sz w:val="20"/>
          <w:szCs w:val="20"/>
        </w:rPr>
        <w:t>időtartamra.</w:t>
      </w:r>
    </w:p>
    <w:p w:rsidR="00705C3E" w:rsidRPr="003C1D83" w:rsidRDefault="00082A0C" w:rsidP="00082A0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C1D83">
        <w:rPr>
          <w:rFonts w:ascii="Verdana" w:hAnsi="Verdana" w:cs="Times New Roman"/>
          <w:color w:val="000000"/>
          <w:sz w:val="20"/>
          <w:szCs w:val="20"/>
        </w:rPr>
        <w:t>S</w:t>
      </w:r>
      <w:r w:rsidR="0046537E" w:rsidRPr="003C1D83">
        <w:rPr>
          <w:rFonts w:ascii="Verdana" w:hAnsi="Verdana" w:cs="Times New Roman"/>
          <w:color w:val="000000"/>
          <w:sz w:val="20"/>
          <w:szCs w:val="20"/>
        </w:rPr>
        <w:t xml:space="preserve">zállásköltségként maximum 3 csillagos szállodai szolgáltatás </w:t>
      </w:r>
      <w:r w:rsidR="00705C3E" w:rsidRPr="003C1D83">
        <w:rPr>
          <w:rFonts w:ascii="Verdana" w:hAnsi="Verdana" w:cs="Times New Roman"/>
          <w:color w:val="000000"/>
          <w:sz w:val="20"/>
          <w:szCs w:val="20"/>
        </w:rPr>
        <w:t xml:space="preserve">számolható el. </w:t>
      </w:r>
    </w:p>
    <w:p w:rsidR="00705C3E" w:rsidRPr="003C1D83" w:rsidRDefault="00705C3E" w:rsidP="00082A0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3C1D83">
        <w:rPr>
          <w:rFonts w:ascii="Verdana" w:hAnsi="Verdana" w:cs="Times New Roman"/>
          <w:color w:val="000000"/>
          <w:sz w:val="20"/>
          <w:szCs w:val="20"/>
        </w:rPr>
        <w:t xml:space="preserve">Kiküldetés esetén </w:t>
      </w:r>
      <w:r w:rsidRPr="003C1D83">
        <w:rPr>
          <w:rFonts w:ascii="Verdana" w:hAnsi="Verdana" w:cs="Times New Roman"/>
          <w:bCs/>
          <w:color w:val="000000"/>
          <w:sz w:val="20"/>
          <w:szCs w:val="20"/>
        </w:rPr>
        <w:t>étkezési költség és járulékai</w:t>
      </w:r>
      <w:r w:rsidRPr="003C1D83">
        <w:rPr>
          <w:rFonts w:ascii="Verdana" w:hAnsi="Verdana" w:cs="Times New Roman"/>
          <w:b/>
          <w:bCs/>
          <w:color w:val="000000"/>
          <w:sz w:val="20"/>
          <w:szCs w:val="20"/>
        </w:rPr>
        <w:t xml:space="preserve"> </w:t>
      </w:r>
      <w:r w:rsidRPr="003C1D83">
        <w:rPr>
          <w:rFonts w:ascii="Verdana" w:hAnsi="Verdana" w:cs="Times New Roman"/>
          <w:color w:val="000000"/>
          <w:sz w:val="20"/>
          <w:szCs w:val="20"/>
        </w:rPr>
        <w:t xml:space="preserve">csak akkor számolhatók el, ha a kiküldött nem részesült napidíjban. A költségeket számlával kell igazolni. </w:t>
      </w:r>
    </w:p>
    <w:p w:rsidR="00507D88" w:rsidRPr="003C1D83" w:rsidRDefault="00705C3E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  <w:r w:rsidRPr="003C1D83">
        <w:rPr>
          <w:rFonts w:cs="Times New Roman"/>
          <w:sz w:val="20"/>
          <w:szCs w:val="20"/>
        </w:rPr>
        <w:t>A kiküldetés helyszínén igénybe vett tömegközlekedési eszközökön történő közlekedés költsége bizonylat alapján elszámolható, indokolt esetben taxiköltség szintén elszámolható.</w:t>
      </w:r>
    </w:p>
    <w:p w:rsidR="00507D88" w:rsidRPr="003C1D83" w:rsidRDefault="00507D88" w:rsidP="00082A0C">
      <w:pPr>
        <w:pStyle w:val="Default"/>
        <w:ind w:left="720"/>
        <w:jc w:val="both"/>
        <w:rPr>
          <w:rFonts w:cs="Times New Roman"/>
          <w:sz w:val="20"/>
          <w:szCs w:val="20"/>
        </w:rPr>
      </w:pPr>
    </w:p>
    <w:p w:rsidR="005F23AF" w:rsidRPr="003C1D83" w:rsidRDefault="00CD6062" w:rsidP="00082A0C">
      <w:pPr>
        <w:pStyle w:val="Listaszerbekezds"/>
        <w:numPr>
          <w:ilvl w:val="3"/>
          <w:numId w:val="7"/>
        </w:numPr>
        <w:spacing w:after="0" w:line="240" w:lineRule="auto"/>
        <w:ind w:left="709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>Egyéb szolgáltatások vásárlása: elszámolható a konferenciák részvételi/regisztrációs díja, ösztöndíjasok kutatásával összefüggésben felmerült tagdíj, a kutatással, illetve az ösztöndíjprogram lebonyolításával kapcsolatban felmerült nyomdai, sokszorosít</w:t>
      </w:r>
      <w:r w:rsidR="00705C3E" w:rsidRPr="003C1D83">
        <w:rPr>
          <w:rFonts w:ascii="Verdana" w:hAnsi="Verdana" w:cs="Times New Roman"/>
          <w:sz w:val="20"/>
          <w:szCs w:val="20"/>
          <w:lang w:eastAsia="hu-HU"/>
        </w:rPr>
        <w:t xml:space="preserve">ási díj, postai díj, ingatlanok, </w:t>
      </w:r>
      <w:r w:rsidRPr="003C1D83">
        <w:rPr>
          <w:rFonts w:ascii="Verdana" w:hAnsi="Verdana" w:cs="Times New Roman"/>
          <w:sz w:val="20"/>
          <w:szCs w:val="20"/>
          <w:lang w:eastAsia="hu-HU"/>
        </w:rPr>
        <w:t>informatikai eszközök</w:t>
      </w:r>
      <w:r w:rsidR="00705C3E" w:rsidRPr="003C1D83">
        <w:rPr>
          <w:rFonts w:ascii="Verdana" w:hAnsi="Verdana" w:cs="Times New Roman"/>
          <w:sz w:val="20"/>
          <w:szCs w:val="20"/>
          <w:lang w:eastAsia="hu-HU"/>
        </w:rPr>
        <w:t xml:space="preserve"> és a kutatás során használt tárgyi eszközök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karbantartásával kapcsolatban felmerült költségek arányos része, banki költségek</w:t>
      </w:r>
      <w:r w:rsidR="0046537E" w:rsidRPr="003C1D83">
        <w:rPr>
          <w:rFonts w:ascii="Verdana" w:hAnsi="Verdana" w:cs="Times New Roman"/>
          <w:sz w:val="20"/>
          <w:szCs w:val="20"/>
          <w:lang w:eastAsia="hu-HU"/>
        </w:rPr>
        <w:t xml:space="preserve">, az </w:t>
      </w:r>
      <w:proofErr w:type="spellStart"/>
      <w:r w:rsidR="0046537E" w:rsidRPr="003C1D83">
        <w:rPr>
          <w:rFonts w:ascii="Verdana" w:hAnsi="Verdana" w:cs="Times New Roman"/>
          <w:sz w:val="20"/>
          <w:szCs w:val="20"/>
          <w:lang w:eastAsia="hu-HU"/>
        </w:rPr>
        <w:t>ÚNKP-val</w:t>
      </w:r>
      <w:proofErr w:type="spellEnd"/>
      <w:r w:rsidR="0046537E" w:rsidRPr="003C1D83">
        <w:rPr>
          <w:rFonts w:ascii="Verdana" w:hAnsi="Verdana" w:cs="Times New Roman"/>
          <w:sz w:val="20"/>
          <w:szCs w:val="20"/>
          <w:lang w:eastAsia="hu-HU"/>
        </w:rPr>
        <w:t xml:space="preserve"> összefüggésben rendezett konferencia szervezésével kapcsolatos költségek</w:t>
      </w:r>
    </w:p>
    <w:p w:rsidR="00F00BA7" w:rsidRPr="003C1D83" w:rsidRDefault="00F00BA7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</w:p>
    <w:p w:rsidR="00705C3E" w:rsidRPr="003C1D83" w:rsidRDefault="00705C3E" w:rsidP="00082A0C">
      <w:pPr>
        <w:pStyle w:val="Listaszerbekezds"/>
        <w:numPr>
          <w:ilvl w:val="0"/>
          <w:numId w:val="11"/>
        </w:numPr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  <w:r w:rsidRPr="003C1D83">
        <w:rPr>
          <w:rFonts w:ascii="Verdana" w:hAnsi="Verdana" w:cs="Times New Roman"/>
          <w:b/>
          <w:sz w:val="20"/>
          <w:szCs w:val="20"/>
          <w:lang w:eastAsia="hu-HU"/>
        </w:rPr>
        <w:t xml:space="preserve"> Végső kedvezményezettnek továbbítandó működési célú támogatás </w:t>
      </w:r>
    </w:p>
    <w:p w:rsidR="00705C3E" w:rsidRPr="003C1D83" w:rsidRDefault="00705C3E" w:rsidP="00082A0C">
      <w:pPr>
        <w:pStyle w:val="Listaszerbekezds"/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</w:p>
    <w:p w:rsidR="00903BA0" w:rsidRPr="003C1D83" w:rsidRDefault="00903BA0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Ezen a jogcímen kell elszámolni az </w:t>
      </w:r>
      <w:r w:rsidR="00705C3E" w:rsidRPr="003C1D83">
        <w:rPr>
          <w:rFonts w:ascii="Verdana" w:hAnsi="Verdana" w:cs="Times New Roman"/>
          <w:sz w:val="20"/>
          <w:szCs w:val="20"/>
          <w:lang w:eastAsia="hu-HU"/>
        </w:rPr>
        <w:t xml:space="preserve">ÚNKP 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ösztöndíjakat. </w:t>
      </w:r>
    </w:p>
    <w:p w:rsidR="00903BA0" w:rsidRPr="003C1D83" w:rsidRDefault="00903BA0" w:rsidP="003C1D83">
      <w:pPr>
        <w:rPr>
          <w:rFonts w:ascii="Verdana" w:hAnsi="Verdana" w:cs="Times New Roman"/>
          <w:sz w:val="20"/>
          <w:szCs w:val="20"/>
          <w:lang w:eastAsia="hu-HU"/>
        </w:rPr>
      </w:pPr>
    </w:p>
    <w:p w:rsidR="00903BA0" w:rsidRPr="003C1D83" w:rsidRDefault="007C382A" w:rsidP="00082A0C">
      <w:pPr>
        <w:pStyle w:val="Listaszerbekezds"/>
        <w:numPr>
          <w:ilvl w:val="0"/>
          <w:numId w:val="11"/>
        </w:numPr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  <w:r w:rsidRPr="003C1D83">
        <w:rPr>
          <w:rFonts w:ascii="Verdana" w:hAnsi="Verdana" w:cs="Times New Roman"/>
          <w:b/>
          <w:sz w:val="20"/>
          <w:szCs w:val="20"/>
          <w:lang w:eastAsia="hu-HU"/>
        </w:rPr>
        <w:t xml:space="preserve">Beruházások </w:t>
      </w:r>
    </w:p>
    <w:p w:rsidR="00082A0C" w:rsidRPr="003C1D83" w:rsidRDefault="00082A0C" w:rsidP="00082A0C">
      <w:pPr>
        <w:pStyle w:val="Listaszerbekezds"/>
        <w:spacing w:after="0" w:line="240" w:lineRule="auto"/>
        <w:ind w:left="426"/>
        <w:jc w:val="both"/>
        <w:rPr>
          <w:rFonts w:ascii="Verdana" w:hAnsi="Verdana" w:cs="Times New Roman"/>
          <w:b/>
          <w:sz w:val="20"/>
          <w:szCs w:val="20"/>
          <w:lang w:eastAsia="hu-HU"/>
        </w:rPr>
      </w:pPr>
    </w:p>
    <w:p w:rsidR="00AB5B22" w:rsidRPr="003C1D83" w:rsidRDefault="00AB5B22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Az ösztöndíjasok kutatása </w:t>
      </w:r>
      <w:r w:rsidR="007C382A" w:rsidRPr="003C1D83">
        <w:rPr>
          <w:rFonts w:ascii="Verdana" w:hAnsi="Verdana" w:cs="Times New Roman"/>
          <w:sz w:val="20"/>
          <w:szCs w:val="20"/>
          <w:lang w:eastAsia="hu-HU"/>
        </w:rPr>
        <w:t xml:space="preserve">érdekében szükséges és elengedhetetlen tárgyi eszközök 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és immateriális javak </w:t>
      </w:r>
      <w:r w:rsidR="007C382A" w:rsidRPr="003C1D83">
        <w:rPr>
          <w:rFonts w:ascii="Verdana" w:hAnsi="Verdana" w:cs="Times New Roman"/>
          <w:sz w:val="20"/>
          <w:szCs w:val="20"/>
          <w:lang w:eastAsia="hu-HU"/>
        </w:rPr>
        <w:t>beszerzésére van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 lehetőség. </w:t>
      </w:r>
    </w:p>
    <w:p w:rsidR="00F67A2E" w:rsidRPr="003C1D83" w:rsidRDefault="00AB5B22" w:rsidP="00082A0C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hu-HU"/>
        </w:rPr>
      </w:pP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Elszámolhatók </w:t>
      </w:r>
      <w:r w:rsidR="00F67A2E" w:rsidRPr="003C1D83">
        <w:rPr>
          <w:rFonts w:ascii="Verdana" w:hAnsi="Verdana" w:cs="Times New Roman"/>
          <w:sz w:val="20"/>
          <w:szCs w:val="20"/>
          <w:lang w:eastAsia="hu-HU"/>
        </w:rPr>
        <w:t xml:space="preserve">a befektetett eszköznek minősülő informatikai eszközök, 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valamint </w:t>
      </w:r>
      <w:r w:rsidR="00F67A2E" w:rsidRPr="003C1D83">
        <w:rPr>
          <w:rFonts w:ascii="Verdana" w:hAnsi="Verdana" w:cs="Times New Roman"/>
          <w:sz w:val="20"/>
          <w:szCs w:val="20"/>
          <w:lang w:eastAsia="hu-HU"/>
        </w:rPr>
        <w:t>ingatlannak és informatikai eszköznek nem minősülő tárgyi eszközök bekerülés</w:t>
      </w:r>
      <w:r w:rsidRPr="003C1D83">
        <w:rPr>
          <w:rFonts w:ascii="Verdana" w:hAnsi="Verdana" w:cs="Times New Roman"/>
          <w:sz w:val="20"/>
          <w:szCs w:val="20"/>
          <w:lang w:eastAsia="hu-HU"/>
        </w:rPr>
        <w:t xml:space="preserve">i értékébe beszámító kiadások, továbbá a szoftver, licence költségei, adatbázis- és alkalmazásfejlesztés. </w:t>
      </w:r>
    </w:p>
    <w:p w:rsidR="00F67A2E" w:rsidRPr="003C1D83" w:rsidRDefault="00F67A2E" w:rsidP="00082A0C">
      <w:pPr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sectPr w:rsidR="00F67A2E" w:rsidRPr="003C1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E3" w:rsidRDefault="00567CE3" w:rsidP="00F67A2E">
      <w:pPr>
        <w:spacing w:after="0" w:line="240" w:lineRule="auto"/>
      </w:pPr>
      <w:r>
        <w:separator/>
      </w:r>
    </w:p>
  </w:endnote>
  <w:endnote w:type="continuationSeparator" w:id="0">
    <w:p w:rsidR="00567CE3" w:rsidRDefault="00567CE3" w:rsidP="00F6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551" w:rsidRDefault="0053455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551" w:rsidRDefault="0053455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551" w:rsidRDefault="0053455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E3" w:rsidRDefault="00567CE3" w:rsidP="00F67A2E">
      <w:pPr>
        <w:spacing w:after="0" w:line="240" w:lineRule="auto"/>
      </w:pPr>
      <w:r>
        <w:separator/>
      </w:r>
    </w:p>
  </w:footnote>
  <w:footnote w:type="continuationSeparator" w:id="0">
    <w:p w:rsidR="00567CE3" w:rsidRDefault="00567CE3" w:rsidP="00F6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551" w:rsidRDefault="0053455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EA1" w:rsidRDefault="00713EA1">
    <w:pPr>
      <w:pStyle w:val="lfej"/>
    </w:pPr>
    <w:r>
      <w:t xml:space="preserve">                                                    </w:t>
    </w:r>
    <w:r>
      <w:tab/>
      <w:t>ÖSZTÖNDÍJ MŰKÖDÉSI SZABÁLYZAT 2018/2019.TANÉV 4. SZ.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551" w:rsidRDefault="0053455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23A"/>
    <w:multiLevelType w:val="hybridMultilevel"/>
    <w:tmpl w:val="7B3AE3EA"/>
    <w:lvl w:ilvl="0" w:tplc="D388BD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E1323"/>
    <w:multiLevelType w:val="hybridMultilevel"/>
    <w:tmpl w:val="8EB07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5854"/>
    <w:multiLevelType w:val="hybridMultilevel"/>
    <w:tmpl w:val="CBE464BC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DC3590"/>
    <w:multiLevelType w:val="hybridMultilevel"/>
    <w:tmpl w:val="EF32CFAA"/>
    <w:lvl w:ilvl="0" w:tplc="CA580B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262F15"/>
    <w:multiLevelType w:val="hybridMultilevel"/>
    <w:tmpl w:val="D18A3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B739A"/>
    <w:multiLevelType w:val="hybridMultilevel"/>
    <w:tmpl w:val="DE389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92027"/>
    <w:multiLevelType w:val="hybridMultilevel"/>
    <w:tmpl w:val="4CE8B220"/>
    <w:lvl w:ilvl="0" w:tplc="27AC3C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85F31"/>
    <w:multiLevelType w:val="hybridMultilevel"/>
    <w:tmpl w:val="411E8E72"/>
    <w:lvl w:ilvl="0" w:tplc="040E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54A87BB8"/>
    <w:multiLevelType w:val="hybridMultilevel"/>
    <w:tmpl w:val="B204CB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939C9"/>
    <w:multiLevelType w:val="hybridMultilevel"/>
    <w:tmpl w:val="C90433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21F22"/>
    <w:multiLevelType w:val="hybridMultilevel"/>
    <w:tmpl w:val="B95EF60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A4F9B6">
      <w:start w:val="4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427F8"/>
    <w:multiLevelType w:val="hybridMultilevel"/>
    <w:tmpl w:val="029C8A48"/>
    <w:lvl w:ilvl="0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B786DA1"/>
    <w:multiLevelType w:val="hybridMultilevel"/>
    <w:tmpl w:val="729E738C"/>
    <w:lvl w:ilvl="0" w:tplc="21AE7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DB"/>
    <w:rsid w:val="0000278C"/>
    <w:rsid w:val="00082A0C"/>
    <w:rsid w:val="000A038A"/>
    <w:rsid w:val="002F4B9E"/>
    <w:rsid w:val="00365EC5"/>
    <w:rsid w:val="003C1D83"/>
    <w:rsid w:val="0040389E"/>
    <w:rsid w:val="00425BF9"/>
    <w:rsid w:val="0046537E"/>
    <w:rsid w:val="004B7C73"/>
    <w:rsid w:val="004C4F02"/>
    <w:rsid w:val="00507D88"/>
    <w:rsid w:val="00534551"/>
    <w:rsid w:val="00567CE3"/>
    <w:rsid w:val="005F23AF"/>
    <w:rsid w:val="00705C3E"/>
    <w:rsid w:val="00713EA1"/>
    <w:rsid w:val="0078070C"/>
    <w:rsid w:val="007C382A"/>
    <w:rsid w:val="00886EC3"/>
    <w:rsid w:val="008A19C2"/>
    <w:rsid w:val="008F5677"/>
    <w:rsid w:val="00903BA0"/>
    <w:rsid w:val="00935984"/>
    <w:rsid w:val="0094166B"/>
    <w:rsid w:val="00A36408"/>
    <w:rsid w:val="00A8556C"/>
    <w:rsid w:val="00AB5B22"/>
    <w:rsid w:val="00AB5F2E"/>
    <w:rsid w:val="00B74394"/>
    <w:rsid w:val="00C01DDB"/>
    <w:rsid w:val="00C56013"/>
    <w:rsid w:val="00CD6062"/>
    <w:rsid w:val="00F00BA7"/>
    <w:rsid w:val="00F264D1"/>
    <w:rsid w:val="00F4062A"/>
    <w:rsid w:val="00F67A2E"/>
    <w:rsid w:val="00F8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67A2E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rsid w:val="00F67A2E"/>
  </w:style>
  <w:style w:type="paragraph" w:styleId="Lbjegyzetszveg">
    <w:name w:val="footnote text"/>
    <w:basedOn w:val="Norml"/>
    <w:link w:val="LbjegyzetszvegChar"/>
    <w:uiPriority w:val="99"/>
    <w:semiHidden/>
    <w:unhideWhenUsed/>
    <w:rsid w:val="00F67A2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67A2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67A2E"/>
    <w:rPr>
      <w:vertAlign w:val="superscript"/>
    </w:rPr>
  </w:style>
  <w:style w:type="paragraph" w:customStyle="1" w:styleId="Default">
    <w:name w:val="Default"/>
    <w:rsid w:val="00F264D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082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2A0C"/>
  </w:style>
  <w:style w:type="paragraph" w:styleId="llb">
    <w:name w:val="footer"/>
    <w:basedOn w:val="Norml"/>
    <w:link w:val="llbChar"/>
    <w:uiPriority w:val="99"/>
    <w:unhideWhenUsed/>
    <w:rsid w:val="00082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2A0C"/>
  </w:style>
  <w:style w:type="paragraph" w:styleId="Buborkszveg">
    <w:name w:val="Balloon Text"/>
    <w:basedOn w:val="Norml"/>
    <w:link w:val="BuborkszvegChar"/>
    <w:uiPriority w:val="99"/>
    <w:semiHidden/>
    <w:unhideWhenUsed/>
    <w:rsid w:val="004C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4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67A2E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rsid w:val="00F67A2E"/>
  </w:style>
  <w:style w:type="paragraph" w:styleId="Lbjegyzetszveg">
    <w:name w:val="footnote text"/>
    <w:basedOn w:val="Norml"/>
    <w:link w:val="LbjegyzetszvegChar"/>
    <w:uiPriority w:val="99"/>
    <w:semiHidden/>
    <w:unhideWhenUsed/>
    <w:rsid w:val="00F67A2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67A2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67A2E"/>
    <w:rPr>
      <w:vertAlign w:val="superscript"/>
    </w:rPr>
  </w:style>
  <w:style w:type="paragraph" w:customStyle="1" w:styleId="Default">
    <w:name w:val="Default"/>
    <w:rsid w:val="00F264D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082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82A0C"/>
  </w:style>
  <w:style w:type="paragraph" w:styleId="llb">
    <w:name w:val="footer"/>
    <w:basedOn w:val="Norml"/>
    <w:link w:val="llbChar"/>
    <w:uiPriority w:val="99"/>
    <w:unhideWhenUsed/>
    <w:rsid w:val="00082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82A0C"/>
  </w:style>
  <w:style w:type="paragraph" w:styleId="Buborkszveg">
    <w:name w:val="Balloon Text"/>
    <w:basedOn w:val="Norml"/>
    <w:link w:val="BuborkszvegChar"/>
    <w:uiPriority w:val="99"/>
    <w:semiHidden/>
    <w:unhideWhenUsed/>
    <w:rsid w:val="004C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4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Pavelka Judit</dc:creator>
  <cp:lastModifiedBy>Mihályi-Szűcs Ildikó</cp:lastModifiedBy>
  <cp:revision>4</cp:revision>
  <cp:lastPrinted>2018-03-10T08:34:00Z</cp:lastPrinted>
  <dcterms:created xsi:type="dcterms:W3CDTF">2018-04-09T11:05:00Z</dcterms:created>
  <dcterms:modified xsi:type="dcterms:W3CDTF">2018-04-09T13:59:00Z</dcterms:modified>
</cp:coreProperties>
</file>