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301" w:rsidRPr="00BE7301" w:rsidRDefault="00BE7301" w:rsidP="00BE7301">
      <w:pPr>
        <w:jc w:val="both"/>
        <w:rPr>
          <w:rFonts w:ascii="Times New Roman" w:hAnsi="Times New Roman" w:cs="Times New Roman"/>
          <w:sz w:val="24"/>
          <w:szCs w:val="24"/>
        </w:rPr>
      </w:pPr>
      <w:r w:rsidRPr="00BE7301">
        <w:rPr>
          <w:rFonts w:ascii="Times New Roman" w:hAnsi="Times New Roman" w:cs="Times New Roman"/>
          <w:sz w:val="24"/>
          <w:szCs w:val="24"/>
        </w:rPr>
        <w:t>A szennyezőanyag kibocsátást – nemzetközi</w:t>
      </w:r>
      <w:bookmarkStart w:id="0" w:name="_GoBack"/>
      <w:bookmarkEnd w:id="0"/>
      <w:r w:rsidRPr="00BE7301">
        <w:rPr>
          <w:rFonts w:ascii="Times New Roman" w:hAnsi="Times New Roman" w:cs="Times New Roman"/>
          <w:sz w:val="24"/>
          <w:szCs w:val="24"/>
        </w:rPr>
        <w:t xml:space="preserve"> példákhoz hasonlóan – a nem engedélyköteles tüzelőberendezésekben használható tüzelőanyagok kéntartalmának korlátozására és minimális fűtőértékének előírására szolgáló jogszabály megalkotásával lehet csökkenteni. A tervezett jogszabály szerint a magas kéntartalmú és alacsony fűtőértékű szenet, lignitet csak engedéllyel rendelkező tüzelőberendezésben lehet felhasználni, ezért csak az engedély birtokosa vásárolhatna ilyen tüzelőanyagot.</w:t>
      </w:r>
    </w:p>
    <w:p w:rsidR="00B52BB5" w:rsidRDefault="00B52BB5"/>
    <w:sectPr w:rsidR="00B52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301"/>
    <w:rsid w:val="00B52BB5"/>
    <w:rsid w:val="00B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2016-02-03T12:40:00Z</dcterms:created>
  <dcterms:modified xsi:type="dcterms:W3CDTF">2016-02-03T12:40:00Z</dcterms:modified>
</cp:coreProperties>
</file>