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144" w:rsidRDefault="00D16144" w:rsidP="00D16144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FB982F5" wp14:editId="7AE1C84B">
            <wp:extent cx="1488440" cy="10737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144" w:rsidRPr="003A5182" w:rsidRDefault="00D16144" w:rsidP="00D16144">
      <w:pPr>
        <w:pStyle w:val="Default"/>
        <w:jc w:val="both"/>
        <w:rPr>
          <w:rFonts w:ascii="Times New Roman" w:hAnsi="Times New Roman" w:cs="Times New Roman"/>
          <w:bCs/>
        </w:rPr>
      </w:pPr>
    </w:p>
    <w:p w:rsidR="00D16144" w:rsidRPr="003A5182" w:rsidRDefault="00D16144" w:rsidP="00D16144">
      <w:pPr>
        <w:pStyle w:val="Default"/>
        <w:jc w:val="both"/>
        <w:rPr>
          <w:rFonts w:ascii="Times New Roman" w:hAnsi="Times New Roman" w:cs="Times New Roman"/>
          <w:bCs/>
        </w:rPr>
      </w:pPr>
    </w:p>
    <w:p w:rsidR="00D16144" w:rsidRPr="003A5182" w:rsidRDefault="00D16144" w:rsidP="00D16144">
      <w:pPr>
        <w:pStyle w:val="Default"/>
        <w:jc w:val="both"/>
        <w:rPr>
          <w:rFonts w:ascii="Times New Roman" w:hAnsi="Times New Roman" w:cs="Times New Roman"/>
          <w:bCs/>
        </w:rPr>
      </w:pPr>
    </w:p>
    <w:p w:rsidR="00D16144" w:rsidRPr="003A5182" w:rsidRDefault="00D16144" w:rsidP="00D1614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5182">
        <w:rPr>
          <w:rFonts w:ascii="Times New Roman" w:hAnsi="Times New Roman" w:cs="Times New Roman"/>
          <w:b/>
          <w:bCs/>
          <w:sz w:val="28"/>
          <w:szCs w:val="28"/>
        </w:rPr>
        <w:t xml:space="preserve">Jelen előterjesztés csak tervezet, amelynek közigazgatási egyeztetése folyamatban van. A minisztériumok közötti egyeztetés során az előterjesztés koncepcionális kérdései is jelentősen módosulhatnak, ezért jelen formájában nem tekinthető a Kormány álláspontjának. </w:t>
      </w:r>
    </w:p>
    <w:p w:rsidR="00D16144" w:rsidRPr="003A5182" w:rsidRDefault="00D16144" w:rsidP="00D16144">
      <w:pPr>
        <w:pStyle w:val="Default"/>
        <w:jc w:val="both"/>
        <w:rPr>
          <w:rFonts w:ascii="Times New Roman" w:hAnsi="Times New Roman" w:cs="Times New Roman"/>
        </w:rPr>
      </w:pPr>
    </w:p>
    <w:p w:rsidR="00D16144" w:rsidRPr="00D16144" w:rsidRDefault="00D16144" w:rsidP="00D1614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3A5182">
        <w:rPr>
          <w:rFonts w:ascii="Times New Roman" w:hAnsi="Times New Roman" w:cs="Times New Roman"/>
          <w:b/>
          <w:bCs/>
          <w:sz w:val="28"/>
          <w:szCs w:val="28"/>
        </w:rPr>
        <w:t xml:space="preserve">A dokumentum célja a társadalmi egyeztetés elindítása és a jogalkotási folyamat átláthatóvá tétele, amelynek alapján, illetve eredményeként a mellékelt előterjesztés </w:t>
      </w:r>
      <w:r w:rsidRPr="00D16144">
        <w:rPr>
          <w:rFonts w:ascii="Times New Roman" w:hAnsi="Times New Roman" w:cs="Times New Roman"/>
          <w:b/>
          <w:bCs/>
          <w:sz w:val="28"/>
          <w:szCs w:val="28"/>
        </w:rPr>
        <w:t xml:space="preserve">valamennyi tartalmi és formai eleme módosulhat! </w:t>
      </w:r>
    </w:p>
    <w:p w:rsidR="00D16144" w:rsidRPr="00D16144" w:rsidRDefault="00D16144" w:rsidP="00D16144">
      <w:pPr>
        <w:widowControl w:val="0"/>
        <w:jc w:val="both"/>
        <w:rPr>
          <w:rFonts w:ascii="Times New Roman" w:hAnsi="Times New Roman"/>
          <w:bCs/>
          <w:sz w:val="28"/>
          <w:szCs w:val="28"/>
        </w:rPr>
      </w:pPr>
    </w:p>
    <w:p w:rsidR="00D16144" w:rsidRPr="00D16144" w:rsidRDefault="00D16144" w:rsidP="00D16144">
      <w:pPr>
        <w:widowControl w:val="0"/>
        <w:jc w:val="both"/>
        <w:rPr>
          <w:rFonts w:ascii="Times New Roman" w:hAnsi="Times New Roman"/>
          <w:bCs/>
          <w:sz w:val="28"/>
          <w:szCs w:val="28"/>
        </w:rPr>
      </w:pPr>
    </w:p>
    <w:p w:rsidR="00D16144" w:rsidRPr="00D16144" w:rsidRDefault="00D16144" w:rsidP="00D16144">
      <w:pPr>
        <w:keepNext/>
        <w:jc w:val="right"/>
        <w:rPr>
          <w:rFonts w:ascii="Times New Roman" w:hAnsi="Times New Roman"/>
          <w:b/>
          <w:bCs/>
          <w:sz w:val="28"/>
          <w:szCs w:val="28"/>
        </w:rPr>
      </w:pPr>
      <w:r w:rsidRPr="00D16144">
        <w:rPr>
          <w:rFonts w:ascii="Times New Roman" w:hAnsi="Times New Roman"/>
          <w:b/>
          <w:bCs/>
          <w:sz w:val="28"/>
          <w:szCs w:val="28"/>
        </w:rPr>
        <w:t xml:space="preserve">A tervezet előterjesztője </w:t>
      </w:r>
    </w:p>
    <w:p w:rsidR="00D16144" w:rsidRDefault="00D16144">
      <w:pPr>
        <w:rPr>
          <w:rFonts w:ascii="Times New Roman" w:hAnsi="Times New Roman"/>
          <w:b/>
          <w:sz w:val="24"/>
          <w:szCs w:val="24"/>
        </w:rPr>
      </w:pPr>
      <w:r>
        <w:br w:type="page"/>
      </w:r>
    </w:p>
    <w:p w:rsidR="00D16144" w:rsidRPr="00BF7C73" w:rsidRDefault="00D16144" w:rsidP="00D161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7C73">
        <w:rPr>
          <w:rFonts w:ascii="Times New Roman" w:hAnsi="Times New Roman"/>
          <w:b/>
          <w:sz w:val="24"/>
          <w:szCs w:val="24"/>
        </w:rPr>
        <w:lastRenderedPageBreak/>
        <w:t>A Kormány</w:t>
      </w:r>
    </w:p>
    <w:p w:rsidR="00D16144" w:rsidRPr="00BF7C73" w:rsidRDefault="00D16144" w:rsidP="00D161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7C73">
        <w:rPr>
          <w:rFonts w:ascii="Times New Roman" w:hAnsi="Times New Roman"/>
          <w:b/>
          <w:sz w:val="24"/>
          <w:szCs w:val="24"/>
        </w:rPr>
        <w:t>…/201</w:t>
      </w:r>
      <w:r>
        <w:rPr>
          <w:rFonts w:ascii="Times New Roman" w:hAnsi="Times New Roman"/>
          <w:b/>
          <w:sz w:val="24"/>
          <w:szCs w:val="24"/>
        </w:rPr>
        <w:t>7</w:t>
      </w:r>
      <w:r w:rsidRPr="00BF7C73">
        <w:rPr>
          <w:rFonts w:ascii="Times New Roman" w:hAnsi="Times New Roman"/>
          <w:b/>
          <w:sz w:val="24"/>
          <w:szCs w:val="24"/>
        </w:rPr>
        <w:t>. (…)</w:t>
      </w:r>
    </w:p>
    <w:p w:rsidR="00D16144" w:rsidRPr="00BF7C73" w:rsidRDefault="00D16144" w:rsidP="00D161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7C73">
        <w:rPr>
          <w:rFonts w:ascii="Times New Roman" w:hAnsi="Times New Roman"/>
          <w:b/>
          <w:sz w:val="24"/>
          <w:szCs w:val="24"/>
        </w:rPr>
        <w:t>r e n d e l e t e</w:t>
      </w:r>
    </w:p>
    <w:p w:rsidR="00D16144" w:rsidRPr="00BF7C73" w:rsidRDefault="00D16144" w:rsidP="00D161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6144" w:rsidRPr="00BF7C73" w:rsidRDefault="00D16144" w:rsidP="00D161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F7C73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BF7C73">
        <w:rPr>
          <w:rFonts w:ascii="Times New Roman" w:hAnsi="Times New Roman"/>
          <w:b/>
          <w:sz w:val="24"/>
          <w:szCs w:val="24"/>
        </w:rPr>
        <w:t xml:space="preserve"> környezetvédelmi termékdíjról szóló 2011. évi LXXXV. törvény végrehajtásáról szóló 343/2011. (XII. 29.) kormányrendelet módosításáról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7C73">
        <w:rPr>
          <w:rFonts w:ascii="Times New Roman" w:hAnsi="Times New Roman"/>
          <w:sz w:val="24"/>
          <w:szCs w:val="24"/>
        </w:rPr>
        <w:t xml:space="preserve">A Kormány a környezetvédelmi termékdíjról szóló 2011. évi LXXXV. törvény 38. § (1) bekezdés </w:t>
      </w:r>
      <w:r w:rsidRPr="00BF7C73">
        <w:rPr>
          <w:rFonts w:ascii="Times New Roman" w:hAnsi="Times New Roman"/>
          <w:i/>
          <w:sz w:val="24"/>
          <w:szCs w:val="24"/>
        </w:rPr>
        <w:t>a)</w:t>
      </w:r>
      <w:r w:rsidRPr="00BF7C73">
        <w:rPr>
          <w:rFonts w:ascii="Times New Roman" w:hAnsi="Times New Roman"/>
          <w:sz w:val="24"/>
          <w:szCs w:val="24"/>
        </w:rPr>
        <w:t xml:space="preserve">, </w:t>
      </w:r>
      <w:r w:rsidRPr="00BF7C73">
        <w:rPr>
          <w:rFonts w:ascii="Times New Roman" w:hAnsi="Times New Roman"/>
          <w:i/>
          <w:sz w:val="24"/>
          <w:szCs w:val="24"/>
        </w:rPr>
        <w:t>e)</w:t>
      </w:r>
      <w:r w:rsidRPr="00BF7C73">
        <w:rPr>
          <w:rFonts w:ascii="Times New Roman" w:hAnsi="Times New Roman"/>
          <w:sz w:val="24"/>
          <w:szCs w:val="24"/>
        </w:rPr>
        <w:t xml:space="preserve"> és </w:t>
      </w:r>
      <w:r w:rsidRPr="00BF7C73">
        <w:rPr>
          <w:rFonts w:ascii="Times New Roman" w:hAnsi="Times New Roman"/>
          <w:i/>
          <w:sz w:val="24"/>
          <w:szCs w:val="24"/>
        </w:rPr>
        <w:t>g)</w:t>
      </w:r>
      <w:r w:rsidRPr="00BF7C73">
        <w:rPr>
          <w:rFonts w:ascii="Times New Roman" w:hAnsi="Times New Roman"/>
          <w:sz w:val="24"/>
          <w:szCs w:val="24"/>
        </w:rPr>
        <w:t xml:space="preserve"> pontjában kapott felhatalmazás alapján, az Alaptörvény 15. cikk (1) bekezdésében meghatározott feladatkörében eljárva a következőket rendeli el: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144" w:rsidRPr="00BF7C73" w:rsidRDefault="00D16144" w:rsidP="00D161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144" w:rsidRPr="00BF7C73" w:rsidRDefault="00D16144" w:rsidP="00D161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F7C73">
        <w:rPr>
          <w:rFonts w:ascii="Times New Roman" w:hAnsi="Times New Roman"/>
          <w:b/>
          <w:bCs/>
          <w:sz w:val="24"/>
          <w:szCs w:val="24"/>
        </w:rPr>
        <w:t>1. §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6144" w:rsidRPr="00BF7C73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7C73">
        <w:rPr>
          <w:rFonts w:ascii="Times New Roman" w:hAnsi="Times New Roman"/>
          <w:bCs/>
          <w:sz w:val="24"/>
          <w:szCs w:val="24"/>
        </w:rPr>
        <w:t>A környezetvédelmi termékdíjról szóló 2011. évi LXXXV. törvény végrehajtásáról szóló 343/2011. (XII. 29.) Korm. rendelet (a továbbiakban: Vhr.) 2. §</w:t>
      </w:r>
      <w:proofErr w:type="spellStart"/>
      <w:r w:rsidRPr="00BF7C73">
        <w:rPr>
          <w:rFonts w:ascii="Times New Roman" w:hAnsi="Times New Roman"/>
          <w:bCs/>
          <w:sz w:val="24"/>
          <w:szCs w:val="24"/>
        </w:rPr>
        <w:t>-</w:t>
      </w:r>
      <w:proofErr w:type="gramStart"/>
      <w:r w:rsidRPr="00BF7C73">
        <w:rPr>
          <w:rFonts w:ascii="Times New Roman" w:hAnsi="Times New Roman"/>
          <w:bCs/>
          <w:sz w:val="24"/>
          <w:szCs w:val="24"/>
        </w:rPr>
        <w:t>a</w:t>
      </w:r>
      <w:proofErr w:type="spellEnd"/>
      <w:proofErr w:type="gramEnd"/>
      <w:r w:rsidRPr="00BF7C7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következő (4) bekezdéssel egészül ki: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6144" w:rsidRPr="00BF7C73" w:rsidRDefault="00D16144" w:rsidP="00D1614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„(4) </w:t>
      </w:r>
      <w:r w:rsidRPr="00506C9E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506C9E">
        <w:rPr>
          <w:rFonts w:ascii="Times New Roman" w:hAnsi="Times New Roman"/>
          <w:bCs/>
          <w:sz w:val="24"/>
          <w:szCs w:val="24"/>
        </w:rPr>
        <w:t>Ktdt</w:t>
      </w:r>
      <w:proofErr w:type="spellEnd"/>
      <w:r w:rsidRPr="00506C9E">
        <w:rPr>
          <w:rFonts w:ascii="Times New Roman" w:hAnsi="Times New Roman"/>
          <w:bCs/>
          <w:sz w:val="24"/>
          <w:szCs w:val="24"/>
        </w:rPr>
        <w:t>. 3. § (9) bekezdés </w:t>
      </w:r>
      <w:r w:rsidRPr="009E3555">
        <w:rPr>
          <w:rFonts w:ascii="Times New Roman" w:hAnsi="Times New Roman"/>
          <w:bCs/>
          <w:i/>
          <w:sz w:val="24"/>
          <w:szCs w:val="24"/>
        </w:rPr>
        <w:t>e)</w:t>
      </w:r>
      <w:r w:rsidRPr="00506C9E">
        <w:rPr>
          <w:rFonts w:ascii="Times New Roman" w:hAnsi="Times New Roman"/>
          <w:bCs/>
          <w:sz w:val="24"/>
          <w:szCs w:val="24"/>
        </w:rPr>
        <w:t xml:space="preserve"> pontja szerinti esetben a kötelezett nyilvántartásának </w:t>
      </w:r>
      <w:r>
        <w:rPr>
          <w:rFonts w:ascii="Times New Roman" w:hAnsi="Times New Roman"/>
          <w:bCs/>
          <w:sz w:val="24"/>
          <w:szCs w:val="24"/>
        </w:rPr>
        <w:t>mellékletét képezi az akkreditált laboratórium szakvéleménye, amely tanúsítja, hogy a termék megfelel a törvényben meghatározott feltételeknek.</w:t>
      </w:r>
      <w:r w:rsidRPr="00BF7C73">
        <w:rPr>
          <w:rFonts w:ascii="Times New Roman" w:eastAsia="Times New Roman" w:hAnsi="Times New Roman"/>
          <w:color w:val="000000"/>
          <w:sz w:val="24"/>
          <w:szCs w:val="24"/>
        </w:rPr>
        <w:t>”</w:t>
      </w:r>
    </w:p>
    <w:p w:rsidR="00D16144" w:rsidRPr="00BF7C73" w:rsidRDefault="00D16144" w:rsidP="00D1614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16144" w:rsidRDefault="00D16144" w:rsidP="00D161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§</w:t>
      </w:r>
    </w:p>
    <w:p w:rsidR="00D16144" w:rsidRDefault="00D16144" w:rsidP="00D161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6144" w:rsidRDefault="00D16144" w:rsidP="00D1614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Vhr. a következő 34/C. §</w:t>
      </w:r>
      <w:proofErr w:type="spellStart"/>
      <w:r>
        <w:rPr>
          <w:rFonts w:ascii="Times New Roman" w:hAnsi="Times New Roman"/>
          <w:bCs/>
          <w:sz w:val="24"/>
          <w:szCs w:val="24"/>
        </w:rPr>
        <w:t>-sal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egészül ki:</w:t>
      </w:r>
    </w:p>
    <w:p w:rsidR="00D16144" w:rsidRDefault="00D16144" w:rsidP="00D1614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„34/C. § (1) Az elektromos, elektronikai berendezések tekintetében 2018. január 1-jén érvényes átvállalási szerződéssel rendelkező kötelezett az 1. melléklet szerinti KT kódokra vonatkozó szerződésmódosítást 2018. január 31-ig jelentheti be az állami adóhatóságnak. A módosításra vonatkozó kérelem nyilvántartásba vételéig a kötelezett a nyilvántartásában az érvényes átvállalási szerződés szerinti KT kódok mellett az 1. melléklet B címe szerinti KT kódokat is feltünteti.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(2) Az (1) bekezdés szerint benyújtott szerződésmódosítás állami adóhatóság által történő nyilvántartásba vételéig a 2018. január 1-e előtt kötött átvállalási szerződés – amennyiben a szerződés a nyilvántartásba vétel időpontjáig hatályos vagy azt a felek nem szüntetik meg – a 2017. december 31-ig érvényes KT kódok tekintetében is jogfolytonosnak és hatályosnak tekintendő.</w:t>
      </w:r>
    </w:p>
    <w:p w:rsidR="00D16144" w:rsidRDefault="00D16144" w:rsidP="00D1614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16144" w:rsidRDefault="00D16144" w:rsidP="00D161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Az (1) bekezdésben meghatározott bejelentést elmulasztó kötelezett átvállalási szerződése 2018. február 1-től hatálytalan, amelyet az állami adóhatóság a </w:t>
      </w:r>
      <w:proofErr w:type="gramStart"/>
      <w:r>
        <w:rPr>
          <w:rFonts w:ascii="Times New Roman" w:hAnsi="Times New Roman"/>
          <w:sz w:val="24"/>
          <w:szCs w:val="24"/>
        </w:rPr>
        <w:t>nyilvántartásból hivatalból</w:t>
      </w:r>
      <w:proofErr w:type="gramEnd"/>
      <w:r>
        <w:rPr>
          <w:rFonts w:ascii="Times New Roman" w:hAnsi="Times New Roman"/>
          <w:sz w:val="24"/>
          <w:szCs w:val="24"/>
        </w:rPr>
        <w:t xml:space="preserve"> töröl.”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6144" w:rsidRDefault="00D16144" w:rsidP="00D161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6144" w:rsidRDefault="00D16144" w:rsidP="00D161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6144" w:rsidRPr="00BF7C73" w:rsidRDefault="00D16144" w:rsidP="00D161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BF7C73">
        <w:rPr>
          <w:rFonts w:ascii="Times New Roman" w:hAnsi="Times New Roman"/>
          <w:b/>
          <w:bCs/>
          <w:sz w:val="24"/>
          <w:szCs w:val="24"/>
        </w:rPr>
        <w:t>. §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6144" w:rsidRPr="00BF7C73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7C73">
        <w:rPr>
          <w:rFonts w:ascii="Times New Roman" w:hAnsi="Times New Roman"/>
          <w:bCs/>
          <w:sz w:val="24"/>
          <w:szCs w:val="24"/>
        </w:rPr>
        <w:t xml:space="preserve">(1) A Vhr. 1. melléklete </w:t>
      </w:r>
      <w:r>
        <w:rPr>
          <w:rFonts w:ascii="Times New Roman" w:hAnsi="Times New Roman"/>
          <w:bCs/>
          <w:sz w:val="24"/>
          <w:szCs w:val="24"/>
        </w:rPr>
        <w:t xml:space="preserve">helyébe az </w:t>
      </w:r>
      <w:r w:rsidRPr="00BF7C73">
        <w:rPr>
          <w:rFonts w:ascii="Times New Roman" w:hAnsi="Times New Roman"/>
          <w:bCs/>
          <w:sz w:val="24"/>
          <w:szCs w:val="24"/>
        </w:rPr>
        <w:t xml:space="preserve">1. melléklet </w:t>
      </w:r>
      <w:r>
        <w:rPr>
          <w:rFonts w:ascii="Times New Roman" w:hAnsi="Times New Roman"/>
          <w:bCs/>
          <w:sz w:val="24"/>
          <w:szCs w:val="24"/>
        </w:rPr>
        <w:t>lép</w:t>
      </w:r>
      <w:r w:rsidRPr="00BF7C73">
        <w:rPr>
          <w:rFonts w:ascii="Times New Roman" w:hAnsi="Times New Roman"/>
          <w:bCs/>
          <w:sz w:val="24"/>
          <w:szCs w:val="24"/>
        </w:rPr>
        <w:t>.</w:t>
      </w:r>
    </w:p>
    <w:p w:rsidR="00D16144" w:rsidRPr="00BF7C73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7C73">
        <w:rPr>
          <w:rFonts w:ascii="Times New Roman" w:hAnsi="Times New Roman"/>
          <w:bCs/>
          <w:sz w:val="24"/>
          <w:szCs w:val="24"/>
        </w:rPr>
        <w:t xml:space="preserve">(2) A Vhr. </w:t>
      </w:r>
      <w:r>
        <w:rPr>
          <w:rFonts w:ascii="Times New Roman" w:hAnsi="Times New Roman"/>
          <w:bCs/>
          <w:sz w:val="24"/>
          <w:szCs w:val="24"/>
        </w:rPr>
        <w:t>4</w:t>
      </w:r>
      <w:r w:rsidRPr="00BF7C73">
        <w:rPr>
          <w:rFonts w:ascii="Times New Roman" w:hAnsi="Times New Roman"/>
          <w:bCs/>
          <w:sz w:val="24"/>
          <w:szCs w:val="24"/>
        </w:rPr>
        <w:t>. melléklete a 2. melléklet szerint módosul.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(3</w:t>
      </w:r>
      <w:r w:rsidRPr="00BF7C73">
        <w:rPr>
          <w:rFonts w:ascii="Times New Roman" w:hAnsi="Times New Roman"/>
          <w:bCs/>
          <w:sz w:val="24"/>
          <w:szCs w:val="24"/>
        </w:rPr>
        <w:t>) A Vhr</w:t>
      </w:r>
      <w:r>
        <w:rPr>
          <w:rFonts w:ascii="Times New Roman" w:hAnsi="Times New Roman"/>
          <w:bCs/>
          <w:sz w:val="24"/>
          <w:szCs w:val="24"/>
        </w:rPr>
        <w:t>.</w:t>
      </w:r>
      <w:r w:rsidRPr="009422EA">
        <w:rPr>
          <w:rFonts w:ascii="Times New Roman" w:hAnsi="Times New Roman"/>
          <w:bCs/>
          <w:sz w:val="24"/>
          <w:szCs w:val="24"/>
        </w:rPr>
        <w:t xml:space="preserve"> </w:t>
      </w:r>
      <w:r w:rsidRPr="00BF7C73">
        <w:rPr>
          <w:rFonts w:ascii="Times New Roman" w:hAnsi="Times New Roman"/>
          <w:bCs/>
          <w:sz w:val="24"/>
          <w:szCs w:val="24"/>
        </w:rPr>
        <w:t>a 3. melléklet szerint</w:t>
      </w:r>
      <w:r>
        <w:rPr>
          <w:rFonts w:ascii="Times New Roman" w:hAnsi="Times New Roman"/>
          <w:bCs/>
          <w:sz w:val="24"/>
          <w:szCs w:val="24"/>
        </w:rPr>
        <w:t>i</w:t>
      </w:r>
      <w:r w:rsidRPr="00BF7C7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6</w:t>
      </w:r>
      <w:r w:rsidRPr="00BF7C73">
        <w:rPr>
          <w:rFonts w:ascii="Times New Roman" w:hAnsi="Times New Roman"/>
          <w:bCs/>
          <w:sz w:val="24"/>
          <w:szCs w:val="24"/>
        </w:rPr>
        <w:t>. melléklet</w:t>
      </w:r>
      <w:r>
        <w:rPr>
          <w:rFonts w:ascii="Times New Roman" w:hAnsi="Times New Roman"/>
          <w:bCs/>
          <w:sz w:val="24"/>
          <w:szCs w:val="24"/>
        </w:rPr>
        <w:t>tel egészül ki.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6144" w:rsidRPr="00BF7C73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(4) A Vhr. 7. melléklete a 4. melléklet szerint módosul.</w:t>
      </w:r>
    </w:p>
    <w:p w:rsidR="00D16144" w:rsidRPr="00BF7C73" w:rsidRDefault="00D16144" w:rsidP="00D1614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16144" w:rsidRPr="00BF7C73" w:rsidRDefault="00D16144" w:rsidP="00D161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BF7C73">
        <w:rPr>
          <w:rFonts w:ascii="Times New Roman" w:hAnsi="Times New Roman"/>
          <w:b/>
          <w:bCs/>
          <w:sz w:val="24"/>
          <w:szCs w:val="24"/>
        </w:rPr>
        <w:t>. §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7C73">
        <w:rPr>
          <w:rFonts w:ascii="Times New Roman" w:hAnsi="Times New Roman"/>
          <w:bCs/>
          <w:sz w:val="24"/>
          <w:szCs w:val="24"/>
        </w:rPr>
        <w:t>A Vhr.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869A8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4869A8">
        <w:rPr>
          <w:rFonts w:ascii="Times New Roman" w:hAnsi="Times New Roman"/>
          <w:bCs/>
          <w:i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2/B. § (5) bekezdésében </w:t>
      </w:r>
      <w:r w:rsidRPr="009422EA">
        <w:rPr>
          <w:rFonts w:ascii="Times New Roman" w:hAnsi="Times New Roman"/>
          <w:bCs/>
          <w:sz w:val="24"/>
          <w:szCs w:val="24"/>
        </w:rPr>
        <w:t>a „</w:t>
      </w:r>
      <w:r w:rsidRPr="00B52366">
        <w:rPr>
          <w:rFonts w:ascii="Times New Roman" w:hAnsi="Times New Roman"/>
          <w:color w:val="000000"/>
          <w:sz w:val="24"/>
          <w:szCs w:val="24"/>
        </w:rPr>
        <w:t>nyilatkozat módosítását</w:t>
      </w:r>
      <w:r>
        <w:rPr>
          <w:rFonts w:ascii="Times New Roman" w:hAnsi="Times New Roman"/>
          <w:color w:val="000000"/>
          <w:sz w:val="24"/>
          <w:szCs w:val="24"/>
        </w:rPr>
        <w:t xml:space="preserve">” </w:t>
      </w:r>
      <w:r w:rsidRPr="00B52366">
        <w:rPr>
          <w:rFonts w:ascii="Times New Roman" w:hAnsi="Times New Roman"/>
          <w:color w:val="000000"/>
          <w:sz w:val="24"/>
          <w:szCs w:val="24"/>
        </w:rPr>
        <w:t>szövegrész helyébe a „nyilatkozat módosítását vagy az engedély érvényességének a meghosszabbítását” szöveg,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869A8">
        <w:rPr>
          <w:rFonts w:ascii="Times New Roman" w:hAnsi="Times New Roman"/>
          <w:bCs/>
          <w:i/>
          <w:sz w:val="24"/>
          <w:szCs w:val="24"/>
        </w:rPr>
        <w:t>b)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E6DD3">
        <w:rPr>
          <w:rFonts w:ascii="Times New Roman" w:hAnsi="Times New Roman"/>
          <w:bCs/>
          <w:sz w:val="24"/>
          <w:szCs w:val="24"/>
        </w:rPr>
        <w:t xml:space="preserve">23. § (5) </w:t>
      </w:r>
      <w:r>
        <w:rPr>
          <w:rFonts w:ascii="Times New Roman" w:hAnsi="Times New Roman"/>
          <w:bCs/>
          <w:sz w:val="24"/>
          <w:szCs w:val="24"/>
        </w:rPr>
        <w:t xml:space="preserve">bekezdés </w:t>
      </w:r>
      <w:r w:rsidRPr="004E6DD3">
        <w:rPr>
          <w:rFonts w:ascii="Times New Roman" w:hAnsi="Times New Roman"/>
          <w:bCs/>
          <w:i/>
          <w:sz w:val="24"/>
          <w:szCs w:val="24"/>
        </w:rPr>
        <w:t>f)</w:t>
      </w:r>
      <w:r>
        <w:rPr>
          <w:rFonts w:ascii="Times New Roman" w:hAnsi="Times New Roman"/>
          <w:bCs/>
          <w:sz w:val="24"/>
          <w:szCs w:val="24"/>
        </w:rPr>
        <w:t xml:space="preserve"> pontjában a „r</w:t>
      </w:r>
      <w:r w:rsidRPr="004E6DD3">
        <w:rPr>
          <w:rFonts w:ascii="Times New Roman" w:hAnsi="Times New Roman"/>
          <w:bCs/>
          <w:sz w:val="24"/>
          <w:szCs w:val="24"/>
        </w:rPr>
        <w:t>aktárba beszállított” szövegrész helyébe a „raktárba betárolt” szöv</w:t>
      </w:r>
      <w:r w:rsidRPr="009422EA">
        <w:rPr>
          <w:rFonts w:ascii="Times New Roman" w:hAnsi="Times New Roman"/>
          <w:bCs/>
          <w:sz w:val="24"/>
          <w:szCs w:val="24"/>
        </w:rPr>
        <w:t>eg</w:t>
      </w:r>
      <w:r w:rsidRPr="006E6DA9">
        <w:rPr>
          <w:rFonts w:ascii="Times New Roman" w:hAnsi="Times New Roman"/>
          <w:bCs/>
          <w:sz w:val="24"/>
          <w:szCs w:val="24"/>
        </w:rPr>
        <w:t>, a „</w:t>
      </w:r>
      <w:r w:rsidRPr="00B52366">
        <w:rPr>
          <w:rFonts w:ascii="Times New Roman" w:hAnsi="Times New Roman"/>
          <w:color w:val="000000"/>
          <w:sz w:val="24"/>
          <w:szCs w:val="24"/>
        </w:rPr>
        <w:t xml:space="preserve">beszállítás esetén” szövegrész helyébe a „betárolás esetén”, a „beszállítás </w:t>
      </w:r>
      <w:proofErr w:type="spellStart"/>
      <w:r w:rsidRPr="00B52366">
        <w:rPr>
          <w:rFonts w:ascii="Times New Roman" w:hAnsi="Times New Roman"/>
          <w:color w:val="000000"/>
          <w:sz w:val="24"/>
          <w:szCs w:val="24"/>
        </w:rPr>
        <w:t>tényéről</w:t>
      </w:r>
      <w:proofErr w:type="spellEnd"/>
      <w:r w:rsidRPr="00B52366">
        <w:rPr>
          <w:rFonts w:ascii="Times New Roman" w:hAnsi="Times New Roman"/>
          <w:color w:val="000000"/>
          <w:sz w:val="24"/>
          <w:szCs w:val="24"/>
        </w:rPr>
        <w:t xml:space="preserve">” szövegrész helybe a „betárolás </w:t>
      </w:r>
      <w:proofErr w:type="spellStart"/>
      <w:r w:rsidRPr="00B52366">
        <w:rPr>
          <w:rFonts w:ascii="Times New Roman" w:hAnsi="Times New Roman"/>
          <w:color w:val="000000"/>
          <w:sz w:val="24"/>
          <w:szCs w:val="24"/>
        </w:rPr>
        <w:t>tényéről</w:t>
      </w:r>
      <w:proofErr w:type="spellEnd"/>
      <w:r w:rsidRPr="00B52366">
        <w:rPr>
          <w:rFonts w:ascii="Times New Roman" w:hAnsi="Times New Roman"/>
          <w:color w:val="000000"/>
          <w:sz w:val="24"/>
          <w:szCs w:val="24"/>
        </w:rPr>
        <w:t>” szöveg</w:t>
      </w:r>
      <w:r w:rsidRPr="009422EA">
        <w:rPr>
          <w:rFonts w:ascii="Times New Roman" w:hAnsi="Times New Roman"/>
          <w:bCs/>
          <w:sz w:val="24"/>
          <w:szCs w:val="24"/>
        </w:rPr>
        <w:t>,</w:t>
      </w:r>
      <w:r w:rsidRPr="006E6DA9">
        <w:rPr>
          <w:rFonts w:ascii="Times New Roman" w:hAnsi="Times New Roman"/>
          <w:bCs/>
          <w:sz w:val="24"/>
          <w:szCs w:val="24"/>
        </w:rPr>
        <w:t xml:space="preserve"> 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</w:t>
      </w:r>
      <w:r w:rsidRPr="0040055B">
        <w:rPr>
          <w:rFonts w:ascii="Times New Roman" w:hAnsi="Times New Roman"/>
          <w:bCs/>
          <w:sz w:val="24"/>
          <w:szCs w:val="24"/>
        </w:rPr>
        <w:t>) a 23. § (8) bekezdés b) pontjában a „segédanyag vagy kereskedelmi csomagolószer</w:t>
      </w:r>
      <w:r w:rsidRPr="00357104">
        <w:rPr>
          <w:rFonts w:ascii="Times New Roman" w:hAnsi="Times New Roman"/>
          <w:bCs/>
          <w:sz w:val="24"/>
          <w:szCs w:val="24"/>
        </w:rPr>
        <w:t>” szövegrész helyébe a „</w:t>
      </w:r>
      <w:r w:rsidRPr="0040055B">
        <w:rPr>
          <w:rFonts w:ascii="Times New Roman" w:hAnsi="Times New Roman"/>
          <w:color w:val="000000"/>
          <w:sz w:val="24"/>
          <w:szCs w:val="24"/>
        </w:rPr>
        <w:t>segédanyag, kereskedelmi csomagolószer vagy fém ital-csomagolószer”</w:t>
      </w:r>
      <w:r>
        <w:rPr>
          <w:rFonts w:ascii="Times New Roman" w:hAnsi="Times New Roman"/>
          <w:color w:val="000000"/>
          <w:sz w:val="24"/>
          <w:szCs w:val="24"/>
        </w:rPr>
        <w:t xml:space="preserve"> szöv</w:t>
      </w:r>
      <w:r w:rsidRPr="0040055B">
        <w:rPr>
          <w:rFonts w:ascii="Times New Roman" w:hAnsi="Times New Roman"/>
          <w:color w:val="000000"/>
          <w:sz w:val="24"/>
          <w:szCs w:val="24"/>
        </w:rPr>
        <w:t>eg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16144" w:rsidRPr="0040055B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d) a 27. § (1) bekezdésben a „</w:t>
      </w:r>
      <w:r w:rsidRPr="00357104">
        <w:rPr>
          <w:rFonts w:ascii="Times New Roman" w:hAnsi="Times New Roman"/>
          <w:color w:val="000000"/>
          <w:sz w:val="24"/>
          <w:szCs w:val="24"/>
        </w:rPr>
        <w:t>együttműködő szerződött partnerek</w:t>
      </w:r>
      <w:r>
        <w:rPr>
          <w:rFonts w:ascii="Times New Roman" w:hAnsi="Times New Roman"/>
          <w:color w:val="000000"/>
          <w:sz w:val="24"/>
          <w:szCs w:val="24"/>
        </w:rPr>
        <w:t>” szövegrész helyébe a „</w:t>
      </w:r>
      <w:r w:rsidRPr="00357104">
        <w:rPr>
          <w:rFonts w:ascii="Times New Roman" w:hAnsi="Times New Roman"/>
          <w:color w:val="000000"/>
          <w:sz w:val="24"/>
          <w:szCs w:val="24"/>
        </w:rPr>
        <w:t>együttműködő szerződött partnerek, kapcsolt vállalkozások</w:t>
      </w:r>
      <w:r>
        <w:rPr>
          <w:rFonts w:ascii="Times New Roman" w:hAnsi="Times New Roman"/>
          <w:color w:val="000000"/>
          <w:sz w:val="24"/>
          <w:szCs w:val="24"/>
        </w:rPr>
        <w:t>” szöveg</w:t>
      </w:r>
    </w:p>
    <w:p w:rsidR="00D16144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BF7C73">
        <w:rPr>
          <w:rFonts w:ascii="Times New Roman" w:hAnsi="Times New Roman"/>
          <w:bCs/>
          <w:sz w:val="24"/>
          <w:szCs w:val="24"/>
        </w:rPr>
        <w:t>lép</w:t>
      </w:r>
      <w:proofErr w:type="gramEnd"/>
      <w:r w:rsidRPr="00BF7C73">
        <w:rPr>
          <w:rFonts w:ascii="Times New Roman" w:hAnsi="Times New Roman"/>
          <w:bCs/>
          <w:sz w:val="24"/>
          <w:szCs w:val="24"/>
        </w:rPr>
        <w:t>.</w:t>
      </w:r>
    </w:p>
    <w:p w:rsidR="00D16144" w:rsidRPr="00BF7C73" w:rsidRDefault="00D16144" w:rsidP="00D1614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16144" w:rsidRPr="00BF7C73" w:rsidRDefault="00D16144" w:rsidP="00D161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Pr="00BF7C73">
        <w:rPr>
          <w:rFonts w:ascii="Times New Roman" w:hAnsi="Times New Roman"/>
          <w:b/>
          <w:bCs/>
          <w:sz w:val="24"/>
          <w:szCs w:val="24"/>
        </w:rPr>
        <w:t>. §</w:t>
      </w:r>
    </w:p>
    <w:p w:rsidR="00D16144" w:rsidRPr="00BF7C73" w:rsidRDefault="00D16144" w:rsidP="00D1614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16144" w:rsidRPr="00BF7C73" w:rsidRDefault="00D16144" w:rsidP="00D1614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7C73">
        <w:rPr>
          <w:rFonts w:ascii="Times New Roman" w:hAnsi="Times New Roman"/>
          <w:bCs/>
          <w:sz w:val="24"/>
          <w:szCs w:val="24"/>
        </w:rPr>
        <w:t>Ez a rendelet 201</w:t>
      </w:r>
      <w:r>
        <w:rPr>
          <w:rFonts w:ascii="Times New Roman" w:hAnsi="Times New Roman"/>
          <w:bCs/>
          <w:sz w:val="24"/>
          <w:szCs w:val="24"/>
        </w:rPr>
        <w:t>8</w:t>
      </w:r>
      <w:r w:rsidRPr="00BF7C73">
        <w:rPr>
          <w:rFonts w:ascii="Times New Roman" w:hAnsi="Times New Roman"/>
          <w:bCs/>
          <w:sz w:val="24"/>
          <w:szCs w:val="24"/>
        </w:rPr>
        <w:t>. január 1-jén lép hatályba.</w:t>
      </w:r>
    </w:p>
    <w:p w:rsidR="00D16144" w:rsidRPr="00BF7C73" w:rsidRDefault="00D16144" w:rsidP="00D1614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F7C73">
        <w:rPr>
          <w:rFonts w:ascii="Times New Roman" w:hAnsi="Times New Roman"/>
          <w:sz w:val="24"/>
          <w:szCs w:val="24"/>
        </w:rPr>
        <w:br w:type="page"/>
      </w:r>
    </w:p>
    <w:p w:rsidR="00D16144" w:rsidRDefault="00D16144" w:rsidP="00D16144">
      <w:pPr>
        <w:jc w:val="right"/>
        <w:rPr>
          <w:rFonts w:ascii="Times New Roman" w:hAnsi="Times New Roman"/>
          <w:i/>
          <w:sz w:val="24"/>
          <w:szCs w:val="24"/>
        </w:rPr>
      </w:pPr>
      <w:r w:rsidRPr="00BF7C73">
        <w:rPr>
          <w:rFonts w:ascii="Times New Roman" w:hAnsi="Times New Roman"/>
          <w:i/>
          <w:sz w:val="24"/>
          <w:szCs w:val="24"/>
        </w:rPr>
        <w:lastRenderedPageBreak/>
        <w:t xml:space="preserve">1. melléklet </w:t>
      </w:r>
      <w:proofErr w:type="gramStart"/>
      <w:r w:rsidRPr="00BF7C73">
        <w:rPr>
          <w:rFonts w:ascii="Times New Roman" w:hAnsi="Times New Roman"/>
          <w:i/>
          <w:sz w:val="24"/>
          <w:szCs w:val="24"/>
        </w:rPr>
        <w:t>a ….</w:t>
      </w:r>
      <w:proofErr w:type="gramEnd"/>
      <w:r w:rsidRPr="00BF7C73">
        <w:rPr>
          <w:rFonts w:ascii="Times New Roman" w:hAnsi="Times New Roman"/>
          <w:i/>
          <w:sz w:val="24"/>
          <w:szCs w:val="24"/>
        </w:rPr>
        <w:t>. /201</w:t>
      </w:r>
      <w:r>
        <w:rPr>
          <w:rFonts w:ascii="Times New Roman" w:hAnsi="Times New Roman"/>
          <w:i/>
          <w:sz w:val="24"/>
          <w:szCs w:val="24"/>
        </w:rPr>
        <w:t>7</w:t>
      </w:r>
      <w:r w:rsidRPr="00BF7C73">
        <w:rPr>
          <w:rFonts w:ascii="Times New Roman" w:hAnsi="Times New Roman"/>
          <w:i/>
          <w:sz w:val="24"/>
          <w:szCs w:val="24"/>
        </w:rPr>
        <w:t>.(…) Korm. rendelethez</w:t>
      </w:r>
    </w:p>
    <w:p w:rsidR="00D16144" w:rsidRDefault="00D16144" w:rsidP="00D16144">
      <w:pPr>
        <w:pStyle w:val="NormlWeb"/>
        <w:spacing w:before="160" w:after="160"/>
        <w:ind w:firstLine="180"/>
        <w:rPr>
          <w:rFonts w:ascii="Times" w:hAnsi="Times" w:cs="Times"/>
          <w:color w:val="000000"/>
        </w:rPr>
      </w:pPr>
      <w:r>
        <w:rPr>
          <w:i/>
        </w:rPr>
        <w:t>„</w:t>
      </w:r>
      <w:r>
        <w:rPr>
          <w:rFonts w:ascii="Times" w:hAnsi="Times" w:cs="Times"/>
          <w:i/>
          <w:iCs/>
          <w:color w:val="000000"/>
          <w:u w:val="single"/>
        </w:rPr>
        <w:t>1. melléklet a 343/2011. (XII. 29.) Korm. rendelethez</w:t>
      </w:r>
    </w:p>
    <w:p w:rsidR="00D16144" w:rsidRDefault="00D16144" w:rsidP="00D16144">
      <w:pPr>
        <w:jc w:val="both"/>
        <w:rPr>
          <w:rFonts w:ascii="Times New Roman" w:hAnsi="Times New Roman"/>
          <w:i/>
          <w:sz w:val="24"/>
          <w:szCs w:val="24"/>
        </w:rPr>
      </w:pPr>
    </w:p>
    <w:p w:rsidR="00D16144" w:rsidRPr="00815718" w:rsidRDefault="00D16144" w:rsidP="00D16144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A) cím</w:t>
      </w:r>
    </w:p>
    <w:p w:rsidR="00D16144" w:rsidRPr="00815718" w:rsidRDefault="00D16144" w:rsidP="00D16144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spellStart"/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CsK</w:t>
      </w:r>
      <w:proofErr w:type="spellEnd"/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kódok</w:t>
      </w:r>
    </w:p>
    <w:p w:rsidR="00D16144" w:rsidRPr="00815718" w:rsidRDefault="00D16144" w:rsidP="00D16144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1. A </w:t>
      </w:r>
      <w:proofErr w:type="spellStart"/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CsK</w:t>
      </w:r>
      <w:proofErr w:type="spellEnd"/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kód felépítése</w:t>
      </w:r>
    </w:p>
    <w:p w:rsidR="00D16144" w:rsidRPr="00815718" w:rsidRDefault="00D16144" w:rsidP="00D16144">
      <w:pPr>
        <w:spacing w:after="20" w:line="240" w:lineRule="auto"/>
        <w:ind w:left="1560" w:hanging="156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gramStart"/>
      <w:r w:rsidRPr="00815718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a</w:t>
      </w:r>
      <w:proofErr w:type="gramEnd"/>
      <w:r w:rsidRPr="00815718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)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1. karakter: csomagolóeszközként, csomagolóanyagként, csomagolási segédanyagként is felhasználható terméket jelölő kód vagy speciális csomagolószer jellegét jelölő kód</w:t>
      </w:r>
    </w:p>
    <w:p w:rsidR="00D16144" w:rsidRPr="00815718" w:rsidRDefault="00D16144" w:rsidP="00D16144">
      <w:pPr>
        <w:spacing w:after="20" w:line="240" w:lineRule="auto"/>
        <w:ind w:left="3020" w:hanging="302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15718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b)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2–3. karakter: a termék anyagát jelölő kód</w:t>
      </w:r>
    </w:p>
    <w:p w:rsidR="00D16144" w:rsidRPr="00815718" w:rsidRDefault="00D16144" w:rsidP="00D16144">
      <w:pPr>
        <w:spacing w:after="20" w:line="240" w:lineRule="auto"/>
        <w:ind w:left="1560" w:hanging="156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15718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c)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4–5. karakter: pénzügyi státuszkód, amely a kötelezettség keletkezését vagy annak hiányát jelöli</w:t>
      </w:r>
    </w:p>
    <w:p w:rsidR="00D16144" w:rsidRPr="00815718" w:rsidRDefault="00D16144" w:rsidP="00D16144">
      <w:pPr>
        <w:spacing w:after="20" w:line="240" w:lineRule="auto"/>
        <w:ind w:left="1560" w:hanging="156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15718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d)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6–7. karakter: a termék újrahasználhatóságát vagy speciális csomagolószer jellegét jelölő kód</w:t>
      </w:r>
    </w:p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2. A 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következő táblázatok a </w:t>
      </w:r>
      <w:proofErr w:type="spellStart"/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CsK</w:t>
      </w:r>
      <w:proofErr w:type="spellEnd"/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kódok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adattartalmát tartalmazzák</w:t>
      </w:r>
    </w:p>
    <w:p w:rsidR="00D16144" w:rsidRDefault="00D16144" w:rsidP="00D16144">
      <w:pPr>
        <w:spacing w:after="20" w:line="240" w:lineRule="auto"/>
        <w:ind w:left="380" w:hanging="3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16144" w:rsidRPr="00A26C0E" w:rsidRDefault="00D16144" w:rsidP="00D16144">
      <w:pPr>
        <w:spacing w:after="20" w:line="240" w:lineRule="auto"/>
        <w:jc w:val="both"/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</w:pPr>
      <w:r w:rsidRPr="00A26C0E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 xml:space="preserve">2.1. a </w:t>
      </w:r>
      <w:proofErr w:type="spellStart"/>
      <w:r w:rsidRPr="00A26C0E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>CsK</w:t>
      </w:r>
      <w:proofErr w:type="spellEnd"/>
      <w:r w:rsidRPr="00A26C0E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 xml:space="preserve"> kód 1. karaktere</w:t>
      </w:r>
    </w:p>
    <w:p w:rsidR="00D16144" w:rsidRDefault="00D16144" w:rsidP="00D16144">
      <w:pPr>
        <w:spacing w:after="20" w:line="240" w:lineRule="auto"/>
        <w:ind w:left="380" w:hanging="3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2.1.1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z aktuális </w:t>
      </w:r>
      <w:proofErr w:type="spellStart"/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CsK</w:t>
      </w:r>
      <w:proofErr w:type="spellEnd"/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kód 1. karaktere</w:t>
      </w:r>
    </w:p>
    <w:tbl>
      <w:tblPr>
        <w:tblW w:w="9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"/>
        <w:gridCol w:w="1417"/>
        <w:gridCol w:w="6946"/>
      </w:tblGrid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</w:t>
            </w:r>
          </w:p>
        </w:tc>
      </w:tr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Kód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Megnevezés</w:t>
            </w:r>
          </w:p>
        </w:tc>
      </w:tr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Csomagolóanyag vagy csomagolóanyagként is felhasználható termék</w:t>
            </w:r>
          </w:p>
        </w:tc>
      </w:tr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Az eladótérben megtöltésre tervezett, megtöltésre szánt, felhasználásra kerülő (eladótéri) műanyag zsák, zacskó</w:t>
            </w:r>
          </w:p>
        </w:tc>
      </w:tr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Csomagolóeszköz vagy csomagolóeszközként is felhasználható termék</w:t>
            </w:r>
          </w:p>
        </w:tc>
      </w:tr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H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Újrahasználatra</w:t>
            </w:r>
            <w:proofErr w:type="spellEnd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vagy újbóli felhasználásra előkészítést követően létrejött csomagolószer</w:t>
            </w:r>
          </w:p>
        </w:tc>
      </w:tr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F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Fém ital-csomagolószer</w:t>
            </w:r>
          </w:p>
        </w:tc>
      </w:tr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Műanyag bevásárló reklámtáska</w:t>
            </w:r>
          </w:p>
        </w:tc>
      </w:tr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S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Csomagolási segédanyag vagy csomagolási segédanyagként is felhasználható termék</w:t>
            </w:r>
          </w:p>
        </w:tc>
      </w:tr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Z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Elkülönített hulladék gyűjt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ésére szolgáló</w:t>
            </w: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műanyag zsák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2.1.2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z elévülési időszakon belüli visszaigénylésnél alkalmazható </w:t>
      </w:r>
      <w:proofErr w:type="spellStart"/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CsK</w:t>
      </w:r>
      <w:proofErr w:type="spellEnd"/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kód 1. karaktere</w:t>
      </w:r>
    </w:p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tbl>
      <w:tblPr>
        <w:tblW w:w="9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"/>
        <w:gridCol w:w="1417"/>
        <w:gridCol w:w="6946"/>
      </w:tblGrid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</w:t>
            </w:r>
          </w:p>
        </w:tc>
      </w:tr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Kód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Megnevezés</w:t>
            </w:r>
          </w:p>
        </w:tc>
      </w:tr>
      <w:tr w:rsidR="00D16144" w:rsidRPr="00815718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Kereskedelmi csomagolószer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16144" w:rsidRPr="00A26C0E" w:rsidRDefault="00D16144" w:rsidP="00D16144">
      <w:pPr>
        <w:spacing w:after="20" w:line="240" w:lineRule="auto"/>
        <w:jc w:val="both"/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</w:pPr>
      <w:r w:rsidRPr="00A26C0E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 xml:space="preserve">2.2 a </w:t>
      </w:r>
      <w:proofErr w:type="spellStart"/>
      <w:r w:rsidRPr="00A26C0E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>CsK</w:t>
      </w:r>
      <w:proofErr w:type="spellEnd"/>
      <w:r w:rsidRPr="00A26C0E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 xml:space="preserve"> kód 2–3. karaktere</w:t>
      </w:r>
    </w:p>
    <w:tbl>
      <w:tblPr>
        <w:tblW w:w="9356" w:type="dxa"/>
        <w:tblInd w:w="-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6946"/>
      </w:tblGrid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Kód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Megnevezés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Műanyag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polietilén-tereftalát</w:t>
            </w:r>
            <w:proofErr w:type="spellEnd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(PET)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nagysűrűségű polietilén (HDPE)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proofErr w:type="gramStart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poli</w:t>
            </w:r>
            <w:proofErr w:type="spellEnd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</w:t>
            </w:r>
            <w:proofErr w:type="spellStart"/>
            <w:proofErr w:type="gramEnd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vinil-klorid</w:t>
            </w:r>
            <w:proofErr w:type="spellEnd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 (PV</w:t>
            </w:r>
            <w:r w:rsidRPr="0081571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hu-HU"/>
              </w:rPr>
              <w:t>C</w:t>
            </w: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kissűrűségű polietilén (LDPE)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polipropilén (PP)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polisztirol (PS)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poliamid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poliuretán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proofErr w:type="gramStart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poli</w:t>
            </w:r>
            <w:proofErr w:type="spellEnd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</w:t>
            </w:r>
            <w:proofErr w:type="spellStart"/>
            <w:proofErr w:type="gramEnd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vinil-alkohol</w:t>
            </w:r>
            <w:proofErr w:type="spellEnd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megújuló nyersanyagból előállított biológiailag lebomló </w:t>
            </w:r>
            <w:proofErr w:type="spellStart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biopolimer</w:t>
            </w:r>
            <w:proofErr w:type="spellEnd"/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más műanyag (</w:t>
            </w:r>
            <w:proofErr w:type="spellStart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műanyag</w:t>
            </w:r>
            <w:proofErr w:type="spellEnd"/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/műanyag), külföldről behozott csomagolás műanyag összetevője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Papír és karton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hullámpapírlemez (PAP)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nem hullámpapírlemez jellegű karton (PAP)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papír (PAP)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külföldről behozott csomagolás papír, karton összetevője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Fém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acél (FE)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alumínium (ALU)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más fém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Fa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fa (FOR)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parafa (FOR)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más természetes anyag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Textil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gyapot (TEX)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juta, kender (TEX)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30.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más természetes alapú anyag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31.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Üveg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színtelen üveg (GL)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zöld üveg (GL)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barna üveg (GL)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más üveg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36.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papír és karton/különböző fémek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rétegzett italkarton: papír és karton/műanyag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papír és karton/alumínium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papír és karton/ónozott lemez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rétegzett italkarton: papír és karton/műanyag/alumínium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papír és karton/műanyag/alumínium/ónozott lemez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papír és karton/más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műanyag/alumínium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műanyag/ónozott lemez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műanyag/különböző fémek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műanyag/más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egyéb anyag/egyéb anyag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üveg/műanyag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üveg/alumínium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üveg/ónozott lemez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társított: üveg/különböző fémek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53.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Egyéb</w:t>
            </w:r>
          </w:p>
        </w:tc>
      </w:tr>
      <w:tr w:rsidR="00D16144" w:rsidRPr="00815718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815718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157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egyéb anyag</w:t>
            </w:r>
          </w:p>
        </w:tc>
      </w:tr>
    </w:tbl>
    <w:p w:rsidR="00D16144" w:rsidRDefault="00D16144" w:rsidP="00D16144">
      <w:pPr>
        <w:spacing w:after="20" w:line="240" w:lineRule="auto"/>
        <w:ind w:left="380" w:hanging="3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16144" w:rsidRPr="00A26C0E" w:rsidRDefault="00D16144" w:rsidP="00D16144">
      <w:pPr>
        <w:spacing w:after="20" w:line="240" w:lineRule="auto"/>
        <w:jc w:val="both"/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</w:pPr>
      <w:r w:rsidRPr="00A26C0E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 xml:space="preserve">2.3 a </w:t>
      </w:r>
      <w:proofErr w:type="spellStart"/>
      <w:r w:rsidRPr="00A26C0E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>CsK</w:t>
      </w:r>
      <w:proofErr w:type="spellEnd"/>
      <w:r w:rsidRPr="00A26C0E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 xml:space="preserve"> kód 4–5. karaktere</w:t>
      </w:r>
    </w:p>
    <w:tbl>
      <w:tblPr>
        <w:tblW w:w="935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6946"/>
      </w:tblGrid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Kód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Megnevezés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8363" w:type="dxa"/>
            <w:gridSpan w:val="2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Belföldi előállítású csomagolószer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teljes díjtétel,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2. melléklete alapján (kollektív teljesítés)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egyéni teljesítő,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melléklete alapján számított díjtétel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. 3. § (6) 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bekezdés </w:t>
            </w:r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b)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 </w:t>
            </w:r>
            <w:proofErr w:type="spellStart"/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bb</w:t>
            </w:r>
            <w:proofErr w:type="spellEnd"/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alpontja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6.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1B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teljes díjtétel,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2. melléklete alapján (kollektív teljesítés) termékdíj raktárból belföldre történő 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tárolás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, saját célú felhasználás esetén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1C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egyéni teljesítő,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melléklete alapján számított díjtétel termékdíj raktárból belföldre történő 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tárol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ás, saját célú felhasználás esetén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13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teljes díjtétel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2. melléklete alapján (kollektív teljesítés), eltérő felhasználás esetén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§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(6)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bekezdés </w:t>
            </w:r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a)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§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(6)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bekezdés </w:t>
            </w:r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b)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 </w:t>
            </w:r>
            <w:proofErr w:type="spellStart"/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ba</w:t>
            </w:r>
            <w:proofErr w:type="spellEnd"/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vagy </w:t>
            </w:r>
            <w:proofErr w:type="spellStart"/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bb</w:t>
            </w:r>
            <w:proofErr w:type="spellEnd"/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alpontja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§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(6)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bekezdés </w:t>
            </w:r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c)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 </w:t>
            </w:r>
            <w:proofErr w:type="spellStart"/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ca</w:t>
            </w:r>
            <w:proofErr w:type="spellEnd"/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vagy </w:t>
            </w:r>
            <w:proofErr w:type="spellStart"/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cb</w:t>
            </w:r>
            <w:proofErr w:type="spellEnd"/>
            <w:r w:rsidRPr="00FE1EB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alpontja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1R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§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(6)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d)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13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1E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§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(6)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e)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1F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§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(6)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f)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1J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§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(9)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c)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1K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§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(9)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d)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1L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§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(9)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e)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1U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3/</w:t>
            </w:r>
            <w:proofErr w:type="gram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A.</w:t>
            </w:r>
            <w:proofErr w:type="gram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§ (1) bekezdése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az első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a)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 </w:t>
            </w:r>
            <w:proofErr w:type="spellStart"/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aa</w:t>
            </w:r>
            <w:proofErr w:type="spellEnd"/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20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1A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a) pont ab)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21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b)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szerinti bérgyártó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22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19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c)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szerinti termelői szerveződés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az első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. 14. § (5) 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d)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az első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e)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 </w:t>
            </w:r>
            <w:proofErr w:type="spellStart"/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ea</w:t>
            </w:r>
            <w:proofErr w:type="spellEnd"/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2E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e)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eb)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2F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az első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f)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fa)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F2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f)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 </w:t>
            </w:r>
            <w:proofErr w:type="spellStart"/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fb</w:t>
            </w:r>
            <w:proofErr w:type="spellEnd"/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2G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az első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g)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 </w:t>
            </w:r>
            <w:proofErr w:type="spellStart"/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ga</w:t>
            </w:r>
            <w:proofErr w:type="spellEnd"/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G2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g)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 </w:t>
            </w:r>
            <w:proofErr w:type="spellStart"/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gb</w:t>
            </w:r>
            <w:proofErr w:type="spellEnd"/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30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2H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h)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31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22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a)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b)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c)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d)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e)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 visszaigénylésre kerül, kivéve selejt, hulladék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e)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 visszaigénylésre kerülő selejt, hulladék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</w:t>
            </w:r>
            <w:r w:rsidRPr="003218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g)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(2a) bekezdése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2V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csomagolószer termékdíja ipari termékdíj raktárba történő beszállítása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40.</w:t>
            </w:r>
          </w:p>
        </w:tc>
        <w:tc>
          <w:tcPr>
            <w:tcW w:w="8363" w:type="dxa"/>
            <w:gridSpan w:val="2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Külföldről behozott csomagolószer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41.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teljes díjtétel,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2. melléklete alapján (kollektív teljesítés)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42.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31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egyéni teljesítő,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melléklete alapján számított díjtétel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43.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3B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teljes díjtétel,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2. melléklete alapján (kollektív teljesítés) termékdíj raktárból belföldre történő 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tárol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ás, saját célú felhasználás esetén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44.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3C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egyéni teljesítő,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melléklete alapján számított díjtétel termékdíj raktárból belföldre történő 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tárol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ás, saját célú felhasználás esetén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45.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33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teljes díjtétel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2. melléklete alapján (kollektív teljesítés), eltérő felhasználás esetén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46.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§ (6) bekezdés a) 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47.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§ (6) bekezdés b) pont 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ba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 vagy 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bb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 alpontja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48.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36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§ (6) bekezdés c) pont 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ca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 vagy 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cb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 alpontja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49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3R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9173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9173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9173E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§ (6) bekezdés d) 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50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3E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§ (6) bekezdés e) 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51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3F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§ (6) bekezdés f) 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52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3K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§ (9) bekezdés d) pontja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3L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§ (9) bekezdés e) pontja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3U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3/</w:t>
            </w:r>
            <w:proofErr w:type="gram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A.</w:t>
            </w:r>
            <w:proofErr w:type="gram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§ (1) bekezdése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37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az első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a) pont 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aa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3A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a</w:t>
            </w:r>
            <w:proofErr w:type="gram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)pont</w:t>
            </w:r>
            <w:proofErr w:type="gram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ab)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38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b) pontja szerinti bérgyártó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c) pontja szerinti termelői szerveződés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az első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d) 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60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41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az első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e) pont 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ea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61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4E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e) pont eb)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4F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az első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f) pont fa)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F4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f) pont 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fb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4G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az első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g) pont 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ga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G4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g)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 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gb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43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a)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44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b)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45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c)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46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d)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70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47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e) pontja alapján visszaigénylésre kerül, kivéve selejt, hulladék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71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48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e) pontja alapján visszaigénylésre kerülő selejt, hulladék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72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4H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h)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49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csomagolószer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(2a) bekezdése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4V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csomagolószer termékdíja ipari termékdíj raktárba történő beszállítás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75.</w:t>
            </w:r>
          </w:p>
        </w:tc>
        <w:tc>
          <w:tcPr>
            <w:tcW w:w="8363" w:type="dxa"/>
            <w:gridSpan w:val="2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Külföldről behozott csomagolás részét képező csomagolószer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76.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teljes díjtétel,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2. melléklete alapján (kollektív teljesítés)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77.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51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egyéni teljesítő,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melléklete alapján számított díjtétel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78.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5B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teljes díjtétel,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2. melléklete alapján (kollektív teljesítés) termékdíj raktárból belföldre történő 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tárol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ás, saját célú felhasználás esetén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79.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5C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egyéni teljesítő,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melléklete alapján számított díjtétel termékdíj raktárból belföldre történő 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tárol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ás, saját célú felhasználás esetén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5R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8430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8430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8430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§ (6) bekezdés d) pontja szerint adott nyilatkozata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5L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§ (9) bekezdés e) pontja alapján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54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az első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a) pont 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aa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) 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5A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termékdíj-kötelezettséget a belföldi vevő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a)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pont ab) alpontja alapján szerződéssel átvállalta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84.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55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a)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85.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56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b)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86.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c)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87.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58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d)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88.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59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e) 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89.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60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f) pontja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90.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61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termékdíja a </w:t>
            </w: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(2a) bekezdése alapján visszaigénylésre kerül</w:t>
            </w:r>
          </w:p>
        </w:tc>
      </w:tr>
      <w:tr w:rsidR="00D16144" w:rsidRPr="0026603A" w:rsidTr="003C39FB">
        <w:tc>
          <w:tcPr>
            <w:tcW w:w="993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91.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6V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 csomagolószer termékdíja ipari termékdíj raktárba történő beszállítás alapján visszaigénylésre kerül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16144" w:rsidRPr="00A26C0E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</w:pPr>
      <w:r w:rsidRPr="00A26C0E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 xml:space="preserve">2.4 a </w:t>
      </w:r>
      <w:proofErr w:type="spellStart"/>
      <w:r w:rsidRPr="00A26C0E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>CsK</w:t>
      </w:r>
      <w:proofErr w:type="spellEnd"/>
      <w:r w:rsidRPr="00A26C0E">
        <w:rPr>
          <w:rFonts w:ascii="Times" w:eastAsia="Times New Roman" w:hAnsi="Times" w:cs="Times"/>
          <w:b/>
          <w:color w:val="000000"/>
          <w:sz w:val="24"/>
          <w:szCs w:val="24"/>
          <w:lang w:eastAsia="hu-HU"/>
        </w:rPr>
        <w:t xml:space="preserve"> kód 6–7. karaktere</w:t>
      </w:r>
    </w:p>
    <w:tbl>
      <w:tblPr>
        <w:tblW w:w="9356" w:type="dxa"/>
        <w:tblInd w:w="-6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6946"/>
      </w:tblGrid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Kód </w:t>
            </w: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br/>
              <w:t>(6–7. karakter)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Megnevezés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Külföldről behozott csomagolás részét képező csomagolószer esetén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külföldről behozott áru részét képező, visszaszállításra kerülő újrahasználható csomagolószer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külföldről behozott áru részét képező csomagolószer, a visszaszállításra kerülő újrahasználható csomagolószer kivételével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Csomagolószer esetén, az eladótéri műanyag zsák, zacskó, a műanyag bevásárló reklámtáska, továbbá az elkülönített hulladék gyűjtésére szolgáló műanyag zsák kivételével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egyszer használható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többször használható, az országos környezetvédelmi hatóság újrahasználható csomagolószer nyilvántartásába felvett csomagolószer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többször használható, az országos környezetvédelmi hatóság újrahasználható csomagolószer nyilvántartásába fel nem vett csomagolószer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újrahasználatra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előkészítést követően létrejött csomagolószer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újbóli felhasználásra előkészítést követően létrejött csomagolószer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Eladótéri műanyag zsák, zacskó, továbbá a műanyag bevásárló reklámtáska esetén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 mikronnál kisebb falvastagságú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 mikron vagy annál nagyobb, de 50 mikront el nem érő falvastagságú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50 mikron vagy azt meghaladó falvastagságú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8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hu-HU"/>
              </w:rPr>
              <w:t>Elkülönített hulladék gyűjtésére szolgáló műanyag zsák esetén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100 liternél kisebb űrtartalmú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100 liter vagy azt meghaladó űrtartalmú</w:t>
            </w:r>
          </w:p>
        </w:tc>
      </w:tr>
    </w:tbl>
    <w:p w:rsidR="00D16144" w:rsidRDefault="00D16144" w:rsidP="00D16144">
      <w:pPr>
        <w:spacing w:after="260" w:line="240" w:lineRule="auto"/>
        <w:ind w:firstLine="180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6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B) cím</w:t>
      </w:r>
    </w:p>
    <w:p w:rsidR="00D16144" w:rsidRPr="00815718" w:rsidRDefault="00D16144" w:rsidP="00D16144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KT kódok</w:t>
      </w:r>
    </w:p>
    <w:p w:rsidR="00D16144" w:rsidRPr="00815718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1. A következő táblázatok a KT kódok 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adattartalmát </w:t>
      </w: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tartalmazzák</w:t>
      </w:r>
    </w:p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D16144" w:rsidRPr="00A26C0E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b/>
          <w:iCs/>
          <w:color w:val="000000"/>
          <w:sz w:val="24"/>
          <w:szCs w:val="24"/>
          <w:lang w:eastAsia="hu-HU"/>
        </w:rPr>
      </w:pPr>
      <w:r w:rsidRPr="00A26C0E">
        <w:rPr>
          <w:rFonts w:ascii="Times" w:eastAsia="Times New Roman" w:hAnsi="Times" w:cs="Times"/>
          <w:b/>
          <w:iCs/>
          <w:color w:val="000000"/>
          <w:sz w:val="24"/>
          <w:szCs w:val="24"/>
          <w:lang w:eastAsia="hu-HU"/>
        </w:rPr>
        <w:t>1.1 az aktuális KT kód</w:t>
      </w:r>
      <w:r>
        <w:rPr>
          <w:rFonts w:ascii="Times" w:eastAsia="Times New Roman" w:hAnsi="Times" w:cs="Times"/>
          <w:b/>
          <w:iCs/>
          <w:color w:val="000000"/>
          <w:sz w:val="24"/>
          <w:szCs w:val="24"/>
          <w:lang w:eastAsia="hu-HU"/>
        </w:rPr>
        <w:t>ok</w:t>
      </w:r>
      <w:r w:rsidRPr="00A26C0E">
        <w:rPr>
          <w:rFonts w:ascii="Times" w:eastAsia="Times New Roman" w:hAnsi="Times" w:cs="Times"/>
          <w:b/>
          <w:iCs/>
          <w:color w:val="000000"/>
          <w:sz w:val="24"/>
          <w:szCs w:val="24"/>
          <w:lang w:eastAsia="hu-HU"/>
        </w:rPr>
        <w:t xml:space="preserve"> 1-3. karaktere </w:t>
      </w:r>
    </w:p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D16144" w:rsidRPr="00A909A3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A909A3"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  <w:t>1.1.1</w:t>
      </w:r>
      <w:r w:rsidRPr="00A909A3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akkumulátor KT kódja</w:t>
      </w:r>
    </w:p>
    <w:tbl>
      <w:tblPr>
        <w:tblW w:w="9356" w:type="dxa"/>
        <w:tblInd w:w="-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7229"/>
        <w:gridCol w:w="1134"/>
      </w:tblGrid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 megnevezése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 kód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Akkumulátor, elektrolittal feltöltött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501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Újrahasználatra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vagy újbóli felhasználásra előkészítést követően létrejött elektrolittal feltöltött akkumulátor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511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Akkumulátor, elektrolittal fel nem töltött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502</w:t>
            </w:r>
          </w:p>
        </w:tc>
      </w:tr>
      <w:tr w:rsidR="00D16144" w:rsidRPr="0026603A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Újrahasználatra</w:t>
            </w:r>
            <w:proofErr w:type="spellEnd"/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vagy újbóli felhasználásra előkészítést követően létrejött elektrolittal fel nem töltött akkumulátor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26603A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2660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512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  <w:t>1.1.2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egyéb kőolajtermék KT kódja</w:t>
      </w:r>
    </w:p>
    <w:tbl>
      <w:tblPr>
        <w:tblW w:w="9356" w:type="dxa"/>
        <w:tblInd w:w="-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7229"/>
        <w:gridCol w:w="1134"/>
      </w:tblGrid>
      <w:tr w:rsidR="00D16144" w:rsidRPr="00A909A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</w:tr>
      <w:tr w:rsidR="00D16144" w:rsidRPr="00A909A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 megnevezése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 kód</w:t>
            </w:r>
          </w:p>
        </w:tc>
      </w:tr>
      <w:tr w:rsidR="00D16144" w:rsidRPr="00A909A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Kenőolaj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601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  <w:t xml:space="preserve">1.1.3 </w:t>
      </w:r>
      <w:r w:rsidRPr="00815718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 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elektromos, elektronikai berendezés KT kódja</w:t>
      </w:r>
    </w:p>
    <w:tbl>
      <w:tblPr>
        <w:tblW w:w="9356" w:type="dxa"/>
        <w:tblInd w:w="-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7229"/>
        <w:gridCol w:w="1134"/>
      </w:tblGrid>
      <w:tr w:rsidR="00D16144" w:rsidRPr="005C355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BF7C7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F7C7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F7C7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</w:t>
            </w:r>
          </w:p>
        </w:tc>
      </w:tr>
      <w:tr w:rsidR="00D16144" w:rsidRPr="00BF7C7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Termékkör megnevezése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KT kód</w:t>
            </w:r>
          </w:p>
        </w:tc>
      </w:tr>
      <w:tr w:rsidR="00D16144" w:rsidRPr="00BF7C7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F7C73" w:rsidRDefault="00D16144" w:rsidP="003C39FB">
            <w:pPr>
              <w:spacing w:before="6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14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Hőcserélő berendezések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16144" w:rsidRPr="00BF7C7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Default="00D16144" w:rsidP="003C39FB">
            <w:pPr>
              <w:spacing w:before="60" w:after="20"/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Újrafelhasználásra vagy újbóli felhasználásra előkészítést követően létrejött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h</w:t>
            </w:r>
            <w:r w:rsidRPr="00DD14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őcserélő berendezések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</w:t>
            </w:r>
          </w:p>
        </w:tc>
      </w:tr>
      <w:tr w:rsidR="00D16144" w:rsidRPr="00BF7C7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before="6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14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Képernyők, monitorok és olyan berendezések, amelyek 100 cm 2-nél nagyobb felszíni képernyőt tartalmaznak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16144" w:rsidRPr="00BF7C7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DD14E6" w:rsidRDefault="00D16144" w:rsidP="003C39FB">
            <w:pPr>
              <w:spacing w:before="6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Újrafelhasználásra vagy újbóli felhasználásra előkészítést követően létrejött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k</w:t>
            </w:r>
            <w:r w:rsidRPr="00DD14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épernyők, monitorok és olyan berendezések, amelyek 100 cm 2-nél nagyobb felszíni képernyőt tartalmaznak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</w:t>
            </w:r>
          </w:p>
        </w:tc>
      </w:tr>
      <w:tr w:rsidR="00D16144" w:rsidRPr="00BF7C7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F7C73" w:rsidRDefault="00D16144" w:rsidP="003C39FB">
            <w:pPr>
              <w:spacing w:before="6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956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Nagygépek (bármely külső méret meghaladja az 50 cm-t)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</w:t>
            </w:r>
          </w:p>
        </w:tc>
      </w:tr>
      <w:tr w:rsidR="00D16144" w:rsidRPr="00BF7C7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144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3956C7" w:rsidRDefault="00D16144" w:rsidP="003C39FB">
            <w:pPr>
              <w:spacing w:before="6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Újrafelhasználásra vagy újbóli felhasználásra előkészítést követően létrejött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n</w:t>
            </w:r>
            <w:r w:rsidRPr="003956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agygépek (bármely külső méret meghaladja az 50 cm-t)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</w:t>
            </w:r>
          </w:p>
        </w:tc>
      </w:tr>
      <w:tr w:rsidR="00D16144" w:rsidRPr="00BF7C7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before="6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956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Kisgépek (egyik külső méretük sem haladja meg az 50 cm-t)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16144" w:rsidRPr="00BF7C7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3956C7" w:rsidRDefault="00D16144" w:rsidP="003C39FB">
            <w:pPr>
              <w:spacing w:before="6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Újrafelhasználásra vagy újbóli felhasználásra előkészítést követően létrejött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k</w:t>
            </w:r>
            <w:r w:rsidRPr="003956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isgépek (egyik külső méretük sem haladja meg az 50 cm-t)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</w:t>
            </w:r>
          </w:p>
        </w:tc>
      </w:tr>
      <w:tr w:rsidR="00D16144" w:rsidRPr="00BF7C7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F7C73" w:rsidRDefault="00D16144" w:rsidP="003C39FB">
            <w:pPr>
              <w:spacing w:before="6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956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Kisméretű számítástechnikai berendezések és távközlési berendezések (egyik külső méretük sem haladja meg az 50 cm-t)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</w:t>
            </w:r>
          </w:p>
        </w:tc>
      </w:tr>
      <w:tr w:rsidR="00D16144" w:rsidRPr="00BF7C73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before="60" w:after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Újrafelhasználásra vagy újbóli felhasználásra előkészítést követően létrejött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</w:t>
            </w:r>
            <w:r w:rsidRPr="003956C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isméretű számítástechnikai berendezések és távközlési berendezések (egyik külső méretük sem haladja meg az 50 cm-t)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before="60"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</w:t>
            </w:r>
          </w:p>
        </w:tc>
      </w:tr>
    </w:tbl>
    <w:p w:rsidR="00D16144" w:rsidRDefault="00D16144" w:rsidP="00D16144">
      <w:pPr>
        <w:spacing w:after="20" w:line="240" w:lineRule="auto"/>
        <w:jc w:val="both"/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  <w:t xml:space="preserve">1.1.4 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gumiabroncs KT kódja</w:t>
      </w:r>
    </w:p>
    <w:tbl>
      <w:tblPr>
        <w:tblW w:w="9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6"/>
        <w:gridCol w:w="7229"/>
        <w:gridCol w:w="1134"/>
      </w:tblGrid>
      <w:tr w:rsidR="00D16144" w:rsidRPr="00A909A3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</w:tr>
      <w:tr w:rsidR="00D16144" w:rsidRPr="00A909A3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 megnevezése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 kód</w:t>
            </w:r>
          </w:p>
        </w:tc>
      </w:tr>
      <w:tr w:rsidR="00D16144" w:rsidRPr="00A909A3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Gumiabroncs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211</w:t>
            </w:r>
          </w:p>
        </w:tc>
      </w:tr>
      <w:tr w:rsidR="00D16144" w:rsidRPr="00A909A3" w:rsidTr="003C39FB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Újrahasználatra</w:t>
            </w:r>
            <w:proofErr w:type="spellEnd"/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vagy újbóli felhasználásra előkészítést követően létrejött gumiabroncs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212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  <w:t xml:space="preserve">1.1.5 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reklámhordozó papír KT kódja</w:t>
      </w:r>
    </w:p>
    <w:tbl>
      <w:tblPr>
        <w:tblW w:w="9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8"/>
        <w:gridCol w:w="7087"/>
        <w:gridCol w:w="1134"/>
      </w:tblGrid>
      <w:tr w:rsidR="00D16144" w:rsidRPr="00A909A3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</w:tr>
      <w:tr w:rsidR="00D16144" w:rsidRPr="00A909A3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 megnevezése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 kód</w:t>
            </w:r>
          </w:p>
        </w:tc>
      </w:tr>
      <w:tr w:rsidR="00D16144" w:rsidRPr="00A909A3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2.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Reklámhordozó papír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900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  <w:t xml:space="preserve">1.1.6 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egyéb műanyagtermék KT kódja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8"/>
        <w:gridCol w:w="7087"/>
        <w:gridCol w:w="1134"/>
      </w:tblGrid>
      <w:tr w:rsidR="00D16144" w:rsidRPr="00A909A3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08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</w:tr>
      <w:tr w:rsidR="00D16144" w:rsidRPr="00A909A3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708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 megnevezése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 kód</w:t>
            </w:r>
          </w:p>
        </w:tc>
      </w:tr>
      <w:tr w:rsidR="00D16144" w:rsidRPr="00A909A3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7087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Műanyag művirág, levél- és gyümölcsutánzat és ezek részei; ezekből készült áru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301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  <w:t xml:space="preserve">1.1.7 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 egyéb vegyipari termék KT kódja</w:t>
      </w:r>
    </w:p>
    <w:tbl>
      <w:tblPr>
        <w:tblW w:w="9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8"/>
        <w:gridCol w:w="7087"/>
        <w:gridCol w:w="1134"/>
      </w:tblGrid>
      <w:tr w:rsidR="00D16144" w:rsidRPr="00A909A3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</w:tr>
      <w:tr w:rsidR="00D16144" w:rsidRPr="00A909A3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 megnevezése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 kód</w:t>
            </w:r>
          </w:p>
        </w:tc>
      </w:tr>
      <w:tr w:rsidR="00D16144" w:rsidRPr="00A909A3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Szappan, szerves felületaktív anyag, mosószer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701</w:t>
            </w:r>
          </w:p>
        </w:tc>
      </w:tr>
      <w:tr w:rsidR="00D16144" w:rsidRPr="00A909A3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Szépség- vagy testápoló készítmény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909A3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90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702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</w:pPr>
    </w:p>
    <w:p w:rsidR="00D16144" w:rsidRPr="00AD01BE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  <w:t xml:space="preserve">1.1.8 </w:t>
      </w:r>
      <w:r w:rsidRPr="00AD01BE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 irodai papír </w:t>
      </w:r>
      <w:r>
        <w:rPr>
          <w:rFonts w:ascii="Times" w:eastAsia="Times New Roman" w:hAnsi="Times" w:cs="Times"/>
          <w:color w:val="000000"/>
          <w:sz w:val="24"/>
          <w:szCs w:val="24"/>
          <w:lang w:eastAsia="hu-HU"/>
        </w:rPr>
        <w:t>KT k</w:t>
      </w:r>
      <w:r w:rsidRPr="00AD01BE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ódja</w:t>
      </w:r>
    </w:p>
    <w:tbl>
      <w:tblPr>
        <w:tblW w:w="9214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7087"/>
        <w:gridCol w:w="1134"/>
      </w:tblGrid>
      <w:tr w:rsidR="00D16144" w:rsidRPr="00AD01B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</w:tr>
      <w:tr w:rsidR="00D16144" w:rsidRPr="00AD01B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 megnevezése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 kód</w:t>
            </w:r>
          </w:p>
        </w:tc>
      </w:tr>
      <w:tr w:rsidR="00D16144" w:rsidRPr="00AD01B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Irodai papír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8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801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iCs/>
          <w:color w:val="000000"/>
          <w:sz w:val="24"/>
          <w:szCs w:val="24"/>
          <w:lang w:eastAsia="hu-HU"/>
        </w:rPr>
        <w:t>1.1.9</w:t>
      </w:r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 a gépjármű </w:t>
      </w:r>
      <w:proofErr w:type="spellStart"/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termékdíjköteles</w:t>
      </w:r>
      <w:proofErr w:type="spellEnd"/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alkotórésze, tartozéka után meghatározott összegű </w:t>
      </w:r>
      <w:proofErr w:type="spellStart"/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termékdíjátalány</w:t>
      </w:r>
      <w:proofErr w:type="spellEnd"/>
      <w:r w:rsidRPr="00815718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 alkalmazásának KT kódja</w:t>
      </w:r>
    </w:p>
    <w:tbl>
      <w:tblPr>
        <w:tblW w:w="9214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7087"/>
        <w:gridCol w:w="1134"/>
      </w:tblGrid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Vtsz</w:t>
            </w:r>
            <w:proofErr w:type="spellEnd"/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és HR </w:t>
            </w:r>
            <w:proofErr w:type="spellStart"/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alszám</w:t>
            </w:r>
            <w:proofErr w:type="spellEnd"/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megnevezés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KT kód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hAnsi="Times New Roman"/>
                <w:sz w:val="24"/>
                <w:szCs w:val="24"/>
              </w:rPr>
              <w:t xml:space="preserve">8702 10 </w:t>
            </w:r>
            <w:r w:rsidRPr="00184C13">
              <w:rPr>
                <w:rFonts w:ascii="Times New Roman" w:hAnsi="Times New Roman"/>
              </w:rPr>
              <w:t xml:space="preserve">Kizárólag kompressziós gyújtású, dugattyús, belső égésű (dízel vagy </w:t>
            </w:r>
            <w:proofErr w:type="spellStart"/>
            <w:r w:rsidRPr="00184C13">
              <w:rPr>
                <w:rFonts w:ascii="Times New Roman" w:hAnsi="Times New Roman"/>
              </w:rPr>
              <w:t>féldízel</w:t>
            </w:r>
            <w:proofErr w:type="spellEnd"/>
            <w:r w:rsidRPr="00184C13">
              <w:rPr>
                <w:rFonts w:ascii="Times New Roman" w:hAnsi="Times New Roman"/>
              </w:rPr>
              <w:t xml:space="preserve">) motorral működő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J02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184C13">
              <w:rPr>
                <w:rFonts w:ascii="Times New Roman" w:hAnsi="Times New Roman"/>
              </w:rPr>
              <w:t xml:space="preserve">8702 20 Kompressziós gyújtású, dugattyús, belső égésű (dízel vagy </w:t>
            </w:r>
            <w:proofErr w:type="spellStart"/>
            <w:r w:rsidRPr="00184C13">
              <w:rPr>
                <w:rFonts w:ascii="Times New Roman" w:hAnsi="Times New Roman"/>
              </w:rPr>
              <w:t>féldízel</w:t>
            </w:r>
            <w:proofErr w:type="spellEnd"/>
            <w:r w:rsidRPr="00184C13">
              <w:rPr>
                <w:rFonts w:ascii="Times New Roman" w:hAnsi="Times New Roman"/>
              </w:rPr>
              <w:t xml:space="preserve">) motorral és </w:t>
            </w:r>
            <w:proofErr w:type="spellStart"/>
            <w:r w:rsidRPr="00184C13">
              <w:rPr>
                <w:rFonts w:ascii="Times New Roman" w:hAnsi="Times New Roman"/>
              </w:rPr>
              <w:t>hajtómotorkén</w:t>
            </w:r>
            <w:proofErr w:type="spellEnd"/>
            <w:r w:rsidRPr="00184C13">
              <w:rPr>
                <w:rFonts w:ascii="Times New Roman" w:hAnsi="Times New Roman"/>
              </w:rPr>
              <w:t xml:space="preserve"> t elektromos motorral is működő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H01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184C13">
              <w:rPr>
                <w:rFonts w:ascii="Times New Roman" w:hAnsi="Times New Roman"/>
              </w:rPr>
              <w:t xml:space="preserve">8702 30 Szikragyújtású, dugattyús, belső égésű motorral és hajtómotorként elektromos motorral is működő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H02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184C13">
              <w:rPr>
                <w:rFonts w:ascii="Times New Roman" w:hAnsi="Times New Roman"/>
              </w:rPr>
              <w:t>8702 40 Kizárólag elektromos hajtómotorral működő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V01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hAnsi="Times New Roman"/>
                <w:sz w:val="24"/>
                <w:szCs w:val="24"/>
              </w:rPr>
              <w:t xml:space="preserve">8702 90 </w:t>
            </w:r>
            <w:r w:rsidRPr="00184C13">
              <w:rPr>
                <w:rFonts w:ascii="Times New Roman" w:hAnsi="Times New Roman"/>
              </w:rPr>
              <w:t>Más gépjármű a vezetőt is beleértve 10 vagy annál több személy szállítására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J03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hAnsi="Times New Roman"/>
                <w:sz w:val="24"/>
                <w:szCs w:val="24"/>
              </w:rPr>
              <w:t xml:space="preserve">8703 10 </w:t>
            </w:r>
            <w:r w:rsidRPr="00184C13">
              <w:rPr>
                <w:rFonts w:ascii="Times New Roman" w:hAnsi="Times New Roman"/>
              </w:rPr>
              <w:t xml:space="preserve">Speciálisan, havon való közlekedésre tervezett farművek; </w:t>
            </w:r>
            <w:proofErr w:type="spellStart"/>
            <w:r w:rsidRPr="00184C13">
              <w:rPr>
                <w:rFonts w:ascii="Times New Roman" w:hAnsi="Times New Roman"/>
              </w:rPr>
              <w:t>golfkocsik</w:t>
            </w:r>
            <w:proofErr w:type="spellEnd"/>
            <w:r w:rsidRPr="00184C13">
              <w:rPr>
                <w:rFonts w:ascii="Times New Roman" w:hAnsi="Times New Roman"/>
              </w:rPr>
              <w:t xml:space="preserve"> é s hasonló járművek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J13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8703 21 </w:t>
            </w:r>
            <w:r w:rsidRPr="00184C13">
              <w:rPr>
                <w:rFonts w:ascii="Times New Roman" w:hAnsi="Times New Roman"/>
              </w:rPr>
              <w:t>Más jármű, kizárólag szikragyújtású, dugattyús, belső égésű motorral működő, legfeljebb 1000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J21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8703 22 </w:t>
            </w:r>
            <w:r w:rsidRPr="00184C13">
              <w:rPr>
                <w:rFonts w:ascii="Times New Roman" w:hAnsi="Times New Roman"/>
              </w:rPr>
              <w:t>Más jármű, kizárólag szikragyújtású, dugattyús, belső égés ű motorral működ ő, 1000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</w:t>
            </w:r>
            <w:proofErr w:type="spellStart"/>
            <w:r w:rsidRPr="00184C13">
              <w:rPr>
                <w:rFonts w:ascii="Times New Roman" w:hAnsi="Times New Roman"/>
              </w:rPr>
              <w:t>-t</w:t>
            </w:r>
            <w:proofErr w:type="spellEnd"/>
            <w:r w:rsidRPr="00184C13">
              <w:rPr>
                <w:rFonts w:ascii="Times New Roman" w:hAnsi="Times New Roman"/>
              </w:rPr>
              <w:t xml:space="preserve"> meghaladó, d e legfeljebb 1500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hengerűrtartalommal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J22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8703 23 </w:t>
            </w:r>
            <w:r w:rsidRPr="00184C13">
              <w:rPr>
                <w:rFonts w:ascii="Times New Roman" w:hAnsi="Times New Roman"/>
              </w:rPr>
              <w:t>Más jármű, kizárólag szikragyújtású, dugattyús, belső égés ű motorral működ ő, 150 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>-t meghaladó, d e legfeljebb 3000 cm</w:t>
            </w:r>
            <w:r w:rsidRPr="00DE6FED">
              <w:rPr>
                <w:rFonts w:ascii="Times New Roman" w:hAnsi="Times New Roman"/>
                <w:vertAlign w:val="superscript"/>
              </w:rPr>
              <w:t xml:space="preserve">3 </w:t>
            </w:r>
            <w:r w:rsidRPr="00184C13">
              <w:rPr>
                <w:rFonts w:ascii="Times New Roman" w:hAnsi="Times New Roman"/>
              </w:rPr>
              <w:t xml:space="preserve">hengerűrtartalommal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J23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8703 24 </w:t>
            </w:r>
            <w:r w:rsidRPr="00184C13">
              <w:rPr>
                <w:rFonts w:ascii="Times New Roman" w:hAnsi="Times New Roman"/>
              </w:rPr>
              <w:t>Más jármű, kizárólag szikragyújtású, dugattyús, belső égés ű motorral működ ő, 3000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</w:t>
            </w:r>
            <w:proofErr w:type="spellStart"/>
            <w:r w:rsidRPr="00184C13">
              <w:rPr>
                <w:rFonts w:ascii="Times New Roman" w:hAnsi="Times New Roman"/>
              </w:rPr>
              <w:t>-t</w:t>
            </w:r>
            <w:proofErr w:type="spellEnd"/>
            <w:r w:rsidRPr="00184C13">
              <w:rPr>
                <w:rFonts w:ascii="Times New Roman" w:hAnsi="Times New Roman"/>
              </w:rPr>
              <w:t xml:space="preserve"> meghalad ó hengerűrtartalommal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J24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8703 31 </w:t>
            </w:r>
            <w:r w:rsidRPr="00184C13">
              <w:rPr>
                <w:rFonts w:ascii="Times New Roman" w:hAnsi="Times New Roman"/>
              </w:rPr>
              <w:t xml:space="preserve">Más jármű, kizárólag kompressziós gyújtású, dugattyús, belső égésű (dízel vagy </w:t>
            </w:r>
            <w:proofErr w:type="spellStart"/>
            <w:r w:rsidRPr="00184C13">
              <w:rPr>
                <w:rFonts w:ascii="Times New Roman" w:hAnsi="Times New Roman"/>
              </w:rPr>
              <w:t>féldízel</w:t>
            </w:r>
            <w:proofErr w:type="spellEnd"/>
            <w:r w:rsidRPr="00184C13">
              <w:rPr>
                <w:rFonts w:ascii="Times New Roman" w:hAnsi="Times New Roman"/>
              </w:rPr>
              <w:t>) motorral működő legfeljebb 1500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hengerűrtartalommal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J31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8703 32 </w:t>
            </w:r>
            <w:r w:rsidRPr="00184C13">
              <w:rPr>
                <w:rFonts w:ascii="Times New Roman" w:hAnsi="Times New Roman"/>
              </w:rPr>
              <w:t xml:space="preserve">Más jármű, kizárólag kompressziós gyújtású, dugattyús, belső égésű (dízel vagy </w:t>
            </w:r>
            <w:proofErr w:type="spellStart"/>
            <w:r w:rsidRPr="00184C13">
              <w:rPr>
                <w:rFonts w:ascii="Times New Roman" w:hAnsi="Times New Roman"/>
              </w:rPr>
              <w:t>féldízel</w:t>
            </w:r>
            <w:proofErr w:type="spellEnd"/>
            <w:r w:rsidRPr="00184C13">
              <w:rPr>
                <w:rFonts w:ascii="Times New Roman" w:hAnsi="Times New Roman"/>
              </w:rPr>
              <w:t>) motorral működ ő 1500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>-t meghaladó, de legfeljebb 2500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hengerűrtartalommal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J32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8703 33 </w:t>
            </w:r>
            <w:r w:rsidRPr="00184C13">
              <w:rPr>
                <w:rFonts w:ascii="Times New Roman" w:hAnsi="Times New Roman"/>
              </w:rPr>
              <w:t xml:space="preserve">Más jármű, kizárólag kompressziós gyújtású, dugattyús, belső égésű (dízel vagy </w:t>
            </w:r>
            <w:proofErr w:type="spellStart"/>
            <w:r w:rsidRPr="00184C13">
              <w:rPr>
                <w:rFonts w:ascii="Times New Roman" w:hAnsi="Times New Roman"/>
              </w:rPr>
              <w:t>féldízel</w:t>
            </w:r>
            <w:proofErr w:type="spellEnd"/>
            <w:r w:rsidRPr="00184C13">
              <w:rPr>
                <w:rFonts w:ascii="Times New Roman" w:hAnsi="Times New Roman"/>
              </w:rPr>
              <w:t>) motorral működ ő 2500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</w:t>
            </w:r>
            <w:proofErr w:type="spellStart"/>
            <w:r w:rsidRPr="00184C13">
              <w:rPr>
                <w:rFonts w:ascii="Times New Roman" w:hAnsi="Times New Roman"/>
              </w:rPr>
              <w:t>-t</w:t>
            </w:r>
            <w:proofErr w:type="spellEnd"/>
            <w:r w:rsidRPr="00184C13">
              <w:rPr>
                <w:rFonts w:ascii="Times New Roman" w:hAnsi="Times New Roman"/>
              </w:rPr>
              <w:t xml:space="preserve"> meghaladó hengerűrtartalommal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J33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4C13">
              <w:rPr>
                <w:rFonts w:ascii="Times New Roman" w:hAnsi="Times New Roman"/>
              </w:rPr>
              <w:t>8703 40 Más jármű, szikragyújtású, dugattyús, belső égésű motorral é s hajtómotorként elektromos motorral is működő, a külső elektromos áramforrásra csatlakoztathatóan tölthetők kivételével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H03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84C13" w:rsidRDefault="00D16144" w:rsidP="003C39FB">
            <w:pPr>
              <w:spacing w:before="60" w:after="60"/>
              <w:rPr>
                <w:rFonts w:ascii="Times New Roman" w:hAnsi="Times New Roman"/>
              </w:rPr>
            </w:pPr>
            <w:r w:rsidRPr="00184C13">
              <w:rPr>
                <w:rFonts w:ascii="Times New Roman" w:hAnsi="Times New Roman"/>
              </w:rPr>
              <w:t xml:space="preserve">8703 50 Más jármű, kompressziós gyújtású, dugattyús, belső égésű (dízel vagy </w:t>
            </w:r>
            <w:proofErr w:type="spellStart"/>
            <w:r w:rsidRPr="00184C13">
              <w:rPr>
                <w:rFonts w:ascii="Times New Roman" w:hAnsi="Times New Roman"/>
              </w:rPr>
              <w:t>féldízel</w:t>
            </w:r>
            <w:proofErr w:type="spellEnd"/>
            <w:r w:rsidRPr="00184C13">
              <w:rPr>
                <w:rFonts w:ascii="Times New Roman" w:hAnsi="Times New Roman"/>
              </w:rPr>
              <w:t>) motorral és hajtómotorként elektromos motorral i s működő, a külső elektromos áramforrásra csatlakoztathatóan tölthető k kivételével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H04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4C13">
              <w:rPr>
                <w:rFonts w:ascii="Times New Roman" w:hAnsi="Times New Roman"/>
              </w:rPr>
              <w:t>8703 60 Más jármű, szikragyújtású, dugattyús, belső égésű motorral és hajtómotorként elektromos motorral is működő, külső elektromos áramforrásra csatlakoztathatóan tölthető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H05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4C13">
              <w:rPr>
                <w:rFonts w:ascii="Times New Roman" w:hAnsi="Times New Roman"/>
              </w:rPr>
              <w:t xml:space="preserve">8703 70 Más jármű, kompressziós gyújtású, dugattyús, belső égés ű (dízel vagy </w:t>
            </w:r>
            <w:proofErr w:type="spellStart"/>
            <w:r w:rsidRPr="00184C13">
              <w:rPr>
                <w:rFonts w:ascii="Times New Roman" w:hAnsi="Times New Roman"/>
              </w:rPr>
              <w:t>féldízel</w:t>
            </w:r>
            <w:proofErr w:type="spellEnd"/>
            <w:r w:rsidRPr="00184C13">
              <w:rPr>
                <w:rFonts w:ascii="Times New Roman" w:hAnsi="Times New Roman"/>
              </w:rPr>
              <w:t>) motorral és hajtómotorként elektromos motorral is működő, külső elektromos áramforrásra csatlakoztathatóan tölthet ő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H06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4C13">
              <w:rPr>
                <w:rFonts w:ascii="Times New Roman" w:hAnsi="Times New Roman"/>
              </w:rPr>
              <w:t>8703 80 Más jármű, kizárólag elektromos hajtómotorral működő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V02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8703 90 </w:t>
            </w:r>
            <w:r w:rsidRPr="00184C13">
              <w:rPr>
                <w:rFonts w:ascii="Times New Roman" w:hAnsi="Times New Roman"/>
              </w:rPr>
              <w:t xml:space="preserve">Más gépkocsi és más gépjármű, elsősorban személyszállításra tervezet t (a 8702 </w:t>
            </w:r>
            <w:proofErr w:type="spellStart"/>
            <w:r w:rsidRPr="00184C13">
              <w:rPr>
                <w:rFonts w:ascii="Times New Roman" w:hAnsi="Times New Roman"/>
              </w:rPr>
              <w:t>vtsz</w:t>
            </w:r>
            <w:proofErr w:type="spellEnd"/>
            <w:r w:rsidRPr="00184C13">
              <w:rPr>
                <w:rFonts w:ascii="Times New Roman" w:hAnsi="Times New Roman"/>
              </w:rPr>
              <w:t>. alá tartozó kivételével), beleértve a kombi típusú gépkocsit és a versenyautót is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J90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hAnsi="Times New Roman"/>
                <w:sz w:val="24"/>
                <w:szCs w:val="24"/>
              </w:rPr>
              <w:t xml:space="preserve">8704 10 </w:t>
            </w:r>
            <w:r w:rsidRPr="00184C13">
              <w:rPr>
                <w:rFonts w:ascii="Times New Roman" w:hAnsi="Times New Roman"/>
              </w:rPr>
              <w:t>Dömper, terepjáró kivitelű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J41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hAnsi="Times New Roman"/>
                <w:sz w:val="24"/>
                <w:szCs w:val="24"/>
              </w:rPr>
              <w:t xml:space="preserve">8704 21 </w:t>
            </w:r>
            <w:r w:rsidRPr="00184C13">
              <w:rPr>
                <w:rFonts w:ascii="Times New Roman" w:hAnsi="Times New Roman"/>
              </w:rPr>
              <w:t xml:space="preserve">Más áruszállító gépjármű kompressziós gyújtású, dugattyús, belsőégésű (dízel vagy </w:t>
            </w:r>
            <w:proofErr w:type="spellStart"/>
            <w:r w:rsidRPr="00184C13">
              <w:rPr>
                <w:rFonts w:ascii="Times New Roman" w:hAnsi="Times New Roman"/>
              </w:rPr>
              <w:t>féldízel</w:t>
            </w:r>
            <w:proofErr w:type="spellEnd"/>
            <w:r w:rsidRPr="00184C13">
              <w:rPr>
                <w:rFonts w:ascii="Times New Roman" w:hAnsi="Times New Roman"/>
              </w:rPr>
              <w:t>) motorral működő, legfeljebb 5 tonna össztömegű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J42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hAnsi="Times New Roman"/>
                <w:sz w:val="24"/>
                <w:szCs w:val="24"/>
              </w:rPr>
              <w:t xml:space="preserve">8704 22 </w:t>
            </w:r>
            <w:r w:rsidRPr="00184C13">
              <w:rPr>
                <w:rFonts w:ascii="Times New Roman" w:hAnsi="Times New Roman"/>
              </w:rPr>
              <w:t xml:space="preserve">Más áruszállító gépjármű kompressziós gyújtású, dugattyús, belsőégésű (dízel vagy </w:t>
            </w:r>
            <w:proofErr w:type="spellStart"/>
            <w:r w:rsidRPr="00184C13">
              <w:rPr>
                <w:rFonts w:ascii="Times New Roman" w:hAnsi="Times New Roman"/>
              </w:rPr>
              <w:t>féldízel</w:t>
            </w:r>
            <w:proofErr w:type="spellEnd"/>
            <w:r w:rsidRPr="00184C13">
              <w:rPr>
                <w:rFonts w:ascii="Times New Roman" w:hAnsi="Times New Roman"/>
              </w:rPr>
              <w:t>) motorral működő, 5 tonnát meghaladó, de legfeljebb 20 tonna össztömegű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J43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hAnsi="Times New Roman"/>
                <w:sz w:val="24"/>
                <w:szCs w:val="24"/>
              </w:rPr>
              <w:t xml:space="preserve">8704 23 </w:t>
            </w:r>
            <w:r w:rsidRPr="00184C13">
              <w:rPr>
                <w:rFonts w:ascii="Times New Roman" w:hAnsi="Times New Roman"/>
              </w:rPr>
              <w:t xml:space="preserve">Más áruszállító gépjármű kompressziós gyújtású, dugattyús, belsőégésű (dízel vagy </w:t>
            </w:r>
            <w:proofErr w:type="spellStart"/>
            <w:r w:rsidRPr="00184C13">
              <w:rPr>
                <w:rFonts w:ascii="Times New Roman" w:hAnsi="Times New Roman"/>
              </w:rPr>
              <w:t>féldízel</w:t>
            </w:r>
            <w:proofErr w:type="spellEnd"/>
            <w:r w:rsidRPr="00184C13">
              <w:rPr>
                <w:rFonts w:ascii="Times New Roman" w:hAnsi="Times New Roman"/>
              </w:rPr>
              <w:t>) motorral működő, 20 tonna össztömeget meghaladó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J44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hAnsi="Times New Roman"/>
                <w:sz w:val="24"/>
                <w:szCs w:val="24"/>
              </w:rPr>
              <w:t xml:space="preserve">8704 31 </w:t>
            </w:r>
            <w:r w:rsidRPr="00184C13">
              <w:rPr>
                <w:rFonts w:ascii="Times New Roman" w:hAnsi="Times New Roman"/>
              </w:rPr>
              <w:t>Más áruszállító gépjármű, szikragyújtású, dugattyús, belsőégésű motorral működő, legfeljebb 5 tonna össztömegű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J45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hAnsi="Times New Roman"/>
                <w:sz w:val="24"/>
                <w:szCs w:val="24"/>
              </w:rPr>
              <w:t xml:space="preserve">8704 32 </w:t>
            </w:r>
            <w:r w:rsidRPr="00184C13">
              <w:rPr>
                <w:rFonts w:ascii="Times New Roman" w:hAnsi="Times New Roman"/>
              </w:rPr>
              <w:t>Más áruszállító gépjármű, szikragyújtású, dugattyús, belsőégésű motorral működő, 5 tonna össztömeget meghaladó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J46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hAnsi="Times New Roman"/>
                <w:sz w:val="24"/>
                <w:szCs w:val="24"/>
              </w:rPr>
              <w:t>8704 90 Más áruszállító gépjármű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J47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8711 10 </w:t>
            </w:r>
            <w:r w:rsidRPr="00184C13">
              <w:rPr>
                <w:rFonts w:ascii="Times New Roman" w:hAnsi="Times New Roman"/>
              </w:rPr>
              <w:t>Motorkerékpár (beleértve a segédmotoros kerékpárt [moped] is), oldalkocsival is; legfeljebb 50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hengerűrtartalmú, dugattyús, belsőégésű motorral működ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J10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8711 20 </w:t>
            </w:r>
            <w:r w:rsidRPr="00184C13">
              <w:rPr>
                <w:rFonts w:ascii="Times New Roman" w:hAnsi="Times New Roman"/>
              </w:rPr>
              <w:t>Motorkerékpár (beleértve a segédmotoros kerékpárt [moped] is), oldalkocsival is; 50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- t meghaladó, de legfeljebb 250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hengerűrtartalmú, dugattyús, belsőégésű motorral működő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J20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8711 30 </w:t>
            </w:r>
            <w:r w:rsidRPr="00184C13">
              <w:rPr>
                <w:rFonts w:ascii="Times New Roman" w:hAnsi="Times New Roman"/>
              </w:rPr>
              <w:t>Motorkerékpár (beleértve a segédmotoros kerékpárt [moped] is), oldalkocsival is; 250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- t meghaladó, de legfeljebb 500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hengerűrtartalmú, dugattyús, belsőégésű motorral működő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J30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8711 40 </w:t>
            </w:r>
            <w:r w:rsidRPr="00184C13">
              <w:rPr>
                <w:rFonts w:ascii="Times New Roman" w:hAnsi="Times New Roman"/>
              </w:rPr>
              <w:t>Motorkerékpár (beleértve a segédmotoros kerékpárt [moped] is), oldalkocsival is; 500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- t meghaladó, de legfeljebb 800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hengerűrtartalmú, dugattyús, belsőégésű motorral működő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J40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8711 50 </w:t>
            </w:r>
            <w:r w:rsidRPr="00184C13">
              <w:rPr>
                <w:rFonts w:ascii="Times New Roman" w:hAnsi="Times New Roman"/>
              </w:rPr>
              <w:t>Motorkerékpár (beleértve a segédmotoros kerékpárt [moped] is), oldalkocsival is; 800 cm</w:t>
            </w:r>
            <w:r w:rsidRPr="00DE6FED">
              <w:rPr>
                <w:rFonts w:ascii="Times New Roman" w:hAnsi="Times New Roman"/>
                <w:vertAlign w:val="superscript"/>
              </w:rPr>
              <w:t>3</w:t>
            </w:r>
            <w:r w:rsidRPr="00184C13">
              <w:rPr>
                <w:rFonts w:ascii="Times New Roman" w:hAnsi="Times New Roman"/>
              </w:rPr>
              <w:t xml:space="preserve"> - t meghaladó hengerűrtartalmú, dugattyús, belsőégésű motorral működő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J50</w:t>
            </w:r>
          </w:p>
        </w:tc>
      </w:tr>
      <w:tr w:rsidR="00D16144" w:rsidRPr="001F44D6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4C13">
              <w:rPr>
                <w:rFonts w:ascii="Times New Roman" w:hAnsi="Times New Roman"/>
              </w:rPr>
              <w:t xml:space="preserve">8711 60 Elektromos hajtómotorral működő motorkerékpár (beleértve a segédmotoros kerékpárt [moped] is), oldalkocsival is (kivéve a 8711 60 9 0 </w:t>
            </w:r>
            <w:proofErr w:type="spellStart"/>
            <w:r w:rsidRPr="00184C13">
              <w:rPr>
                <w:rFonts w:ascii="Times New Roman" w:hAnsi="Times New Roman"/>
              </w:rPr>
              <w:t>vtsz</w:t>
            </w:r>
            <w:proofErr w:type="spellEnd"/>
            <w:r w:rsidRPr="00184C13">
              <w:rPr>
                <w:rFonts w:ascii="Times New Roman" w:hAnsi="Times New Roman"/>
              </w:rPr>
              <w:t>. hatálya alá tartozó termékek)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1F44D6" w:rsidRDefault="00D16144" w:rsidP="003C39FB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F44D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V03</w:t>
            </w:r>
          </w:p>
        </w:tc>
      </w:tr>
    </w:tbl>
    <w:p w:rsidR="00D16144" w:rsidRDefault="00D16144" w:rsidP="00D16144">
      <w:pPr>
        <w:spacing w:after="20" w:line="240" w:lineRule="auto"/>
        <w:ind w:left="380" w:hanging="380"/>
        <w:jc w:val="both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</w:p>
    <w:p w:rsidR="00D16144" w:rsidRDefault="00D16144" w:rsidP="00D16144">
      <w:pPr>
        <w:spacing w:after="20" w:line="240" w:lineRule="auto"/>
        <w:ind w:left="380" w:hanging="380"/>
        <w:jc w:val="both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1.</w:t>
      </w: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2 A következő táblázat az elévülési időn belüli visszaigénylések során alkalmazható KT kódok 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1-</w:t>
      </w: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3 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karakterét</w:t>
      </w: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tartalmazzák</w:t>
      </w:r>
    </w:p>
    <w:p w:rsidR="00D16144" w:rsidRDefault="00D16144" w:rsidP="00D16144">
      <w:pPr>
        <w:spacing w:after="20" w:line="240" w:lineRule="auto"/>
        <w:ind w:left="380" w:hanging="380"/>
        <w:jc w:val="both"/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</w:pPr>
    </w:p>
    <w:p w:rsidR="00D16144" w:rsidRPr="00A26C0E" w:rsidRDefault="00D16144" w:rsidP="00D16144">
      <w:pPr>
        <w:spacing w:after="20" w:line="240" w:lineRule="auto"/>
        <w:ind w:left="380" w:hanging="3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A26C0E"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>1.2.1</w:t>
      </w:r>
      <w:r>
        <w:rPr>
          <w:rFonts w:ascii="Times" w:eastAsia="Times New Roman" w:hAnsi="Times" w:cs="Times"/>
          <w:bCs/>
          <w:color w:val="000000"/>
          <w:sz w:val="24"/>
          <w:szCs w:val="24"/>
          <w:lang w:eastAsia="hu-HU"/>
        </w:rPr>
        <w:t xml:space="preserve"> az elektromos, elektronikai berendezések KT kódjának 1-3. karaktere</w:t>
      </w:r>
    </w:p>
    <w:tbl>
      <w:tblPr>
        <w:tblW w:w="9214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7087"/>
        <w:gridCol w:w="1134"/>
      </w:tblGrid>
      <w:tr w:rsidR="00D16144" w:rsidRPr="00A26C0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</w:t>
            </w:r>
          </w:p>
        </w:tc>
      </w:tr>
      <w:tr w:rsidR="00D16144" w:rsidRPr="00A26C0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26C0E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Termékkör megnevezése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 kód</w:t>
            </w:r>
          </w:p>
        </w:tc>
      </w:tr>
      <w:tr w:rsidR="00D16144" w:rsidRPr="00A26C0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Nagygép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101</w:t>
            </w:r>
          </w:p>
        </w:tc>
      </w:tr>
      <w:tr w:rsidR="00D16144" w:rsidRPr="00A26C0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3</w:t>
            </w: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Kisgép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102</w:t>
            </w:r>
          </w:p>
        </w:tc>
      </w:tr>
      <w:tr w:rsidR="00D16144" w:rsidRPr="00A26C0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</w:t>
            </w: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Információs (IT) és távközlési berendezés, kivéve rádiótelefon készülék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103</w:t>
            </w:r>
          </w:p>
        </w:tc>
      </w:tr>
      <w:tr w:rsidR="00D16144" w:rsidRPr="00A26C0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</w:t>
            </w: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Szórakoztatóelektronikai cikk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104</w:t>
            </w:r>
          </w:p>
        </w:tc>
      </w:tr>
      <w:tr w:rsidR="00D16144" w:rsidRPr="00A26C0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</w:t>
            </w: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Elektromos és elektronikus </w:t>
            </w:r>
            <w:proofErr w:type="spellStart"/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barkácsgép</w:t>
            </w:r>
            <w:proofErr w:type="spellEnd"/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, szerszám, kivéve a helyhez kötött, nagyméretű ipari szerszám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105</w:t>
            </w:r>
          </w:p>
        </w:tc>
      </w:tr>
      <w:tr w:rsidR="00D16144" w:rsidRPr="00A26C0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</w:t>
            </w: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Játék, szabadidős és sportfelszerelés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106</w:t>
            </w:r>
          </w:p>
        </w:tc>
      </w:tr>
      <w:tr w:rsidR="00D16144" w:rsidRPr="00A26C0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</w:t>
            </w: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Ellenőrző, vezérlő és megfigyelő eszköz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107</w:t>
            </w:r>
          </w:p>
        </w:tc>
      </w:tr>
      <w:tr w:rsidR="00D16144" w:rsidRPr="00A26C0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</w:t>
            </w: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Adagoló automata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26C0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108</w:t>
            </w:r>
          </w:p>
        </w:tc>
      </w:tr>
      <w:tr w:rsidR="00D16144" w:rsidRPr="00A26C0E" w:rsidTr="003C39FB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</w:t>
            </w: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A26C0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Rádiótelefon-készülék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A26C0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26C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109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2</w:t>
      </w: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. A KT kód 4–5. jegye:</w:t>
      </w:r>
    </w:p>
    <w:tbl>
      <w:tblPr>
        <w:tblW w:w="9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8"/>
        <w:gridCol w:w="1275"/>
        <w:gridCol w:w="6946"/>
      </w:tblGrid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ód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Megnevezés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megfizetése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2. mellékletében foglalt díjtételekkel történik (kollektív teljesítés)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megfizetése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mellékletében foglalt számított díjtételekkel történik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termékdíjátalány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megfizetése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4. mellékletben foglalt díjtételekkel történik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megfizetése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2. mellékletében foglalt díjtételekkel történik (kollektív teljesítés) termékdíj raktárból belföldre történő 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tárolás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, saját célú felhasználás esetén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megfizetése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3. mellékletében foglalt számított díjtételekkel történik termékdíj raktárból belföldre történő 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tárolás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, saját célú felhasználás esetén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termékdíjátalány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megfizetése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4. mellékletben foglalt díjtételekkel történik termékdíj raktárból belföldre történő 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tárolás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, saját célú felhasználás esetén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7R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ha a termékdíj nem kerül megfizetésre a termékdíj raktár engedélyes vevő nyilatkozata alapján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termékdíj nem kerül megfizetésre a vevő </w:t>
            </w:r>
            <w:proofErr w:type="spellStart"/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. 3. § (6) bekezdés </w:t>
            </w:r>
            <w:r w:rsidRPr="00366B2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g)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pontja szerint adott nyilatkozata alapján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BF7C73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BF7C73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3/B. a) pontja alapján (70%-os mértékben) kerül megfizetésre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BF7C73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BF7C73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3/B. b) pontja alapján (50%-os mértékben) kerül megfizetésre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BF7C73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BF7C73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4. mellékletben foglalt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termékdíjátalány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. 3/B. § </w:t>
            </w:r>
            <w:r w:rsidRPr="00C04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pontja alapján (70%-os mértékben) kerül megfizetésre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BF7C73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F7C73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4. mellékletben foglalt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termékdíjátalány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. 3/B. § </w:t>
            </w:r>
            <w:r w:rsidRPr="00C04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pontja alapján (50%-os mértékben) kerül megfizetésre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BF7C73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4. mellékletben foglalt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termékdíjátalány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. 3/B. § </w:t>
            </w:r>
            <w:r w:rsidRPr="00C04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pontja alapján (70%-os mértékben) kerül megfizetésre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 raktárból belföldre történő 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tárolás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, saját célú felhasználás esetén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BF7C73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4. mellékletben foglalt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termékdíjátalány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. 3/B. § </w:t>
            </w:r>
            <w:r w:rsidRPr="00C04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pontja alapján (50%-os mértékben) kerül megfizetésre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 raktárból belföldre történő ki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tárolás</w:t>
            </w:r>
            <w:r w:rsidRPr="00BF7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, saját célú felhasználás esetén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506D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teljes díjtétel a </w:t>
            </w:r>
            <w:proofErr w:type="spellStart"/>
            <w:r w:rsidRPr="00506D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506D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. 2. melléklete alapján (kollektív teljesítés),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nyilatkozattól való</w:t>
            </w:r>
            <w:r w:rsidRPr="00506D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eltérő felhasználás esetén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. 3. § (9) bekezdés </w:t>
            </w:r>
            <w:r w:rsidRPr="008D33B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f)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pont </w:t>
            </w:r>
            <w:r w:rsidRPr="008D33B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fa)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alpontja alapján nem kell megfizetni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Default="00D16144" w:rsidP="003C39FB">
            <w:pPr>
              <w:spacing w:after="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. 3. § (9) bekezdés </w:t>
            </w:r>
            <w:r w:rsidRPr="008D33B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f)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pont </w:t>
            </w:r>
            <w:proofErr w:type="spellStart"/>
            <w:r w:rsidRPr="008D33B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fb</w:t>
            </w:r>
            <w:proofErr w:type="spellEnd"/>
            <w:r w:rsidRPr="008D33B2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hu-HU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alpontja alapján nem kell megfizetni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19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ha a termékdíjat az egyéb kőolajtermék alapanyagként történő felhasználása esetén nem kell megfizetni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20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ha a termékdíjat az egyéb kőolajtermék R9 eljárással történő előállítása esetén nem kell megfizetni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21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ha a termékdíj-kötelezettség az egyéb kőolajtermék után számlán átvállalásra került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22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termékdíjat az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újrahasználatra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vagy újbóli felhasználásra előkészítést követően létrejött termék után nem kell megfizetni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23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termékdíj-kötelezettség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</w:t>
            </w:r>
            <w:r w:rsidRPr="00AD01B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hu-HU"/>
              </w:rPr>
              <w:t>a)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 szerződéssel átvállalásra került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24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after="20" w:line="240" w:lineRule="auto"/>
              <w:ind w:left="100" w:right="100"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termékdíj-kötelezettség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</w:t>
            </w:r>
            <w:r w:rsidRPr="00AD01B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hu-HU"/>
              </w:rPr>
              <w:t>b)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 szerződéssel átvállalásra került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megfizetésre került és az visszaigénylésre kerül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a) pontja alapján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megfizetésre került és az visszaigénylésre kerül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b) pontja alapján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megfizetésre került és az visszaigénylésre kerül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c) pontja alapján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megfizetésre került és az visszaigénylésre kerül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d) pontja alapján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megfizetésre került és az visszaigénylésre kerül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(1) bekezdés e) pontja alapján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30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ha a termékdíj megfizetésre került és az anyagában történő hasznosítás következtében visszaigénylésre kerül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25. § (2) bekezdése alapján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ha a termékdíj megfizetésre került és a visszaigénylésre egyéb jogcímen kerül sor</w:t>
            </w:r>
          </w:p>
        </w:tc>
      </w:tr>
      <w:tr w:rsidR="00D16144" w:rsidRPr="00AD01BE" w:rsidTr="003C39FB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8V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after="20" w:line="240" w:lineRule="auto"/>
              <w:ind w:left="100" w:right="100" w:firstLine="18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ha a termékdíj visszaigénylésre kerül az ipari termékdíj raktárba történő beszállítás alapján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3</w:t>
      </w: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. A KT kód 6–7. kiegészítő jegye: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8"/>
        <w:gridCol w:w="1275"/>
        <w:gridCol w:w="6946"/>
      </w:tblGrid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60" w:after="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1.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 kód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Megnevezés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B1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belföldi előállítású, saját vámtarifaszáma alapján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termékdíjköteles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termék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B2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belföldi előállítású, nem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termékdíjköteles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termék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termékdíjköteles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alkotórésze, tartozéka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B3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Ktdt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. 14. § (5) bekezdés </w:t>
            </w:r>
            <w:r w:rsidRPr="00AD01B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hu-HU"/>
              </w:rPr>
              <w:t>a)</w:t>
            </w: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pontja alapján szerződéssel átvállalt termékre vonatkozó fizetési kötelezettség beállta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B4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újrahasználatra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előkészítést követően létrejött termék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B5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újbóli felhasználásra előkészítést követően létrejött termék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K1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külföldről behozott, saját vámtarifaszáma alapján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termékdíjköteles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termék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1275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6144" w:rsidRPr="00AD01BE" w:rsidRDefault="00D16144" w:rsidP="003C39FB">
            <w:pPr>
              <w:spacing w:before="80"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K2</w:t>
            </w:r>
          </w:p>
        </w:tc>
        <w:tc>
          <w:tcPr>
            <w:tcW w:w="694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spacing w:before="80"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külföldről behozott, nem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termékdíjköteles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termék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termékdíjköteles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alkotórésze, tartozéka esetén</w:t>
            </w:r>
          </w:p>
        </w:tc>
      </w:tr>
    </w:tbl>
    <w:p w:rsidR="00D16144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</w:p>
    <w:p w:rsidR="00D16144" w:rsidRPr="00815718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4</w:t>
      </w:r>
      <w:r w:rsidRPr="0081571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. A 7 számjegyű HKT kód felépítése</w:t>
      </w:r>
    </w:p>
    <w:p w:rsidR="00D16144" w:rsidRPr="00815718" w:rsidRDefault="00D16144" w:rsidP="00D16144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8"/>
        <w:gridCol w:w="1275"/>
        <w:gridCol w:w="1276"/>
        <w:gridCol w:w="5670"/>
      </w:tblGrid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5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1. pozíció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a belföldön keletkező és belföldön kezelt hulladék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a belföldön keletkező, de külföldön kezelt hulladék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a belföldön keletkező és belföldön, valamint külföldön kezelt hulladék összesen (1+2)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országon kívül keletkező, de belföldön kezelt hulladék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2–4. pozíció: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900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hulladékkezelés esetén (belső technikai kód)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010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visszavett hulladék mennyisége összesen (011+012)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011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lakosságtól visszavett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012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nem lakosságtól visszavett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gyűjtött hulladék mennyisége esetén (101+102)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101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lakossági szelektív hulladékgyűjtésből gyűjtött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102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nem lakossági szelektív hulladékgyűjtésből gyűjtött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készletezett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300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előkezelt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lastRenderedPageBreak/>
              <w:t>14.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310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előkezelt (válogatás)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320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előkezelt (bontás)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400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összes hasznosított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410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anyagában hasznosított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411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biológiai úton anyagában hasznosított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412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újrafeldolgozással anyagában hasznosított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413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visszanyeréssel alapanyaggá átalakított, anyagában hasznosított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414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egyéb, anyagában hasznosított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420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energetikai úton hasznosított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421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hulladékégetőben energetikai hasznosítással történő elégetés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422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energia visszanyerés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430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más módon hasznosított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500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ártalmatlanított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510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elégetéssel ártalmatlanított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520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lerakással ártalmatlanított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29.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530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más kémiai, biológiai, fizikai eljárással ártalmatlanított hulladék mennyisége esetén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1275" w:type="dxa"/>
            <w:vMerge w:val="restart"/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5–7. pozíció: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1**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elektromos, elektronikai berendezés hulladéka</w:t>
            </w:r>
          </w:p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** a KT kód 2–3. karaktere szerint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31.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2**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gumiabroncs hulladéka</w:t>
            </w:r>
          </w:p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** a KT kód 2–3. karaktere szerint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32.</w:t>
            </w:r>
          </w:p>
        </w:tc>
        <w:tc>
          <w:tcPr>
            <w:tcW w:w="1275" w:type="dxa"/>
            <w:vMerge/>
            <w:tcBorders>
              <w:bottom w:val="nil"/>
            </w:tcBorders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4**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csomagolás hulladéka</w:t>
            </w:r>
          </w:p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** a </w:t>
            </w:r>
            <w:proofErr w:type="spellStart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CsK</w:t>
            </w:r>
            <w:proofErr w:type="spellEnd"/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 xml:space="preserve"> kód 2–3. karaktere szerint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33.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shd w:val="clear" w:color="auto" w:fill="auto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16144" w:rsidRPr="00AD01BE" w:rsidRDefault="00D16144" w:rsidP="003C39FB">
            <w:pPr>
              <w:spacing w:after="26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5**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akkumulátor hulladéka</w:t>
            </w:r>
          </w:p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** a KT kód 2–3. karaktere szerint</w:t>
            </w:r>
          </w:p>
        </w:tc>
      </w:tr>
      <w:tr w:rsidR="00D16144" w:rsidRPr="00AD01BE" w:rsidTr="003C39FB">
        <w:tc>
          <w:tcPr>
            <w:tcW w:w="1068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60" w:line="240" w:lineRule="auto"/>
              <w:ind w:firstLine="1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34.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16144" w:rsidRPr="00AD01BE" w:rsidRDefault="00D16144" w:rsidP="003C39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6**</w:t>
            </w:r>
          </w:p>
        </w:tc>
        <w:tc>
          <w:tcPr>
            <w:tcW w:w="5670" w:type="dxa"/>
            <w:shd w:val="clear" w:color="auto" w:fill="auto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– kenőolaj hulladéka</w:t>
            </w:r>
          </w:p>
          <w:p w:rsidR="00D16144" w:rsidRPr="00AD01BE" w:rsidRDefault="00D16144" w:rsidP="003C39FB">
            <w:pPr>
              <w:pBdr>
                <w:left w:val="single" w:sz="36" w:space="3" w:color="FF0000"/>
              </w:pBdr>
              <w:spacing w:after="20" w:line="240" w:lineRule="auto"/>
              <w:ind w:firstLine="18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</w:pPr>
            <w:r w:rsidRPr="00AD01B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u-HU"/>
              </w:rPr>
              <w:t>** a KT kód 2–3. karaktere szerint</w:t>
            </w:r>
          </w:p>
        </w:tc>
      </w:tr>
    </w:tbl>
    <w:p w:rsidR="00D16144" w:rsidRPr="00BF7C73" w:rsidRDefault="00D16144" w:rsidP="00D16144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</w:p>
    <w:p w:rsidR="00D16144" w:rsidRPr="00BF7C73" w:rsidRDefault="00D16144" w:rsidP="00D16144">
      <w:pPr>
        <w:jc w:val="right"/>
        <w:rPr>
          <w:rFonts w:ascii="Times New Roman" w:hAnsi="Times New Roman"/>
          <w:i/>
          <w:sz w:val="24"/>
          <w:szCs w:val="24"/>
        </w:rPr>
      </w:pPr>
      <w:r w:rsidRPr="00BF7C73">
        <w:rPr>
          <w:rFonts w:ascii="Times New Roman" w:hAnsi="Times New Roman"/>
          <w:sz w:val="24"/>
          <w:szCs w:val="24"/>
        </w:rPr>
        <w:br w:type="page"/>
      </w:r>
      <w:r w:rsidRPr="00BF7C73">
        <w:rPr>
          <w:rFonts w:ascii="Times New Roman" w:hAnsi="Times New Roman"/>
          <w:i/>
          <w:sz w:val="24"/>
          <w:szCs w:val="24"/>
        </w:rPr>
        <w:lastRenderedPageBreak/>
        <w:t xml:space="preserve">2. melléklet </w:t>
      </w:r>
      <w:proofErr w:type="gramStart"/>
      <w:r w:rsidRPr="00BF7C73">
        <w:rPr>
          <w:rFonts w:ascii="Times New Roman" w:hAnsi="Times New Roman"/>
          <w:i/>
          <w:sz w:val="24"/>
          <w:szCs w:val="24"/>
        </w:rPr>
        <w:t>a …</w:t>
      </w:r>
      <w:proofErr w:type="gramEnd"/>
      <w:r w:rsidRPr="00BF7C73">
        <w:rPr>
          <w:rFonts w:ascii="Times New Roman" w:hAnsi="Times New Roman"/>
          <w:i/>
          <w:sz w:val="24"/>
          <w:szCs w:val="24"/>
        </w:rPr>
        <w:t>/201</w:t>
      </w:r>
      <w:r>
        <w:rPr>
          <w:rFonts w:ascii="Times New Roman" w:hAnsi="Times New Roman"/>
          <w:i/>
          <w:sz w:val="24"/>
          <w:szCs w:val="24"/>
        </w:rPr>
        <w:t>7</w:t>
      </w:r>
      <w:r w:rsidRPr="00BF7C73">
        <w:rPr>
          <w:rFonts w:ascii="Times New Roman" w:hAnsi="Times New Roman"/>
          <w:i/>
          <w:sz w:val="24"/>
          <w:szCs w:val="24"/>
        </w:rPr>
        <w:t>.(…) Korm. rendelethez</w:t>
      </w:r>
    </w:p>
    <w:p w:rsidR="00D16144" w:rsidRPr="00BF7C73" w:rsidRDefault="00D16144" w:rsidP="00D16144">
      <w:pPr>
        <w:jc w:val="right"/>
        <w:rPr>
          <w:rFonts w:ascii="Times New Roman" w:hAnsi="Times New Roman"/>
          <w:i/>
          <w:sz w:val="24"/>
          <w:szCs w:val="24"/>
        </w:rPr>
      </w:pPr>
    </w:p>
    <w:p w:rsidR="00D16144" w:rsidRPr="00BF7C73" w:rsidRDefault="00D16144" w:rsidP="00D16144">
      <w:pPr>
        <w:ind w:left="284" w:hanging="284"/>
        <w:rPr>
          <w:rFonts w:ascii="Times New Roman" w:hAnsi="Times New Roman"/>
          <w:sz w:val="24"/>
          <w:szCs w:val="24"/>
        </w:rPr>
      </w:pPr>
      <w:r w:rsidRPr="00BF7C73">
        <w:rPr>
          <w:rFonts w:ascii="Times New Roman" w:hAnsi="Times New Roman"/>
          <w:sz w:val="24"/>
          <w:szCs w:val="24"/>
        </w:rPr>
        <w:t xml:space="preserve">A Vhr. </w:t>
      </w:r>
      <w:r>
        <w:rPr>
          <w:rFonts w:ascii="Times New Roman" w:hAnsi="Times New Roman"/>
          <w:sz w:val="24"/>
          <w:szCs w:val="24"/>
        </w:rPr>
        <w:t>4</w:t>
      </w:r>
      <w:r w:rsidRPr="00BF7C73">
        <w:rPr>
          <w:rFonts w:ascii="Times New Roman" w:hAnsi="Times New Roman"/>
          <w:sz w:val="24"/>
          <w:szCs w:val="24"/>
        </w:rPr>
        <w:t xml:space="preserve">. melléklet </w:t>
      </w:r>
      <w:r>
        <w:rPr>
          <w:rFonts w:ascii="Times New Roman" w:hAnsi="Times New Roman"/>
          <w:sz w:val="24"/>
          <w:szCs w:val="24"/>
        </w:rPr>
        <w:t>VII</w:t>
      </w:r>
      <w:r w:rsidRPr="00BF7C73">
        <w:rPr>
          <w:rFonts w:ascii="Times New Roman" w:hAnsi="Times New Roman"/>
          <w:sz w:val="24"/>
          <w:szCs w:val="24"/>
        </w:rPr>
        <w:t>I. alcím</w:t>
      </w:r>
      <w:r>
        <w:rPr>
          <w:rFonts w:ascii="Times New Roman" w:hAnsi="Times New Roman"/>
          <w:sz w:val="24"/>
          <w:szCs w:val="24"/>
        </w:rPr>
        <w:t>ének (</w:t>
      </w:r>
      <w:r w:rsidRPr="00287DC3">
        <w:rPr>
          <w:rFonts w:ascii="Times New Roman" w:hAnsi="Times New Roman"/>
          <w:sz w:val="24"/>
          <w:szCs w:val="24"/>
        </w:rPr>
        <w:t xml:space="preserve">A nyilatkozattal átadott termékdíj-kötelezettség átadása) </w:t>
      </w:r>
      <w:r>
        <w:rPr>
          <w:rFonts w:ascii="Times New Roman" w:hAnsi="Times New Roman"/>
          <w:sz w:val="24"/>
          <w:szCs w:val="24"/>
        </w:rPr>
        <w:t xml:space="preserve">3. pontja a következő </w:t>
      </w:r>
      <w:r w:rsidRPr="00287DC3">
        <w:rPr>
          <w:rFonts w:ascii="Times New Roman" w:hAnsi="Times New Roman"/>
          <w:i/>
          <w:sz w:val="24"/>
          <w:szCs w:val="24"/>
        </w:rPr>
        <w:t>i)</w:t>
      </w:r>
      <w:r>
        <w:rPr>
          <w:rFonts w:ascii="Times New Roman" w:hAnsi="Times New Roman"/>
          <w:sz w:val="24"/>
          <w:szCs w:val="24"/>
        </w:rPr>
        <w:t xml:space="preserve"> alponttal egészül ki:</w:t>
      </w:r>
    </w:p>
    <w:p w:rsidR="00D16144" w:rsidRPr="00287DC3" w:rsidRDefault="00D16144" w:rsidP="00D16144">
      <w:pPr>
        <w:ind w:left="464" w:hanging="284"/>
        <w:rPr>
          <w:rFonts w:ascii="Times New Roman" w:hAnsi="Times New Roman"/>
          <w:i/>
          <w:sz w:val="24"/>
          <w:szCs w:val="24"/>
        </w:rPr>
      </w:pPr>
      <w:r w:rsidRPr="00287DC3">
        <w:rPr>
          <w:rFonts w:ascii="Times New Roman" w:hAnsi="Times New Roman"/>
          <w:i/>
          <w:sz w:val="24"/>
          <w:szCs w:val="24"/>
        </w:rPr>
        <w:t>(3. Az átadott mennyiség jogcímek szerint:)</w:t>
      </w:r>
    </w:p>
    <w:p w:rsidR="00D16144" w:rsidRDefault="00D16144" w:rsidP="00D16144">
      <w:pPr>
        <w:spacing w:after="0" w:line="240" w:lineRule="auto"/>
        <w:ind w:left="464" w:hanging="284"/>
        <w:rPr>
          <w:rFonts w:ascii="Times New Roman" w:hAnsi="Times New Roman"/>
          <w:sz w:val="24"/>
          <w:szCs w:val="24"/>
        </w:rPr>
      </w:pPr>
      <w:r w:rsidRPr="00BF7C73">
        <w:rPr>
          <w:rFonts w:ascii="Times New Roman" w:hAnsi="Times New Roman"/>
          <w:sz w:val="24"/>
          <w:szCs w:val="24"/>
        </w:rPr>
        <w:t>„</w:t>
      </w:r>
      <w:r w:rsidRPr="00287DC3">
        <w:rPr>
          <w:rFonts w:ascii="Times New Roman" w:hAnsi="Times New Roman"/>
          <w:i/>
          <w:sz w:val="24"/>
          <w:szCs w:val="24"/>
        </w:rPr>
        <w:t>i)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287DC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287DC3">
        <w:rPr>
          <w:rFonts w:ascii="Times New Roman" w:hAnsi="Times New Roman"/>
          <w:sz w:val="24"/>
          <w:szCs w:val="24"/>
        </w:rPr>
        <w:t>Ktdt</w:t>
      </w:r>
      <w:proofErr w:type="spellEnd"/>
      <w:r w:rsidRPr="00287DC3">
        <w:rPr>
          <w:rFonts w:ascii="Times New Roman" w:hAnsi="Times New Roman"/>
          <w:sz w:val="24"/>
          <w:szCs w:val="24"/>
        </w:rPr>
        <w:t>. 3. § (6) bekezdés </w:t>
      </w:r>
      <w:r w:rsidRPr="00287DC3">
        <w:rPr>
          <w:rFonts w:ascii="Times New Roman" w:hAnsi="Times New Roman"/>
          <w:i/>
          <w:sz w:val="24"/>
          <w:szCs w:val="24"/>
        </w:rPr>
        <w:t>g)</w:t>
      </w:r>
      <w:r w:rsidRPr="00287DC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pontja </w:t>
      </w:r>
      <w:r w:rsidRPr="00287DC3">
        <w:rPr>
          <w:rFonts w:ascii="Times New Roman" w:hAnsi="Times New Roman"/>
          <w:sz w:val="24"/>
          <w:szCs w:val="24"/>
        </w:rPr>
        <w:t>alapján átadott mennyiség</w:t>
      </w:r>
      <w:r>
        <w:rPr>
          <w:rFonts w:ascii="Times New Roman" w:hAnsi="Times New Roman"/>
          <w:sz w:val="24"/>
          <w:szCs w:val="24"/>
        </w:rPr>
        <w:t>.”</w:t>
      </w:r>
    </w:p>
    <w:p w:rsidR="00D16144" w:rsidRPr="00BF7C73" w:rsidRDefault="00D16144" w:rsidP="00D16144">
      <w:pPr>
        <w:rPr>
          <w:rFonts w:ascii="Times New Roman" w:hAnsi="Times New Roman"/>
          <w:sz w:val="24"/>
          <w:szCs w:val="24"/>
        </w:rPr>
      </w:pPr>
    </w:p>
    <w:p w:rsidR="00D16144" w:rsidRPr="00BF7C73" w:rsidRDefault="00D16144" w:rsidP="00D16144">
      <w:pPr>
        <w:rPr>
          <w:rFonts w:ascii="Times New Roman" w:hAnsi="Times New Roman"/>
          <w:sz w:val="24"/>
          <w:szCs w:val="24"/>
        </w:rPr>
      </w:pPr>
      <w:r w:rsidRPr="00BF7C73">
        <w:rPr>
          <w:rFonts w:ascii="Times New Roman" w:hAnsi="Times New Roman"/>
          <w:sz w:val="24"/>
          <w:szCs w:val="24"/>
        </w:rPr>
        <w:br w:type="page"/>
      </w:r>
    </w:p>
    <w:p w:rsidR="00D16144" w:rsidRPr="00BF7C73" w:rsidRDefault="00D16144" w:rsidP="00D16144">
      <w:pPr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3</w:t>
      </w:r>
      <w:r w:rsidRPr="00BF7C73">
        <w:rPr>
          <w:rFonts w:ascii="Times New Roman" w:hAnsi="Times New Roman"/>
          <w:i/>
          <w:sz w:val="24"/>
          <w:szCs w:val="24"/>
        </w:rPr>
        <w:t xml:space="preserve">. melléklet </w:t>
      </w:r>
      <w:proofErr w:type="gramStart"/>
      <w:r w:rsidRPr="00BF7C73">
        <w:rPr>
          <w:rFonts w:ascii="Times New Roman" w:hAnsi="Times New Roman"/>
          <w:i/>
          <w:sz w:val="24"/>
          <w:szCs w:val="24"/>
        </w:rPr>
        <w:t>a …</w:t>
      </w:r>
      <w:proofErr w:type="gramEnd"/>
      <w:r w:rsidRPr="00BF7C73">
        <w:rPr>
          <w:rFonts w:ascii="Times New Roman" w:hAnsi="Times New Roman"/>
          <w:i/>
          <w:sz w:val="24"/>
          <w:szCs w:val="24"/>
        </w:rPr>
        <w:t>/2016.(…) Korm. rendelethez</w:t>
      </w:r>
    </w:p>
    <w:p w:rsidR="00D16144" w:rsidRDefault="00D16144" w:rsidP="00D16144">
      <w:pPr>
        <w:ind w:left="284" w:hanging="284"/>
        <w:rPr>
          <w:rFonts w:ascii="Times New Roman" w:hAnsi="Times New Roman"/>
          <w:sz w:val="24"/>
          <w:szCs w:val="24"/>
        </w:rPr>
      </w:pPr>
    </w:p>
    <w:p w:rsidR="00D16144" w:rsidRPr="00BF7C73" w:rsidRDefault="00D16144" w:rsidP="00D16144">
      <w:pPr>
        <w:spacing w:before="160" w:after="160"/>
        <w:ind w:firstLine="180"/>
        <w:jc w:val="right"/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</w:rPr>
      </w:pPr>
      <w:r w:rsidRPr="00BF7C73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</w:rPr>
        <w:t>„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</w:rPr>
        <w:t>6</w:t>
      </w:r>
      <w:r w:rsidRPr="00BF7C73"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</w:rPr>
        <w:t>. melléklet a 343/2011. (XII. 29.) Korm. rendelethez</w:t>
      </w:r>
    </w:p>
    <w:p w:rsidR="00D16144" w:rsidRPr="00BF7C73" w:rsidRDefault="00D16144" w:rsidP="00D16144">
      <w:pPr>
        <w:rPr>
          <w:rFonts w:ascii="Times New Roman" w:hAnsi="Times New Roman"/>
          <w:sz w:val="24"/>
          <w:szCs w:val="24"/>
        </w:rPr>
      </w:pPr>
    </w:p>
    <w:p w:rsidR="00D16144" w:rsidRPr="00506C9E" w:rsidRDefault="00D16144" w:rsidP="00D16144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506C9E">
        <w:rPr>
          <w:rFonts w:ascii="Times New Roman" w:hAnsi="Times New Roman"/>
          <w:b/>
          <w:i/>
          <w:sz w:val="24"/>
          <w:szCs w:val="24"/>
        </w:rPr>
        <w:t>Az elektromos, elektronikai berendezések egyes kategóriái alá tartozó termékek tájékoztató jellegű listája</w:t>
      </w:r>
    </w:p>
    <w:p w:rsidR="00D16144" w:rsidRDefault="00D16144" w:rsidP="00D16144">
      <w:pPr>
        <w:jc w:val="center"/>
        <w:rPr>
          <w:rFonts w:ascii="Times New Roman" w:hAnsi="Times New Roman"/>
          <w:sz w:val="24"/>
          <w:szCs w:val="24"/>
        </w:rPr>
      </w:pPr>
    </w:p>
    <w:p w:rsidR="00D16144" w:rsidRDefault="00D16144" w:rsidP="00D16144">
      <w:pPr>
        <w:pStyle w:val="ti-grseq-1"/>
        <w:shd w:val="clear" w:color="auto" w:fill="FFFFFF"/>
        <w:spacing w:before="240" w:beforeAutospacing="0" w:after="12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1. Hőcserélő berendezések</w:t>
      </w:r>
    </w:p>
    <w:p w:rsidR="00D16144" w:rsidRDefault="00D16144" w:rsidP="00D16144">
      <w:pPr>
        <w:pStyle w:val="Norml1"/>
        <w:shd w:val="clear" w:color="auto" w:fill="FFFFFF"/>
        <w:spacing w:before="120" w:beforeAutospacing="0" w:after="0" w:afterAutospacing="0"/>
        <w:jc w:val="both"/>
        <w:rPr>
          <w:color w:val="000000"/>
        </w:rPr>
      </w:pPr>
      <w:r>
        <w:rPr>
          <w:color w:val="000000"/>
        </w:rPr>
        <w:t>Hűtőszekrények, fagyasztók, hűtött termékek automatikus kiadására szolgáló berendezések, légkondicionáló berendezések, párátlanító berendezések, hőszivattyúk, olajradiátorok és egyéb hőcserélő berendezések, melyek hőcserélő közegként víztől eltérő folyadékot tartalmaznak.</w:t>
      </w:r>
    </w:p>
    <w:p w:rsidR="00D16144" w:rsidRDefault="00D16144" w:rsidP="00D16144">
      <w:pPr>
        <w:pStyle w:val="ti-grseq-1"/>
        <w:shd w:val="clear" w:color="auto" w:fill="FFFFFF"/>
        <w:spacing w:before="240" w:beforeAutospacing="0" w:after="12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2. Képernyők, monitorok és olyan berendezések, amelyek 100 cm</w:t>
      </w:r>
      <w:r>
        <w:rPr>
          <w:rStyle w:val="super"/>
          <w:rFonts w:ascii="inherit" w:hAnsi="inherit"/>
          <w:b/>
          <w:bCs/>
          <w:color w:val="000000"/>
          <w:sz w:val="17"/>
          <w:szCs w:val="17"/>
          <w:vertAlign w:val="superscript"/>
        </w:rPr>
        <w:t>2</w:t>
      </w:r>
      <w:r>
        <w:rPr>
          <w:b/>
          <w:bCs/>
          <w:color w:val="000000"/>
        </w:rPr>
        <w:t>-nél nagyobb felszínű képernyőt tartalmaznak</w:t>
      </w:r>
    </w:p>
    <w:p w:rsidR="00D16144" w:rsidRDefault="00D16144" w:rsidP="00D16144">
      <w:pPr>
        <w:pStyle w:val="Norml1"/>
        <w:shd w:val="clear" w:color="auto" w:fill="FFFFFF"/>
        <w:spacing w:before="120" w:beforeAutospacing="0" w:after="0" w:afterAutospacing="0"/>
        <w:jc w:val="both"/>
        <w:rPr>
          <w:color w:val="000000"/>
        </w:rPr>
      </w:pPr>
      <w:r>
        <w:rPr>
          <w:color w:val="000000"/>
        </w:rPr>
        <w:t>Képernyők, televíziókészülékek, LCD képkeretek, monitorok, hordozható számítógépek, kisméretű hordozható számítógépek.</w:t>
      </w:r>
    </w:p>
    <w:p w:rsidR="00D16144" w:rsidRDefault="00D16144" w:rsidP="00D16144">
      <w:pPr>
        <w:pStyle w:val="ti-grseq-1"/>
        <w:shd w:val="clear" w:color="auto" w:fill="FFFFFF"/>
        <w:spacing w:before="240" w:beforeAutospacing="0" w:after="12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3. Nagygépek</w:t>
      </w:r>
    </w:p>
    <w:p w:rsidR="00D16144" w:rsidRDefault="00D16144" w:rsidP="00D16144">
      <w:pPr>
        <w:pStyle w:val="Norml1"/>
        <w:shd w:val="clear" w:color="auto" w:fill="FFFFFF"/>
        <w:spacing w:before="12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Mosógépek, ruhaszárító gépek, mosogatógépek, tűzhelyek és sütők, elektromos sütők, elektromos főzőlapok, világítótestek, hang- és képlejátszó berendezések, zenei berendezések (kivéve a templomi orgonát), kötő- és szövőgépek, nagyszámítógépek, nagyméretű nyomtatók, másolóberendezések, érmével működő nagyméretű </w:t>
      </w:r>
      <w:proofErr w:type="spellStart"/>
      <w:r>
        <w:rPr>
          <w:color w:val="000000"/>
        </w:rPr>
        <w:t>játékautomaták</w:t>
      </w:r>
      <w:proofErr w:type="spellEnd"/>
      <w:r>
        <w:rPr>
          <w:color w:val="000000"/>
        </w:rPr>
        <w:t xml:space="preserve">, nagyméretű orvostechnikai eszközök, nagyméretű ellenőrző és vezérlő eszközök, termékek és pénz automatikus kiadására szolgáló nagyméretű berendezések, </w:t>
      </w:r>
      <w:proofErr w:type="spellStart"/>
      <w:r>
        <w:rPr>
          <w:color w:val="000000"/>
        </w:rPr>
        <w:t>fotovoltaikus</w:t>
      </w:r>
      <w:proofErr w:type="spellEnd"/>
      <w:r>
        <w:rPr>
          <w:color w:val="000000"/>
        </w:rPr>
        <w:t xml:space="preserve"> panelek.</w:t>
      </w:r>
    </w:p>
    <w:p w:rsidR="00D16144" w:rsidRDefault="00D16144" w:rsidP="00D16144">
      <w:pPr>
        <w:pStyle w:val="ti-grseq-1"/>
        <w:shd w:val="clear" w:color="auto" w:fill="FFFFFF"/>
        <w:spacing w:before="240" w:beforeAutospacing="0" w:after="12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4. Kisgépek</w:t>
      </w:r>
    </w:p>
    <w:p w:rsidR="00D16144" w:rsidRDefault="00D16144" w:rsidP="00D16144">
      <w:pPr>
        <w:pStyle w:val="Norml1"/>
        <w:shd w:val="clear" w:color="auto" w:fill="FFFFFF"/>
        <w:spacing w:before="120" w:beforeAutospacing="0" w:after="0" w:afterAutospacing="0"/>
        <w:jc w:val="both"/>
        <w:rPr>
          <w:color w:val="000000"/>
        </w:rPr>
      </w:pPr>
      <w:proofErr w:type="gramStart"/>
      <w:r>
        <w:rPr>
          <w:color w:val="000000"/>
        </w:rPr>
        <w:t xml:space="preserve">Porszívók, szőnyegseprűk, varrógépek, világítótestek, mikrohullámú sütők, </w:t>
      </w:r>
      <w:proofErr w:type="spellStart"/>
      <w:r>
        <w:rPr>
          <w:color w:val="000000"/>
        </w:rPr>
        <w:t>szellőzőberendezések</w:t>
      </w:r>
      <w:proofErr w:type="spellEnd"/>
      <w:r>
        <w:rPr>
          <w:color w:val="000000"/>
        </w:rPr>
        <w:t xml:space="preserve">, vasalók, kenyérpirítók, elektromos kések, elektromos vízforralók, órák, elektromos borotvák, mérlegek, haj- és testápoló gépek, számológépek, rádiókészülékek, videokamerák, videomagnók, </w:t>
      </w:r>
      <w:proofErr w:type="spellStart"/>
      <w:r>
        <w:rPr>
          <w:color w:val="000000"/>
        </w:rPr>
        <w:t>hifiberendezések</w:t>
      </w:r>
      <w:proofErr w:type="spellEnd"/>
      <w:r>
        <w:rPr>
          <w:color w:val="000000"/>
        </w:rPr>
        <w:t>, hangszerek, hang- és képlejátszó berendezések, elektronikus és elektromos játékok, sporteszközök, kerékpározáshoz, búvárkodáshoz, futáshoz, evezéshez stb., használt számítógépek, füstjelző berendezések, fűtésszabályozók, termosztátok, kisméretű elektromos és elektronikus szerszámok, kisméretű orvostechnikai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eszközök</w:t>
      </w:r>
      <w:proofErr w:type="gramEnd"/>
      <w:r>
        <w:rPr>
          <w:color w:val="000000"/>
        </w:rPr>
        <w:t xml:space="preserve">, kisméretű ellenőrző és vezérlő eszközök, termékek automatikus kiadására szolgáló kisméretű berendezések, beépített </w:t>
      </w:r>
      <w:proofErr w:type="spellStart"/>
      <w:r>
        <w:rPr>
          <w:color w:val="000000"/>
        </w:rPr>
        <w:t>fotovoltaikus</w:t>
      </w:r>
      <w:proofErr w:type="spellEnd"/>
      <w:r>
        <w:rPr>
          <w:color w:val="000000"/>
        </w:rPr>
        <w:t xml:space="preserve"> paneleket tartalmazó kisgépek.</w:t>
      </w:r>
    </w:p>
    <w:p w:rsidR="00D16144" w:rsidRDefault="00D16144" w:rsidP="00D16144">
      <w:pPr>
        <w:pStyle w:val="ti-grseq-1"/>
        <w:shd w:val="clear" w:color="auto" w:fill="FFFFFF"/>
        <w:spacing w:before="240" w:beforeAutospacing="0" w:after="12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5. Kisméretű számítástechnikai berendezések és távközlési berendezések (egyik külső méretük sem haladja meg az 50 cm-t)</w:t>
      </w:r>
    </w:p>
    <w:p w:rsidR="00D16144" w:rsidRDefault="00D16144" w:rsidP="00D16144">
      <w:pPr>
        <w:pStyle w:val="Norml1"/>
        <w:shd w:val="clear" w:color="auto" w:fill="FFFFFF"/>
        <w:spacing w:before="12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Mobiltelefonok, GPS-ek, zsebszámológépek, </w:t>
      </w:r>
      <w:proofErr w:type="spellStart"/>
      <w:r>
        <w:rPr>
          <w:color w:val="000000"/>
        </w:rPr>
        <w:t>routerek</w:t>
      </w:r>
      <w:proofErr w:type="spellEnd"/>
      <w:r>
        <w:rPr>
          <w:color w:val="000000"/>
        </w:rPr>
        <w:t>, személyi számítógépek, nyomtatók, telefonok.</w:t>
      </w:r>
    </w:p>
    <w:p w:rsidR="00D16144" w:rsidRDefault="00D16144" w:rsidP="00D161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page"/>
      </w:r>
    </w:p>
    <w:p w:rsidR="00D16144" w:rsidRPr="00BF7C73" w:rsidRDefault="00D16144" w:rsidP="00D16144">
      <w:pPr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4</w:t>
      </w:r>
      <w:r w:rsidRPr="00BF7C73">
        <w:rPr>
          <w:rFonts w:ascii="Times New Roman" w:hAnsi="Times New Roman"/>
          <w:i/>
          <w:sz w:val="24"/>
          <w:szCs w:val="24"/>
        </w:rPr>
        <w:t xml:space="preserve">. melléklet </w:t>
      </w:r>
      <w:proofErr w:type="gramStart"/>
      <w:r w:rsidRPr="00BF7C73">
        <w:rPr>
          <w:rFonts w:ascii="Times New Roman" w:hAnsi="Times New Roman"/>
          <w:i/>
          <w:sz w:val="24"/>
          <w:szCs w:val="24"/>
        </w:rPr>
        <w:t>a …</w:t>
      </w:r>
      <w:proofErr w:type="gramEnd"/>
      <w:r w:rsidRPr="00BF7C73">
        <w:rPr>
          <w:rFonts w:ascii="Times New Roman" w:hAnsi="Times New Roman"/>
          <w:i/>
          <w:sz w:val="24"/>
          <w:szCs w:val="24"/>
        </w:rPr>
        <w:t>/201</w:t>
      </w:r>
      <w:r>
        <w:rPr>
          <w:rFonts w:ascii="Times New Roman" w:hAnsi="Times New Roman"/>
          <w:i/>
          <w:sz w:val="24"/>
          <w:szCs w:val="24"/>
        </w:rPr>
        <w:t>7</w:t>
      </w:r>
      <w:r w:rsidRPr="00BF7C73">
        <w:rPr>
          <w:rFonts w:ascii="Times New Roman" w:hAnsi="Times New Roman"/>
          <w:i/>
          <w:sz w:val="24"/>
          <w:szCs w:val="24"/>
        </w:rPr>
        <w:t>.(…) Korm. rendelethez</w:t>
      </w:r>
    </w:p>
    <w:p w:rsidR="00D16144" w:rsidRDefault="00D16144" w:rsidP="00D161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A Vhr. 7. melléklet </w:t>
      </w:r>
    </w:p>
    <w:p w:rsidR="00D16144" w:rsidRDefault="00D16144" w:rsidP="00D16144">
      <w:pPr>
        <w:ind w:left="284" w:hanging="284"/>
        <w:rPr>
          <w:rFonts w:ascii="Times New Roman" w:hAnsi="Times New Roman"/>
          <w:sz w:val="24"/>
          <w:szCs w:val="24"/>
        </w:rPr>
      </w:pPr>
      <w:proofErr w:type="gramStart"/>
      <w:r w:rsidRPr="00CC3531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CC3531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1.3. pontjában a „kiszállításának” szövegrész helybe a „kitárolásának” szöveg,</w:t>
      </w:r>
    </w:p>
    <w:p w:rsidR="00D16144" w:rsidRDefault="00D16144" w:rsidP="00D16144">
      <w:pPr>
        <w:ind w:left="284" w:hanging="284"/>
        <w:rPr>
          <w:rFonts w:ascii="Times New Roman" w:hAnsi="Times New Roman"/>
          <w:sz w:val="24"/>
          <w:szCs w:val="24"/>
        </w:rPr>
      </w:pPr>
      <w:r w:rsidRPr="00CC3531">
        <w:rPr>
          <w:rFonts w:ascii="Times New Roman" w:hAnsi="Times New Roman"/>
          <w:i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1.3.1. pontjában a „kiszállítás” szövegrész helyébe a „kitárolás” szöveg,</w:t>
      </w:r>
    </w:p>
    <w:p w:rsidR="00D16144" w:rsidRDefault="00D16144" w:rsidP="00D16144">
      <w:pPr>
        <w:ind w:left="284" w:hanging="284"/>
        <w:rPr>
          <w:rFonts w:ascii="Times New Roman" w:hAnsi="Times New Roman"/>
          <w:sz w:val="24"/>
          <w:szCs w:val="24"/>
        </w:rPr>
      </w:pPr>
      <w:r w:rsidRPr="00CC3531">
        <w:rPr>
          <w:rFonts w:ascii="Times New Roman" w:hAnsi="Times New Roman"/>
          <w:i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1.3.2. pontjában a „kiszállítás oka” szövegrész helybe a „kitárolás oka” szöveg,</w:t>
      </w:r>
    </w:p>
    <w:p w:rsidR="00D16144" w:rsidRDefault="00D16144" w:rsidP="00D16144">
      <w:pPr>
        <w:ind w:left="284" w:hanging="284"/>
        <w:rPr>
          <w:rFonts w:ascii="Times New Roman" w:hAnsi="Times New Roman"/>
          <w:sz w:val="24"/>
          <w:szCs w:val="24"/>
        </w:rPr>
      </w:pPr>
      <w:r w:rsidRPr="00CC3531">
        <w:rPr>
          <w:rFonts w:ascii="Times New Roman" w:hAnsi="Times New Roman"/>
          <w:i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1.3.6. pontjában a „kiszállításkor” szövegrész helybe a „kitároláskor” szöveg,</w:t>
      </w:r>
    </w:p>
    <w:p w:rsidR="00D16144" w:rsidRDefault="00D16144" w:rsidP="00D16144">
      <w:pPr>
        <w:ind w:left="284" w:hanging="284"/>
        <w:rPr>
          <w:rFonts w:ascii="Times New Roman" w:hAnsi="Times New Roman"/>
          <w:sz w:val="24"/>
          <w:szCs w:val="24"/>
        </w:rPr>
      </w:pPr>
      <w:proofErr w:type="gramStart"/>
      <w:r w:rsidRPr="00CC3531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CC3531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2. pontjában a „beszállítás és kiszállítás” szövegrész helyébe a „betárolás és kitárolás” szöveg.</w:t>
      </w:r>
    </w:p>
    <w:p w:rsidR="00D16144" w:rsidRDefault="00D16144" w:rsidP="00D16144">
      <w:pPr>
        <w:ind w:left="284" w:hanging="284"/>
        <w:rPr>
          <w:rFonts w:ascii="Times New Roman" w:hAnsi="Times New Roman"/>
          <w:sz w:val="24"/>
          <w:szCs w:val="24"/>
        </w:rPr>
      </w:pPr>
      <w:proofErr w:type="gramStart"/>
      <w:r w:rsidRPr="00CC3531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CC3531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2.1. pontjában a „beszállítását” szövegrész helyébe a „betárolását” szöveg, a „kiszállítását” szövegrész helyébe a „kitárolását” szöveg,</w:t>
      </w:r>
    </w:p>
    <w:p w:rsidR="00D16144" w:rsidRDefault="00D16144" w:rsidP="00D16144">
      <w:pPr>
        <w:ind w:left="284" w:hanging="284"/>
        <w:rPr>
          <w:rFonts w:ascii="Times New Roman" w:hAnsi="Times New Roman"/>
          <w:sz w:val="24"/>
          <w:szCs w:val="24"/>
        </w:rPr>
      </w:pPr>
      <w:proofErr w:type="gramStart"/>
      <w:r w:rsidRPr="00CC3531">
        <w:rPr>
          <w:rFonts w:ascii="Times New Roman" w:hAnsi="Times New Roman"/>
          <w:i/>
          <w:sz w:val="24"/>
          <w:szCs w:val="24"/>
        </w:rPr>
        <w:t>g</w:t>
      </w:r>
      <w:proofErr w:type="gramEnd"/>
      <w:r w:rsidRPr="00CC3531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4. pontjában a „be- és kiszállításról” szövegrész helyébe a „be- és kitárolásról” szöveg</w:t>
      </w:r>
    </w:p>
    <w:p w:rsidR="00D16144" w:rsidRDefault="00D16144" w:rsidP="00D16144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lép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D16144" w:rsidRDefault="00D16144" w:rsidP="00D16144">
      <w:pPr>
        <w:rPr>
          <w:rFonts w:ascii="Times New Roman" w:hAnsi="Times New Roman"/>
          <w:sz w:val="24"/>
          <w:szCs w:val="24"/>
        </w:rPr>
      </w:pPr>
    </w:p>
    <w:p w:rsidR="00D16144" w:rsidRPr="00B07B8C" w:rsidRDefault="00D16144" w:rsidP="00D161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B07B8C">
        <w:rPr>
          <w:rFonts w:ascii="Times New Roman" w:hAnsi="Times New Roman"/>
          <w:sz w:val="24"/>
          <w:szCs w:val="24"/>
        </w:rPr>
        <w:t>A Vhr. 7. melléklet 4.3.5. pontja helyébe a következő rendelkezés lép:</w:t>
      </w:r>
    </w:p>
    <w:p w:rsidR="00D16144" w:rsidRPr="00B07B8C" w:rsidRDefault="00D16144" w:rsidP="00D16144">
      <w:pPr>
        <w:pStyle w:val="NormlWeb"/>
        <w:spacing w:after="20"/>
        <w:ind w:firstLine="180"/>
        <w:jc w:val="both"/>
        <w:rPr>
          <w:color w:val="000000"/>
        </w:rPr>
      </w:pPr>
      <w:r w:rsidRPr="00B07B8C">
        <w:rPr>
          <w:color w:val="000000"/>
        </w:rPr>
        <w:t>„4.3.5. a kitárolás oka jogcíme:</w:t>
      </w:r>
    </w:p>
    <w:tbl>
      <w:tblPr>
        <w:tblW w:w="8438" w:type="dxa"/>
        <w:tblInd w:w="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9"/>
        <w:gridCol w:w="7229"/>
      </w:tblGrid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B01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>belföldi forgalomba hozatal termékdíj megfizetésével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 nem kerül megfizetésre a vevő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3. § (6) bekezdés a) pontja szerint adott nyilatkozata alapján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B11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 nem kerül megfizetésre a vevő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3. § (6) bekezdés b) pontja szerint adott nyilatkozata alapján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B12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 nem kerül megfizetésre a vevő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3. § (6) bekezdés c) pontja szerint adott nyilatkozata alapján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B13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 nem kerül megfizetésre a vevő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3. § (6) bekezdés d) pontja szerint adott nyilatkozata alapján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B14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>belföldi forgalomba hozatal, a termékdíjat az egyéb kőolajtermék alapanyagként történő felhasználása esetén nem kell megfizetni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B15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>belföldi forgalomba hozatal, a termékdíjat az egyéb kőolajtermék R9 eljárással történő előállítása esetén nem kell megfizetni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B16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 nem kerül megfizetésre a vevő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3. § (6) bekezdés e) pontja szerint adott nyilatkozata alapján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B17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 nem kerül megfizetésre a vevő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3. § (6) bekezdés f) pontja szerint adott nyilatkozata alapján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termékdíj-kötelezettség a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14. § (5) bekezdés a) pontja alapján szerződéssel átvállalásra került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B21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termékdíj-kötelezettség a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14. § (5) bekezdés b) pontja alapján szerződéssel átvállalásra került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lastRenderedPageBreak/>
              <w:t>B22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termékdíj-kötelezettség a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14. § (5) bekezdés c) pontja alapján szerződéssel átvállalásra került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B23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termékdíj-kötelezettség a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14. § (5) bekezdés d) pontja alapján szerződéssel átvállalásra került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B24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termékdíj-kötelezettség a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14. § (5) bekezdés e) pontja alapján szerződéssel átvállalásra került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B25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termékdíj-kötelezettség a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14. § (5) bekezdés f) pontja alapján szerződéssel átvállalásra került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B26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 xml:space="preserve">belföldi forgalomba hozatal, a termékdíj-kötelezettség a </w:t>
            </w:r>
            <w:proofErr w:type="spellStart"/>
            <w:r w:rsidRPr="00B07B8C">
              <w:rPr>
                <w:color w:val="000000"/>
              </w:rPr>
              <w:t>Ktdt</w:t>
            </w:r>
            <w:proofErr w:type="spellEnd"/>
            <w:r w:rsidRPr="00B07B8C">
              <w:rPr>
                <w:color w:val="000000"/>
              </w:rPr>
              <w:t>. 14. § (5) bekezdés g) pontja alapján szerződéssel átvállalásra került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t>B27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t xml:space="preserve">belföldi forgalomba hozatal, a termékdíj nem kerül megfizetésre a </w:t>
            </w:r>
            <w:proofErr w:type="spellStart"/>
            <w:r w:rsidRPr="00B07B8C">
              <w:t>Ktdt</w:t>
            </w:r>
            <w:proofErr w:type="spellEnd"/>
            <w:r w:rsidRPr="00B07B8C">
              <w:t xml:space="preserve">. 3. § (9) bekezdés </w:t>
            </w:r>
            <w:r w:rsidRPr="00B07B8C">
              <w:rPr>
                <w:i/>
              </w:rPr>
              <w:t>c)</w:t>
            </w:r>
            <w:r w:rsidRPr="00B07B8C">
              <w:t xml:space="preserve"> pontja alapján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t>B28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t xml:space="preserve">belföldi forgalomba hozatal, a termékdíj nem kerül megfizetésre a </w:t>
            </w:r>
            <w:proofErr w:type="spellStart"/>
            <w:r w:rsidRPr="00B07B8C">
              <w:t>Ktdt</w:t>
            </w:r>
            <w:proofErr w:type="spellEnd"/>
            <w:r w:rsidRPr="00B07B8C">
              <w:t xml:space="preserve">. 3. § (9) bekezdés </w:t>
            </w:r>
            <w:r w:rsidRPr="00B07B8C">
              <w:rPr>
                <w:i/>
              </w:rPr>
              <w:t>d)</w:t>
            </w:r>
            <w:r w:rsidRPr="00B07B8C">
              <w:t xml:space="preserve"> pontja alapján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t>B29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A71117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t xml:space="preserve">belföldi forgalomba hozatal, a termékdíj nem kerül megfizetésre a </w:t>
            </w:r>
            <w:proofErr w:type="spellStart"/>
            <w:r w:rsidRPr="00B07B8C">
              <w:t>Ktdt</w:t>
            </w:r>
            <w:proofErr w:type="spellEnd"/>
            <w:r w:rsidRPr="00B07B8C">
              <w:t xml:space="preserve">. 3. § (9) bekezdés </w:t>
            </w:r>
            <w:r w:rsidRPr="00B07B8C">
              <w:rPr>
                <w:i/>
              </w:rPr>
              <w:t>e)</w:t>
            </w:r>
            <w:r w:rsidRPr="00B07B8C">
              <w:t xml:space="preserve"> pontja alapján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rPr>
                <w:color w:val="000000"/>
              </w:rPr>
              <w:t>B30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07B8C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07B8C">
              <w:rPr>
                <w:color w:val="000000"/>
              </w:rPr>
              <w:t>belföldi forgalomba hozatal, a termékdíj korábban, a betárolás előtt már megfizetésre került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A71117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t>B31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A71117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A71117">
              <w:t xml:space="preserve">belföldi forgalomba hozatal, a termékdíj nem kerül megfizetésre a </w:t>
            </w:r>
            <w:proofErr w:type="spellStart"/>
            <w:r w:rsidRPr="00A71117">
              <w:t>Ktdt</w:t>
            </w:r>
            <w:proofErr w:type="spellEnd"/>
            <w:r w:rsidRPr="00A71117">
              <w:t xml:space="preserve">. 3. § (9) bekezdés </w:t>
            </w:r>
            <w:r w:rsidRPr="00A71117">
              <w:rPr>
                <w:i/>
              </w:rPr>
              <w:t>f)</w:t>
            </w:r>
            <w:r w:rsidRPr="00A71117">
              <w:t xml:space="preserve"> pont </w:t>
            </w:r>
            <w:r w:rsidRPr="00A71117">
              <w:rPr>
                <w:i/>
              </w:rPr>
              <w:t>fa)</w:t>
            </w:r>
            <w:r w:rsidRPr="00A71117">
              <w:t xml:space="preserve"> alpontja alapján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A71117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t>B32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A71117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A71117">
              <w:t xml:space="preserve">belföldi forgalomba hozatal, a termékdíj nem kerül megfizetésre a </w:t>
            </w:r>
            <w:proofErr w:type="spellStart"/>
            <w:r w:rsidRPr="00A71117">
              <w:t>Ktdt</w:t>
            </w:r>
            <w:proofErr w:type="spellEnd"/>
            <w:r w:rsidRPr="00A71117">
              <w:t xml:space="preserve">. 3. § (9) bekezdés </w:t>
            </w:r>
            <w:r w:rsidRPr="00A71117">
              <w:rPr>
                <w:i/>
              </w:rPr>
              <w:t>f)</w:t>
            </w:r>
            <w:r w:rsidRPr="00A71117">
              <w:t xml:space="preserve"> pont </w:t>
            </w:r>
            <w:proofErr w:type="spellStart"/>
            <w:r w:rsidRPr="00A71117">
              <w:rPr>
                <w:i/>
              </w:rPr>
              <w:t>fb</w:t>
            </w:r>
            <w:proofErr w:type="spellEnd"/>
            <w:r w:rsidRPr="00A71117">
              <w:rPr>
                <w:i/>
              </w:rPr>
              <w:t>)</w:t>
            </w:r>
            <w:r w:rsidRPr="00A71117">
              <w:t xml:space="preserve"> alpontja alapján</w:t>
            </w:r>
          </w:p>
        </w:tc>
      </w:tr>
      <w:tr w:rsidR="00D16144" w:rsidRPr="00A71117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D16144" w:rsidRPr="00A71117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07B8C">
              <w:t>B33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:rsidR="00D16144" w:rsidRPr="00B52366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A71117">
              <w:t xml:space="preserve">belföldi forgalomba hozatal, a termékdíj nem kerül megfizetésre a </w:t>
            </w:r>
            <w:proofErr w:type="spellStart"/>
            <w:r w:rsidRPr="00A71117">
              <w:t>Ktdt</w:t>
            </w:r>
            <w:proofErr w:type="spellEnd"/>
            <w:r w:rsidRPr="00A71117">
              <w:t>. 3. § (6) bekezdés g</w:t>
            </w:r>
            <w:r w:rsidRPr="00A71117">
              <w:rPr>
                <w:i/>
              </w:rPr>
              <w:t>)</w:t>
            </w:r>
            <w:r w:rsidRPr="00A71117">
              <w:t xml:space="preserve"> pontja alapján</w:t>
            </w:r>
          </w:p>
        </w:tc>
      </w:tr>
      <w:tr w:rsidR="00D16144" w:rsidRPr="00A71117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71117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A71117">
              <w:rPr>
                <w:color w:val="000000"/>
              </w:rPr>
              <w:t>I00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71117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A71117">
              <w:rPr>
                <w:color w:val="000000"/>
              </w:rPr>
              <w:t>ideiglenes kiadás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71117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A71117">
              <w:rPr>
                <w:color w:val="000000"/>
              </w:rPr>
              <w:t>K00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A71117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A71117">
              <w:rPr>
                <w:color w:val="000000"/>
              </w:rPr>
              <w:t>külföldre történő kitárolás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52366">
              <w:rPr>
                <w:color w:val="000000"/>
              </w:rPr>
              <w:t>S01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52366">
              <w:rPr>
                <w:color w:val="000000"/>
              </w:rPr>
              <w:t>saját célú felhasználás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52366">
              <w:rPr>
                <w:color w:val="000000"/>
              </w:rPr>
              <w:t>T00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52366">
              <w:rPr>
                <w:color w:val="000000"/>
              </w:rPr>
              <w:t>áttárolás másik termékdíj raktárba a tulajdonjog megváltozása nélkül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after="20"/>
              <w:ind w:firstLine="180"/>
              <w:jc w:val="center"/>
              <w:rPr>
                <w:color w:val="000000"/>
              </w:rPr>
            </w:pPr>
            <w:r w:rsidRPr="00B52366">
              <w:rPr>
                <w:color w:val="000000"/>
              </w:rPr>
              <w:t>U10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after="20"/>
              <w:ind w:firstLine="180"/>
              <w:rPr>
                <w:color w:val="000000"/>
              </w:rPr>
            </w:pPr>
            <w:r w:rsidRPr="00B52366">
              <w:rPr>
                <w:color w:val="000000"/>
              </w:rPr>
              <w:t xml:space="preserve">újrahasználható csomagolószer bérbe adása a </w:t>
            </w:r>
            <w:proofErr w:type="spellStart"/>
            <w:r w:rsidRPr="00B52366">
              <w:rPr>
                <w:color w:val="000000"/>
              </w:rPr>
              <w:t>Ktdt</w:t>
            </w:r>
            <w:proofErr w:type="spellEnd"/>
            <w:r w:rsidRPr="00B52366">
              <w:rPr>
                <w:color w:val="000000"/>
              </w:rPr>
              <w:t>. 3/</w:t>
            </w:r>
            <w:proofErr w:type="gramStart"/>
            <w:r w:rsidRPr="00B52366">
              <w:rPr>
                <w:color w:val="000000"/>
              </w:rPr>
              <w:t>A.</w:t>
            </w:r>
            <w:proofErr w:type="gramEnd"/>
            <w:r w:rsidRPr="00B52366">
              <w:rPr>
                <w:color w:val="000000"/>
              </w:rPr>
              <w:t xml:space="preserve"> § szerinti engedélyezett bérleti rendszer keretében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left="380" w:hanging="380"/>
              <w:jc w:val="center"/>
              <w:rPr>
                <w:color w:val="000000"/>
              </w:rPr>
            </w:pPr>
            <w:r w:rsidRPr="00B52366">
              <w:rPr>
                <w:color w:val="000000"/>
              </w:rPr>
              <w:t>B40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firstLine="180"/>
              <w:rPr>
                <w:color w:val="000000"/>
              </w:rPr>
            </w:pPr>
            <w:r w:rsidRPr="00B52366">
              <w:rPr>
                <w:color w:val="000000"/>
              </w:rPr>
              <w:t>belföldre irányuló kitárolás, a termékdíj korábban, a betárolás előtt már megfizetésre került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left="380" w:hanging="380"/>
              <w:jc w:val="center"/>
              <w:rPr>
                <w:color w:val="000000"/>
              </w:rPr>
            </w:pPr>
            <w:r w:rsidRPr="00B52366">
              <w:rPr>
                <w:color w:val="000000"/>
              </w:rPr>
              <w:t>I90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firstLine="180"/>
              <w:rPr>
                <w:color w:val="000000"/>
              </w:rPr>
            </w:pPr>
            <w:r w:rsidRPr="00B52366">
              <w:rPr>
                <w:color w:val="000000"/>
              </w:rPr>
              <w:t xml:space="preserve">ideiglenes kiadás alatt lévő </w:t>
            </w:r>
            <w:proofErr w:type="spellStart"/>
            <w:r w:rsidRPr="00B52366">
              <w:rPr>
                <w:color w:val="000000"/>
              </w:rPr>
              <w:t>termékdíjköteles</w:t>
            </w:r>
            <w:proofErr w:type="spellEnd"/>
            <w:r w:rsidRPr="00B52366">
              <w:rPr>
                <w:color w:val="000000"/>
              </w:rPr>
              <w:t xml:space="preserve"> termék saját célú felhasználása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left="380" w:hanging="380"/>
              <w:jc w:val="center"/>
              <w:rPr>
                <w:color w:val="000000"/>
              </w:rPr>
            </w:pPr>
            <w:r w:rsidRPr="00B52366">
              <w:rPr>
                <w:color w:val="000000"/>
              </w:rPr>
              <w:t>SH9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firstLine="180"/>
              <w:rPr>
                <w:color w:val="000000"/>
              </w:rPr>
            </w:pPr>
            <w:r w:rsidRPr="00B52366">
              <w:rPr>
                <w:color w:val="000000"/>
              </w:rPr>
              <w:t xml:space="preserve">ideiglenes kiadás alatt lévő </w:t>
            </w:r>
            <w:proofErr w:type="spellStart"/>
            <w:r w:rsidRPr="00B52366">
              <w:rPr>
                <w:color w:val="000000"/>
              </w:rPr>
              <w:t>termékdíjköteles</w:t>
            </w:r>
            <w:proofErr w:type="spellEnd"/>
            <w:r w:rsidRPr="00B52366">
              <w:rPr>
                <w:color w:val="000000"/>
              </w:rPr>
              <w:t xml:space="preserve"> termék felhasználása esetében a gyártási folyamat során keletkező gyártási selejt, hulladék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left="380" w:hanging="380"/>
              <w:jc w:val="center"/>
              <w:rPr>
                <w:color w:val="000000"/>
              </w:rPr>
            </w:pPr>
            <w:r w:rsidRPr="00B52366">
              <w:rPr>
                <w:color w:val="000000"/>
              </w:rPr>
              <w:t>SH1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firstLine="180"/>
              <w:rPr>
                <w:color w:val="000000"/>
              </w:rPr>
            </w:pPr>
            <w:r w:rsidRPr="00B52366">
              <w:rPr>
                <w:color w:val="000000"/>
              </w:rPr>
              <w:t xml:space="preserve">termékdíj raktárban lévő </w:t>
            </w:r>
            <w:proofErr w:type="spellStart"/>
            <w:r w:rsidRPr="00B52366">
              <w:rPr>
                <w:color w:val="000000"/>
              </w:rPr>
              <w:t>termékdíjköteles</w:t>
            </w:r>
            <w:proofErr w:type="spellEnd"/>
            <w:r w:rsidRPr="00B52366">
              <w:rPr>
                <w:color w:val="000000"/>
              </w:rPr>
              <w:t xml:space="preserve"> termék felhasználása esetében a gyártási folyamat során keletkező gyártási selejt, hulladék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left="380" w:hanging="380"/>
              <w:jc w:val="center"/>
              <w:rPr>
                <w:color w:val="000000"/>
              </w:rPr>
            </w:pPr>
            <w:r w:rsidRPr="00B52366">
              <w:rPr>
                <w:color w:val="000000"/>
              </w:rPr>
              <w:t>TM0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firstLine="180"/>
              <w:rPr>
                <w:color w:val="000000"/>
              </w:rPr>
            </w:pPr>
            <w:r w:rsidRPr="00B52366">
              <w:rPr>
                <w:color w:val="000000"/>
              </w:rPr>
              <w:t>betárolás előtt a termékdíj megfizetésre került (a termékdíj raktáron belül csomagolás részét képező csomagolószerek esetében a csomagolás végleges elválasztásra kerül a termékről)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left="380" w:hanging="380"/>
              <w:jc w:val="center"/>
              <w:rPr>
                <w:color w:val="000000"/>
              </w:rPr>
            </w:pPr>
            <w:r w:rsidRPr="00B52366">
              <w:rPr>
                <w:color w:val="000000"/>
              </w:rPr>
              <w:t>KN0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firstLine="180"/>
              <w:rPr>
                <w:color w:val="000000"/>
              </w:rPr>
            </w:pPr>
            <w:r w:rsidRPr="00B52366">
              <w:rPr>
                <w:color w:val="000000"/>
              </w:rPr>
              <w:t>kitárolás, nem keletkezik termékdíj-kötelezettség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left="380" w:hanging="380"/>
              <w:jc w:val="center"/>
              <w:rPr>
                <w:color w:val="000000"/>
              </w:rPr>
            </w:pPr>
            <w:r w:rsidRPr="00B52366">
              <w:rPr>
                <w:color w:val="000000"/>
              </w:rPr>
              <w:lastRenderedPageBreak/>
              <w:t>KEJ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firstLine="180"/>
              <w:rPr>
                <w:color w:val="000000"/>
              </w:rPr>
            </w:pPr>
            <w:r w:rsidRPr="00B52366">
              <w:rPr>
                <w:color w:val="000000"/>
              </w:rPr>
              <w:t>kitárolás belföldre, egyéb jogcímen (termékdíj-kötelezettség keletkezik)</w:t>
            </w:r>
          </w:p>
        </w:tc>
      </w:tr>
      <w:tr w:rsidR="00D16144" w:rsidRPr="00B07B8C" w:rsidTr="003C39FB"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left="380" w:hanging="380"/>
              <w:jc w:val="center"/>
              <w:rPr>
                <w:color w:val="000000"/>
              </w:rPr>
            </w:pPr>
            <w:r w:rsidRPr="00B52366">
              <w:rPr>
                <w:color w:val="000000"/>
              </w:rPr>
              <w:t>V01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6144" w:rsidRPr="00B52366" w:rsidRDefault="00D16144" w:rsidP="003C39FB">
            <w:pPr>
              <w:pStyle w:val="NormlWeb"/>
              <w:spacing w:before="60" w:after="60"/>
              <w:ind w:firstLine="180"/>
              <w:rPr>
                <w:color w:val="000000"/>
              </w:rPr>
            </w:pPr>
            <w:r w:rsidRPr="00B52366">
              <w:rPr>
                <w:color w:val="000000"/>
              </w:rPr>
              <w:t>kitárolás, termékdíj visszaigénylésre kerül</w:t>
            </w:r>
          </w:p>
        </w:tc>
      </w:tr>
    </w:tbl>
    <w:p w:rsidR="00D16144" w:rsidRDefault="00D16144" w:rsidP="00D16144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D16144" w:rsidRDefault="00D16144" w:rsidP="00D16144">
      <w:pPr>
        <w:rPr>
          <w:rFonts w:ascii="Times New Roman" w:hAnsi="Times New Roman"/>
          <w:sz w:val="24"/>
          <w:szCs w:val="24"/>
        </w:rPr>
      </w:pPr>
      <w:r w:rsidRPr="00BF7C73" w:rsidDel="00B07B8C">
        <w:rPr>
          <w:rFonts w:ascii="Times New Roman" w:hAnsi="Times New Roman"/>
          <w:sz w:val="24"/>
          <w:szCs w:val="24"/>
        </w:rPr>
        <w:t xml:space="preserve"> </w:t>
      </w:r>
    </w:p>
    <w:p w:rsidR="00D16144" w:rsidRDefault="00D16144" w:rsidP="00D1614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A6CE0" w:rsidRDefault="008A6CE0"/>
    <w:sectPr w:rsidR="008A6CE0" w:rsidSect="004A6A78">
      <w:headerReference w:type="default" r:id="rId9"/>
      <w:footerReference w:type="default" r:id="rId10"/>
      <w:pgSz w:w="11906" w:h="16838"/>
      <w:pgMar w:top="11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6AD" w:rsidRDefault="004B36AD" w:rsidP="00D16144">
      <w:pPr>
        <w:spacing w:after="0" w:line="240" w:lineRule="auto"/>
      </w:pPr>
      <w:r>
        <w:separator/>
      </w:r>
    </w:p>
  </w:endnote>
  <w:endnote w:type="continuationSeparator" w:id="0">
    <w:p w:rsidR="004B36AD" w:rsidRDefault="004B36AD" w:rsidP="00D16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Ind w:w="-34" w:type="dxa"/>
      <w:tblLook w:val="01E0" w:firstRow="1" w:lastRow="1" w:firstColumn="1" w:lastColumn="1" w:noHBand="0" w:noVBand="0"/>
    </w:tblPr>
    <w:tblGrid>
      <w:gridCol w:w="8878"/>
      <w:gridCol w:w="222"/>
      <w:gridCol w:w="222"/>
    </w:tblGrid>
    <w:tr w:rsidR="00EE275F" w:rsidRPr="00DF6440" w:rsidTr="00B65101">
      <w:tc>
        <w:tcPr>
          <w:tcW w:w="3380" w:type="dxa"/>
        </w:tcPr>
        <w:tbl>
          <w:tblPr>
            <w:tblW w:w="9322" w:type="dxa"/>
            <w:tblLook w:val="01E0" w:firstRow="1" w:lastRow="1" w:firstColumn="1" w:lastColumn="1" w:noHBand="0" w:noVBand="0"/>
          </w:tblPr>
          <w:tblGrid>
            <w:gridCol w:w="3380"/>
            <w:gridCol w:w="3224"/>
            <w:gridCol w:w="2718"/>
          </w:tblGrid>
          <w:tr w:rsidR="00EE275F" w:rsidRPr="00BF3574" w:rsidTr="00583F83">
            <w:tc>
              <w:tcPr>
                <w:tcW w:w="3380" w:type="dxa"/>
              </w:tcPr>
              <w:p w:rsidR="00EE275F" w:rsidRPr="00DF6440" w:rsidRDefault="004B36AD" w:rsidP="00583F83">
                <w:pPr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adjustRightInd w:val="0"/>
                  <w:spacing w:after="120" w:line="240" w:lineRule="auto"/>
                  <w:jc w:val="center"/>
                  <w:rPr>
                    <w:rFonts w:ascii="Times New Roman" w:hAnsi="Times New Roman"/>
                    <w:smallCaps/>
                    <w:sz w:val="20"/>
                    <w:szCs w:val="20"/>
                    <w:lang w:eastAsia="hu-HU"/>
                  </w:rPr>
                </w:pPr>
              </w:p>
            </w:tc>
            <w:tc>
              <w:tcPr>
                <w:tcW w:w="3224" w:type="dxa"/>
              </w:tcPr>
              <w:p w:rsidR="00EE275F" w:rsidRPr="00DF6440" w:rsidRDefault="004B36AD" w:rsidP="00583F83">
                <w:pPr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adjustRightInd w:val="0"/>
                  <w:spacing w:after="120" w:line="240" w:lineRule="auto"/>
                  <w:jc w:val="center"/>
                  <w:rPr>
                    <w:rFonts w:ascii="Times New Roman" w:hAnsi="Times New Roman"/>
                    <w:smallCaps/>
                    <w:sz w:val="20"/>
                    <w:szCs w:val="20"/>
                    <w:lang w:eastAsia="hu-HU"/>
                  </w:rPr>
                </w:pPr>
              </w:p>
            </w:tc>
            <w:tc>
              <w:tcPr>
                <w:tcW w:w="2718" w:type="dxa"/>
              </w:tcPr>
              <w:p w:rsidR="00EE275F" w:rsidRPr="00BF3574" w:rsidRDefault="004B36AD" w:rsidP="00583F83">
                <w:pPr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adjustRightInd w:val="0"/>
                  <w:spacing w:after="120" w:line="240" w:lineRule="auto"/>
                  <w:jc w:val="center"/>
                  <w:rPr>
                    <w:rFonts w:ascii="Times New Roman" w:hAnsi="Times New Roman"/>
                    <w:smallCaps/>
                    <w:sz w:val="20"/>
                    <w:szCs w:val="20"/>
                    <w:highlight w:val="yellow"/>
                    <w:lang w:eastAsia="hu-HU"/>
                  </w:rPr>
                </w:pPr>
              </w:p>
            </w:tc>
          </w:tr>
          <w:tr w:rsidR="00EE275F" w:rsidRPr="00BF3574" w:rsidTr="00583F83">
            <w:tc>
              <w:tcPr>
                <w:tcW w:w="3380" w:type="dxa"/>
                <w:vAlign w:val="center"/>
              </w:tcPr>
              <w:p w:rsidR="00EE275F" w:rsidRPr="00DF6440" w:rsidRDefault="004B36AD" w:rsidP="00351A8E">
                <w:pPr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hAnsi="Times New Roman"/>
                    <w:sz w:val="17"/>
                    <w:szCs w:val="17"/>
                    <w:lang w:eastAsia="hu-HU"/>
                  </w:rPr>
                </w:pPr>
              </w:p>
            </w:tc>
            <w:tc>
              <w:tcPr>
                <w:tcW w:w="3224" w:type="dxa"/>
                <w:vAlign w:val="center"/>
              </w:tcPr>
              <w:p w:rsidR="00EE275F" w:rsidRPr="00DF6440" w:rsidRDefault="004B36AD" w:rsidP="001672CB">
                <w:pPr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hAnsi="Times New Roman"/>
                    <w:i/>
                    <w:sz w:val="17"/>
                    <w:szCs w:val="17"/>
                    <w:lang w:eastAsia="hu-HU"/>
                  </w:rPr>
                </w:pPr>
              </w:p>
            </w:tc>
            <w:tc>
              <w:tcPr>
                <w:tcW w:w="2718" w:type="dxa"/>
                <w:vAlign w:val="center"/>
              </w:tcPr>
              <w:p w:rsidR="00EE275F" w:rsidRPr="00BF3574" w:rsidRDefault="004B36AD" w:rsidP="00823BA5">
                <w:pPr>
                  <w:tabs>
                    <w:tab w:val="center" w:pos="4536"/>
                    <w:tab w:val="right" w:pos="9072"/>
                  </w:tabs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hAnsi="Times New Roman"/>
                    <w:i/>
                    <w:sz w:val="17"/>
                    <w:szCs w:val="17"/>
                    <w:highlight w:val="yellow"/>
                    <w:lang w:eastAsia="hu-HU"/>
                  </w:rPr>
                </w:pPr>
              </w:p>
            </w:tc>
          </w:tr>
        </w:tbl>
        <w:p w:rsidR="00EE275F" w:rsidRPr="00DF6440" w:rsidRDefault="004B36AD" w:rsidP="00DF6440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120" w:line="240" w:lineRule="auto"/>
            <w:jc w:val="center"/>
            <w:rPr>
              <w:rFonts w:ascii="Times New Roman" w:hAnsi="Times New Roman"/>
              <w:smallCaps/>
              <w:sz w:val="20"/>
              <w:szCs w:val="20"/>
              <w:lang w:eastAsia="hu-HU"/>
            </w:rPr>
          </w:pPr>
        </w:p>
      </w:tc>
      <w:tc>
        <w:tcPr>
          <w:tcW w:w="3224" w:type="dxa"/>
        </w:tcPr>
        <w:p w:rsidR="00EE275F" w:rsidRPr="00DF6440" w:rsidRDefault="004B36AD" w:rsidP="007A6E2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120" w:line="240" w:lineRule="auto"/>
            <w:jc w:val="center"/>
            <w:rPr>
              <w:rFonts w:ascii="Times New Roman" w:hAnsi="Times New Roman"/>
              <w:smallCaps/>
              <w:sz w:val="20"/>
              <w:szCs w:val="20"/>
              <w:lang w:eastAsia="hu-HU"/>
            </w:rPr>
          </w:pPr>
        </w:p>
      </w:tc>
      <w:tc>
        <w:tcPr>
          <w:tcW w:w="2718" w:type="dxa"/>
        </w:tcPr>
        <w:p w:rsidR="00EE275F" w:rsidRPr="00DF6440" w:rsidRDefault="004B36AD" w:rsidP="00DF6440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120" w:line="240" w:lineRule="auto"/>
            <w:jc w:val="center"/>
            <w:rPr>
              <w:rFonts w:ascii="Times New Roman" w:hAnsi="Times New Roman"/>
              <w:smallCaps/>
              <w:sz w:val="20"/>
              <w:szCs w:val="20"/>
              <w:lang w:eastAsia="hu-HU"/>
            </w:rPr>
          </w:pPr>
        </w:p>
      </w:tc>
    </w:tr>
    <w:tr w:rsidR="00EE275F" w:rsidRPr="00DF6440" w:rsidTr="00B65101">
      <w:tc>
        <w:tcPr>
          <w:tcW w:w="3380" w:type="dxa"/>
          <w:vAlign w:val="center"/>
        </w:tcPr>
        <w:p w:rsidR="00EE275F" w:rsidRPr="00DF6440" w:rsidRDefault="004B36AD" w:rsidP="007A6E29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17"/>
              <w:szCs w:val="17"/>
              <w:lang w:eastAsia="hu-HU"/>
            </w:rPr>
          </w:pPr>
        </w:p>
      </w:tc>
      <w:tc>
        <w:tcPr>
          <w:tcW w:w="3224" w:type="dxa"/>
          <w:vAlign w:val="center"/>
        </w:tcPr>
        <w:p w:rsidR="00EE275F" w:rsidRPr="00DF6440" w:rsidRDefault="004B36AD" w:rsidP="00D82A0D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i/>
              <w:sz w:val="17"/>
              <w:szCs w:val="17"/>
              <w:lang w:eastAsia="hu-HU"/>
            </w:rPr>
          </w:pPr>
        </w:p>
      </w:tc>
      <w:tc>
        <w:tcPr>
          <w:tcW w:w="2718" w:type="dxa"/>
          <w:vAlign w:val="center"/>
        </w:tcPr>
        <w:p w:rsidR="00EE275F" w:rsidRDefault="004B36AD" w:rsidP="00B65101">
          <w:pPr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/>
              <w:sz w:val="17"/>
              <w:szCs w:val="17"/>
              <w:lang w:eastAsia="hu-HU"/>
            </w:rPr>
          </w:pPr>
        </w:p>
      </w:tc>
    </w:tr>
  </w:tbl>
  <w:p w:rsidR="00EE275F" w:rsidRDefault="004B36A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6AD" w:rsidRDefault="004B36AD" w:rsidP="00D16144">
      <w:pPr>
        <w:spacing w:after="0" w:line="240" w:lineRule="auto"/>
      </w:pPr>
      <w:r>
        <w:separator/>
      </w:r>
    </w:p>
  </w:footnote>
  <w:footnote w:type="continuationSeparator" w:id="0">
    <w:p w:rsidR="004B36AD" w:rsidRDefault="004B36AD" w:rsidP="00D16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75F" w:rsidRPr="004A6A78" w:rsidRDefault="004B36AD" w:rsidP="00671381">
    <w:pPr>
      <w:pStyle w:val="lfej"/>
      <w:spacing w:after="480"/>
      <w:jc w:val="center"/>
      <w:rPr>
        <w:rFonts w:ascii="Times New Roman" w:hAnsi="Times New Roman"/>
      </w:rPr>
    </w:pPr>
    <w:r w:rsidRPr="00732C33">
      <w:rPr>
        <w:rFonts w:ascii="Times New Roman" w:hAnsi="Times New Roman"/>
        <w:sz w:val="20"/>
        <w:szCs w:val="20"/>
      </w:rPr>
      <w:t xml:space="preserve">Az előterjesztést a Kormány nem tárgyalta meg, ezért </w:t>
    </w:r>
    <w:proofErr w:type="gramStart"/>
    <w:r w:rsidRPr="00732C33">
      <w:rPr>
        <w:rFonts w:ascii="Times New Roman" w:hAnsi="Times New Roman"/>
        <w:sz w:val="20"/>
        <w:szCs w:val="20"/>
      </w:rPr>
      <w:t>az</w:t>
    </w:r>
    <w:proofErr w:type="gramEnd"/>
    <w:r w:rsidRPr="00732C33">
      <w:rPr>
        <w:rFonts w:ascii="Times New Roman" w:hAnsi="Times New Roman"/>
        <w:sz w:val="20"/>
        <w:szCs w:val="20"/>
      </w:rPr>
      <w:t xml:space="preserve"> nem tekinthető a Kormány álláspontjának.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23C2"/>
    <w:multiLevelType w:val="hybridMultilevel"/>
    <w:tmpl w:val="1B24AD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F7754"/>
    <w:multiLevelType w:val="hybridMultilevel"/>
    <w:tmpl w:val="492EECBA"/>
    <w:lvl w:ilvl="0" w:tplc="B02AED9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9C57F81"/>
    <w:multiLevelType w:val="hybridMultilevel"/>
    <w:tmpl w:val="B9B4CDC6"/>
    <w:lvl w:ilvl="0" w:tplc="F95005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30782"/>
    <w:multiLevelType w:val="hybridMultilevel"/>
    <w:tmpl w:val="31503A26"/>
    <w:lvl w:ilvl="0" w:tplc="95D6D426">
      <w:start w:val="1"/>
      <w:numFmt w:val="upp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12947697"/>
    <w:multiLevelType w:val="hybridMultilevel"/>
    <w:tmpl w:val="964C90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51967"/>
    <w:multiLevelType w:val="hybridMultilevel"/>
    <w:tmpl w:val="7B82B466"/>
    <w:lvl w:ilvl="0" w:tplc="9F1A30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B6E77"/>
    <w:multiLevelType w:val="multilevel"/>
    <w:tmpl w:val="99085DE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709"/>
      </w:pPr>
      <w:rPr>
        <w:rFonts w:cs="Times New Roman"/>
        <w:b w:val="0"/>
        <w:bCs w:val="0"/>
      </w:rPr>
    </w:lvl>
    <w:lvl w:ilvl="1">
      <w:start w:val="1"/>
      <w:numFmt w:val="lowerLetter"/>
      <w:lvlText w:val="(%2)"/>
      <w:lvlJc w:val="left"/>
      <w:pPr>
        <w:tabs>
          <w:tab w:val="num" w:pos="1777"/>
        </w:tabs>
        <w:ind w:left="177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486"/>
        </w:tabs>
        <w:ind w:left="24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195"/>
        </w:tabs>
        <w:ind w:left="319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1A4A4EAD"/>
    <w:multiLevelType w:val="hybridMultilevel"/>
    <w:tmpl w:val="FE78D3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61B13"/>
    <w:multiLevelType w:val="hybridMultilevel"/>
    <w:tmpl w:val="87EE47C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D801AA"/>
    <w:multiLevelType w:val="hybridMultilevel"/>
    <w:tmpl w:val="25AA2E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4E7188"/>
    <w:multiLevelType w:val="hybridMultilevel"/>
    <w:tmpl w:val="178CD954"/>
    <w:lvl w:ilvl="0" w:tplc="0A3878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37A74"/>
    <w:multiLevelType w:val="hybridMultilevel"/>
    <w:tmpl w:val="8750A9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A457A"/>
    <w:multiLevelType w:val="hybridMultilevel"/>
    <w:tmpl w:val="85FE05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719ED"/>
    <w:multiLevelType w:val="hybridMultilevel"/>
    <w:tmpl w:val="500426C4"/>
    <w:lvl w:ilvl="0" w:tplc="B9184F6E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C227C2"/>
    <w:multiLevelType w:val="hybridMultilevel"/>
    <w:tmpl w:val="56902D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D5C4A"/>
    <w:multiLevelType w:val="hybridMultilevel"/>
    <w:tmpl w:val="8C144478"/>
    <w:lvl w:ilvl="0" w:tplc="505AE6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0A3E75"/>
    <w:multiLevelType w:val="hybridMultilevel"/>
    <w:tmpl w:val="40A43DBA"/>
    <w:lvl w:ilvl="0" w:tplc="71A06E0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8CD624E"/>
    <w:multiLevelType w:val="hybridMultilevel"/>
    <w:tmpl w:val="4D307926"/>
    <w:lvl w:ilvl="0" w:tplc="C75E080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9581296"/>
    <w:multiLevelType w:val="hybridMultilevel"/>
    <w:tmpl w:val="928221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0336E7"/>
    <w:multiLevelType w:val="hybridMultilevel"/>
    <w:tmpl w:val="1B643C5E"/>
    <w:lvl w:ilvl="0" w:tplc="B4E2BB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373436B"/>
    <w:multiLevelType w:val="hybridMultilevel"/>
    <w:tmpl w:val="F1584360"/>
    <w:lvl w:ilvl="0" w:tplc="298C2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235027"/>
    <w:multiLevelType w:val="hybridMultilevel"/>
    <w:tmpl w:val="7A4AE7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A3E0A"/>
    <w:multiLevelType w:val="hybridMultilevel"/>
    <w:tmpl w:val="B28E5E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0E5DC0"/>
    <w:multiLevelType w:val="hybridMultilevel"/>
    <w:tmpl w:val="DA1CE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4F29F2"/>
    <w:multiLevelType w:val="hybridMultilevel"/>
    <w:tmpl w:val="D8FAA414"/>
    <w:lvl w:ilvl="0" w:tplc="71A06E0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68654E"/>
    <w:multiLevelType w:val="hybridMultilevel"/>
    <w:tmpl w:val="D1C86F0C"/>
    <w:lvl w:ilvl="0" w:tplc="8DF0D040">
      <w:start w:val="1"/>
      <w:numFmt w:val="lowerLetter"/>
      <w:lvlText w:val="%1)"/>
      <w:lvlJc w:val="left"/>
      <w:pPr>
        <w:ind w:left="1004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9537F8F"/>
    <w:multiLevelType w:val="hybridMultilevel"/>
    <w:tmpl w:val="3946952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644857"/>
    <w:multiLevelType w:val="hybridMultilevel"/>
    <w:tmpl w:val="D06690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C61F15"/>
    <w:multiLevelType w:val="hybridMultilevel"/>
    <w:tmpl w:val="EAB83B10"/>
    <w:lvl w:ilvl="0" w:tplc="6F3CC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D26782"/>
    <w:multiLevelType w:val="hybridMultilevel"/>
    <w:tmpl w:val="8B06D524"/>
    <w:lvl w:ilvl="0" w:tplc="95D6D426">
      <w:start w:val="1"/>
      <w:numFmt w:val="upp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>
    <w:nsid w:val="60CE0E20"/>
    <w:multiLevelType w:val="hybridMultilevel"/>
    <w:tmpl w:val="4A203EAA"/>
    <w:lvl w:ilvl="0" w:tplc="222E87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62429F"/>
    <w:multiLevelType w:val="hybridMultilevel"/>
    <w:tmpl w:val="40206158"/>
    <w:lvl w:ilvl="0" w:tplc="9F1A30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754427"/>
    <w:multiLevelType w:val="hybridMultilevel"/>
    <w:tmpl w:val="9D289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3513C7"/>
    <w:multiLevelType w:val="hybridMultilevel"/>
    <w:tmpl w:val="D1F8A2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791382"/>
    <w:multiLevelType w:val="hybridMultilevel"/>
    <w:tmpl w:val="03B208E0"/>
    <w:lvl w:ilvl="0" w:tplc="B4E2BB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035E27"/>
    <w:multiLevelType w:val="hybridMultilevel"/>
    <w:tmpl w:val="4984D2A8"/>
    <w:lvl w:ilvl="0" w:tplc="9F1A30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212D1E"/>
    <w:multiLevelType w:val="hybridMultilevel"/>
    <w:tmpl w:val="419A1746"/>
    <w:lvl w:ilvl="0" w:tplc="95D6D426">
      <w:start w:val="1"/>
      <w:numFmt w:val="upp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>
    <w:nsid w:val="72B55492"/>
    <w:multiLevelType w:val="hybridMultilevel"/>
    <w:tmpl w:val="59B28E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30A22CB"/>
    <w:multiLevelType w:val="hybridMultilevel"/>
    <w:tmpl w:val="6B4CD9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5B2DE7"/>
    <w:multiLevelType w:val="hybridMultilevel"/>
    <w:tmpl w:val="4C12A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2A728C"/>
    <w:multiLevelType w:val="hybridMultilevel"/>
    <w:tmpl w:val="6E4498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A658E1"/>
    <w:multiLevelType w:val="hybridMultilevel"/>
    <w:tmpl w:val="FC70FE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EF3A24"/>
    <w:multiLevelType w:val="hybridMultilevel"/>
    <w:tmpl w:val="183AA7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"/>
  </w:num>
  <w:num w:numId="3">
    <w:abstractNumId w:val="29"/>
  </w:num>
  <w:num w:numId="4">
    <w:abstractNumId w:val="36"/>
  </w:num>
  <w:num w:numId="5">
    <w:abstractNumId w:val="8"/>
  </w:num>
  <w:num w:numId="6">
    <w:abstractNumId w:val="17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6"/>
  </w:num>
  <w:num w:numId="10">
    <w:abstractNumId w:val="20"/>
  </w:num>
  <w:num w:numId="11">
    <w:abstractNumId w:val="7"/>
  </w:num>
  <w:num w:numId="12">
    <w:abstractNumId w:val="10"/>
  </w:num>
  <w:num w:numId="13">
    <w:abstractNumId w:val="24"/>
  </w:num>
  <w:num w:numId="14">
    <w:abstractNumId w:val="41"/>
  </w:num>
  <w:num w:numId="15">
    <w:abstractNumId w:val="2"/>
  </w:num>
  <w:num w:numId="16">
    <w:abstractNumId w:val="42"/>
  </w:num>
  <w:num w:numId="17">
    <w:abstractNumId w:val="25"/>
  </w:num>
  <w:num w:numId="18">
    <w:abstractNumId w:val="34"/>
  </w:num>
  <w:num w:numId="19">
    <w:abstractNumId w:val="14"/>
  </w:num>
  <w:num w:numId="20">
    <w:abstractNumId w:val="30"/>
  </w:num>
  <w:num w:numId="21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1"/>
  </w:num>
  <w:num w:numId="24">
    <w:abstractNumId w:val="5"/>
  </w:num>
  <w:num w:numId="25">
    <w:abstractNumId w:val="15"/>
  </w:num>
  <w:num w:numId="26">
    <w:abstractNumId w:val="13"/>
  </w:num>
  <w:num w:numId="27">
    <w:abstractNumId w:val="9"/>
  </w:num>
  <w:num w:numId="28">
    <w:abstractNumId w:val="1"/>
  </w:num>
  <w:num w:numId="29">
    <w:abstractNumId w:val="40"/>
  </w:num>
  <w:num w:numId="30">
    <w:abstractNumId w:val="0"/>
  </w:num>
  <w:num w:numId="31">
    <w:abstractNumId w:val="33"/>
  </w:num>
  <w:num w:numId="32">
    <w:abstractNumId w:val="38"/>
  </w:num>
  <w:num w:numId="33">
    <w:abstractNumId w:val="11"/>
  </w:num>
  <w:num w:numId="34">
    <w:abstractNumId w:val="23"/>
  </w:num>
  <w:num w:numId="35">
    <w:abstractNumId w:val="26"/>
  </w:num>
  <w:num w:numId="36">
    <w:abstractNumId w:val="22"/>
  </w:num>
  <w:num w:numId="37">
    <w:abstractNumId w:val="39"/>
  </w:num>
  <w:num w:numId="38">
    <w:abstractNumId w:val="18"/>
  </w:num>
  <w:num w:numId="39">
    <w:abstractNumId w:val="35"/>
  </w:num>
  <w:num w:numId="40">
    <w:abstractNumId w:val="27"/>
  </w:num>
  <w:num w:numId="41">
    <w:abstractNumId w:val="21"/>
  </w:num>
  <w:num w:numId="42">
    <w:abstractNumId w:val="4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144"/>
    <w:rsid w:val="004B36AD"/>
    <w:rsid w:val="008A6CE0"/>
    <w:rsid w:val="00D1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6144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1614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D1614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D16144"/>
    <w:pPr>
      <w:spacing w:line="240" w:lineRule="auto"/>
    </w:pPr>
    <w:rPr>
      <w:rFonts w:eastAsia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16144"/>
    <w:rPr>
      <w:rFonts w:ascii="Calibri" w:eastAsia="Times New Roman" w:hAnsi="Calibri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D16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16144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D16144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rsid w:val="00D16144"/>
    <w:pPr>
      <w:spacing w:after="0" w:line="240" w:lineRule="auto"/>
    </w:pPr>
    <w:rPr>
      <w:rFonts w:eastAsia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16144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D16144"/>
    <w:rPr>
      <w:rFonts w:cs="Times New Roman"/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16144"/>
    <w:rPr>
      <w:rFonts w:eastAsia="Calibr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16144"/>
    <w:rPr>
      <w:rFonts w:ascii="Calibri" w:eastAsia="Calibri" w:hAnsi="Calibri" w:cs="Times New Roman"/>
      <w:b/>
      <w:bCs/>
      <w:sz w:val="20"/>
      <w:szCs w:val="20"/>
      <w:lang w:eastAsia="hu-HU"/>
    </w:rPr>
  </w:style>
  <w:style w:type="paragraph" w:styleId="NormlWeb">
    <w:name w:val="Normal (Web)"/>
    <w:basedOn w:val="Norml"/>
    <w:uiPriority w:val="99"/>
    <w:rsid w:val="00D1614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Alcm">
    <w:name w:val="Subtitle"/>
    <w:basedOn w:val="Norml"/>
    <w:next w:val="Norml"/>
    <w:link w:val="AlcmChar"/>
    <w:qFormat/>
    <w:rsid w:val="00D1614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D161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D16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614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D16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6144"/>
    <w:rPr>
      <w:rFonts w:ascii="Calibri" w:eastAsia="Calibri" w:hAnsi="Calibri" w:cs="Times New Roman"/>
    </w:rPr>
  </w:style>
  <w:style w:type="paragraph" w:styleId="Vltozat">
    <w:name w:val="Revision"/>
    <w:hidden/>
    <w:uiPriority w:val="99"/>
    <w:semiHidden/>
    <w:rsid w:val="00D16144"/>
    <w:pPr>
      <w:spacing w:after="0" w:line="240" w:lineRule="auto"/>
    </w:pPr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nhideWhenUsed/>
    <w:rsid w:val="00D16144"/>
    <w:rPr>
      <w:color w:val="0000FF" w:themeColor="hyperlink"/>
      <w:u w:val="single"/>
    </w:rPr>
  </w:style>
  <w:style w:type="character" w:styleId="Kiemels">
    <w:name w:val="Emphasis"/>
    <w:basedOn w:val="Bekezdsalapbettpusa"/>
    <w:uiPriority w:val="20"/>
    <w:qFormat/>
    <w:rsid w:val="00D16144"/>
    <w:rPr>
      <w:i/>
      <w:iCs/>
    </w:rPr>
  </w:style>
  <w:style w:type="paragraph" w:customStyle="1" w:styleId="ListNumberLevel2">
    <w:name w:val="List Number (Level 2)"/>
    <w:basedOn w:val="Norml"/>
    <w:uiPriority w:val="99"/>
    <w:rsid w:val="00D16144"/>
    <w:pPr>
      <w:tabs>
        <w:tab w:val="num" w:pos="1777"/>
        <w:tab w:val="num" w:pos="3195"/>
      </w:tabs>
      <w:spacing w:before="120" w:after="120" w:line="240" w:lineRule="auto"/>
      <w:ind w:left="1777" w:hanging="708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l"/>
    <w:uiPriority w:val="99"/>
    <w:rsid w:val="00D16144"/>
    <w:pPr>
      <w:tabs>
        <w:tab w:val="num" w:pos="2486"/>
        <w:tab w:val="num" w:pos="3195"/>
      </w:tabs>
      <w:spacing w:before="120" w:after="120" w:line="240" w:lineRule="auto"/>
      <w:ind w:left="2486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l"/>
    <w:uiPriority w:val="99"/>
    <w:rsid w:val="00D16144"/>
    <w:pPr>
      <w:tabs>
        <w:tab w:val="num" w:pos="3195"/>
      </w:tabs>
      <w:spacing w:before="120" w:after="120" w:line="240" w:lineRule="auto"/>
      <w:ind w:left="3195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Bekezdsalapbettpusa"/>
    <w:rsid w:val="00D16144"/>
  </w:style>
  <w:style w:type="paragraph" w:customStyle="1" w:styleId="ti-grseq-1">
    <w:name w:val="ti-grseq-1"/>
    <w:basedOn w:val="Norml"/>
    <w:rsid w:val="00D161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Norml1">
    <w:name w:val="Normál1"/>
    <w:basedOn w:val="Norml"/>
    <w:rsid w:val="00D161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uper">
    <w:name w:val="super"/>
    <w:basedOn w:val="Bekezdsalapbettpusa"/>
    <w:rsid w:val="00D16144"/>
  </w:style>
  <w:style w:type="paragraph" w:customStyle="1" w:styleId="Default">
    <w:name w:val="Default"/>
    <w:rsid w:val="00D16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6144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1614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D1614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D16144"/>
    <w:pPr>
      <w:spacing w:line="240" w:lineRule="auto"/>
    </w:pPr>
    <w:rPr>
      <w:rFonts w:eastAsia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16144"/>
    <w:rPr>
      <w:rFonts w:ascii="Calibri" w:eastAsia="Times New Roman" w:hAnsi="Calibri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D16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16144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D16144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rsid w:val="00D16144"/>
    <w:pPr>
      <w:spacing w:after="0" w:line="240" w:lineRule="auto"/>
    </w:pPr>
    <w:rPr>
      <w:rFonts w:eastAsia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16144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rsid w:val="00D16144"/>
    <w:rPr>
      <w:rFonts w:cs="Times New Roman"/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16144"/>
    <w:rPr>
      <w:rFonts w:eastAsia="Calibr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16144"/>
    <w:rPr>
      <w:rFonts w:ascii="Calibri" w:eastAsia="Calibri" w:hAnsi="Calibri" w:cs="Times New Roman"/>
      <w:b/>
      <w:bCs/>
      <w:sz w:val="20"/>
      <w:szCs w:val="20"/>
      <w:lang w:eastAsia="hu-HU"/>
    </w:rPr>
  </w:style>
  <w:style w:type="paragraph" w:styleId="NormlWeb">
    <w:name w:val="Normal (Web)"/>
    <w:basedOn w:val="Norml"/>
    <w:uiPriority w:val="99"/>
    <w:rsid w:val="00D1614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Alcm">
    <w:name w:val="Subtitle"/>
    <w:basedOn w:val="Norml"/>
    <w:next w:val="Norml"/>
    <w:link w:val="AlcmChar"/>
    <w:qFormat/>
    <w:rsid w:val="00D1614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D161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D16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614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D16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6144"/>
    <w:rPr>
      <w:rFonts w:ascii="Calibri" w:eastAsia="Calibri" w:hAnsi="Calibri" w:cs="Times New Roman"/>
    </w:rPr>
  </w:style>
  <w:style w:type="paragraph" w:styleId="Vltozat">
    <w:name w:val="Revision"/>
    <w:hidden/>
    <w:uiPriority w:val="99"/>
    <w:semiHidden/>
    <w:rsid w:val="00D16144"/>
    <w:pPr>
      <w:spacing w:after="0" w:line="240" w:lineRule="auto"/>
    </w:pPr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nhideWhenUsed/>
    <w:rsid w:val="00D16144"/>
    <w:rPr>
      <w:color w:val="0000FF" w:themeColor="hyperlink"/>
      <w:u w:val="single"/>
    </w:rPr>
  </w:style>
  <w:style w:type="character" w:styleId="Kiemels">
    <w:name w:val="Emphasis"/>
    <w:basedOn w:val="Bekezdsalapbettpusa"/>
    <w:uiPriority w:val="20"/>
    <w:qFormat/>
    <w:rsid w:val="00D16144"/>
    <w:rPr>
      <w:i/>
      <w:iCs/>
    </w:rPr>
  </w:style>
  <w:style w:type="paragraph" w:customStyle="1" w:styleId="ListNumberLevel2">
    <w:name w:val="List Number (Level 2)"/>
    <w:basedOn w:val="Norml"/>
    <w:uiPriority w:val="99"/>
    <w:rsid w:val="00D16144"/>
    <w:pPr>
      <w:tabs>
        <w:tab w:val="num" w:pos="1777"/>
        <w:tab w:val="num" w:pos="3195"/>
      </w:tabs>
      <w:spacing w:before="120" w:after="120" w:line="240" w:lineRule="auto"/>
      <w:ind w:left="1777" w:hanging="708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3">
    <w:name w:val="List Number (Level 3)"/>
    <w:basedOn w:val="Norml"/>
    <w:uiPriority w:val="99"/>
    <w:rsid w:val="00D16144"/>
    <w:pPr>
      <w:tabs>
        <w:tab w:val="num" w:pos="2486"/>
        <w:tab w:val="num" w:pos="3195"/>
      </w:tabs>
      <w:spacing w:before="120" w:after="120" w:line="240" w:lineRule="auto"/>
      <w:ind w:left="2486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ListNumberLevel4">
    <w:name w:val="List Number (Level 4)"/>
    <w:basedOn w:val="Norml"/>
    <w:uiPriority w:val="99"/>
    <w:rsid w:val="00D16144"/>
    <w:pPr>
      <w:tabs>
        <w:tab w:val="num" w:pos="3195"/>
      </w:tabs>
      <w:spacing w:before="120" w:after="120" w:line="240" w:lineRule="auto"/>
      <w:ind w:left="3195" w:hanging="709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Bekezdsalapbettpusa"/>
    <w:rsid w:val="00D16144"/>
  </w:style>
  <w:style w:type="paragraph" w:customStyle="1" w:styleId="ti-grseq-1">
    <w:name w:val="ti-grseq-1"/>
    <w:basedOn w:val="Norml"/>
    <w:rsid w:val="00D161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Norml1">
    <w:name w:val="Normál1"/>
    <w:basedOn w:val="Norml"/>
    <w:rsid w:val="00D161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uper">
    <w:name w:val="super"/>
    <w:basedOn w:val="Bekezdsalapbettpusa"/>
    <w:rsid w:val="00D16144"/>
  </w:style>
  <w:style w:type="paragraph" w:customStyle="1" w:styleId="Default">
    <w:name w:val="Default"/>
    <w:rsid w:val="00D161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5192</Words>
  <Characters>35832</Characters>
  <Application>Microsoft Office Word</Application>
  <DocSecurity>0</DocSecurity>
  <Lines>298</Lines>
  <Paragraphs>81</Paragraphs>
  <ScaleCrop>false</ScaleCrop>
  <Company>KD</Company>
  <LinksUpToDate>false</LinksUpToDate>
  <CharactersWithSpaces>40943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 András Dr.</dc:creator>
  <cp:lastModifiedBy>Bagi András Dr.</cp:lastModifiedBy>
  <cp:revision>1</cp:revision>
  <dcterms:created xsi:type="dcterms:W3CDTF">2017-11-22T14:04:00Z</dcterms:created>
  <dcterms:modified xsi:type="dcterms:W3CDTF">2017-11-22T14:05:00Z</dcterms:modified>
</cp:coreProperties>
</file>