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8A7" w:rsidRPr="00B24DFA" w:rsidRDefault="001F68A7" w:rsidP="001F68A7">
      <w:pPr>
        <w:keepNext/>
        <w:keepLines/>
        <w:spacing w:before="48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</w:pPr>
      <w:bookmarkStart w:id="0" w:name="_Toc490150784"/>
      <w:bookmarkStart w:id="1" w:name="_GoBack"/>
      <w:bookmarkEnd w:id="1"/>
      <w:r w:rsidRPr="00B24DFA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>Esélyteremtést szolgáló köznevelési vonatkozású támogatások, intézkedések</w:t>
      </w:r>
      <w:bookmarkEnd w:id="0"/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F68A7" w:rsidRPr="001F68A7" w:rsidRDefault="001F68A7" w:rsidP="001F68A7">
      <w:pPr>
        <w:keepNext/>
        <w:keepLines/>
        <w:spacing w:before="20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</w:pPr>
      <w:bookmarkStart w:id="2" w:name="_Toc490150785"/>
      <w:r w:rsidRPr="001F68A7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>Rendszeres gyermekvédelmi kedvezmény</w:t>
      </w:r>
      <w:bookmarkEnd w:id="2"/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>A Gyvt. a gyermekvédelmi pénzbeli ellátások között szabályozza a rendszeres gyermekvédelmi kedvezményre való jogosultságot. A kedvezményre való jogosultság megállapításának célja annak igazolása, hogy a gyermek szociális helyzete alapján jogosult</w:t>
      </w:r>
    </w:p>
    <w:p w:rsidR="001F68A7" w:rsidRPr="001F68A7" w:rsidRDefault="001F68A7" w:rsidP="001F68A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>az ingyenes vagy kedvezményes intézményi gyermekétkeztetésnek (Gyvt. 21/B. §), valamint a Gyvt. 21/C. § szerinti feltételek fennállása esetén a szünidei gyermekétkeztetésnek,</w:t>
      </w:r>
    </w:p>
    <w:p w:rsidR="001F68A7" w:rsidRPr="001F68A7" w:rsidRDefault="001F68A7" w:rsidP="001F68A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>az augusztus, illetve november hónapban biztosított természetbeni támogatásnak (gyermekvédelmi Erzsébet-utalvány),</w:t>
      </w:r>
    </w:p>
    <w:p w:rsidR="001F68A7" w:rsidRPr="001F68A7" w:rsidRDefault="001F68A7" w:rsidP="001F68A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>a külön jogszabályokban meghatározott egyéb kedvezményeknek (pl. tankönyvtámogatás) igénybevételére.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>A kedvezmény célja, hogy az anyagi okok miatt rászoruló gyermeket segítse abban, hogy a gyermeki jogokkal összhangban a családja képes legyen a gyermek otthon történő ellátására. A kedvezményt olyan gyermek kaphatja, akinek gondozó családjában az egy főre jutó havi jövedelem nem haladja meg az öregségi nyugdíj mindenkori legkisebb összegének 130% -át (37 050 Ft), bizonyos esetekben (egyedülálló szülő, vagy tartósan beteg, súlyosan fogyatékos gyermek, vagy nagykorúvá vált, a nappali oktatás munkarendje szerint tanulmányokat folytató 23 évesnél fiatalabb, vagy a felsőoktatási intézmény nappali tagozatán tanulmányokat folytató</w:t>
      </w:r>
      <w:r w:rsidRPr="001F68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F68A7">
        <w:rPr>
          <w:rFonts w:ascii="Times New Roman" w:eastAsia="Times New Roman" w:hAnsi="Times New Roman" w:cs="Times New Roman"/>
          <w:sz w:val="24"/>
          <w:szCs w:val="24"/>
        </w:rPr>
        <w:t xml:space="preserve">25 évesnél fiatalabb gyermek esetén) 140%-át (39 900 Ft), és a törvényben meghatározottnál magasabb értékű vagyona nincs. 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8A7">
        <w:rPr>
          <w:rFonts w:ascii="Times New Roman" w:eastAsia="Calibri" w:hAnsi="Times New Roman" w:cs="Times New Roman"/>
          <w:sz w:val="24"/>
          <w:szCs w:val="24"/>
          <w:u w:val="single"/>
        </w:rPr>
        <w:t>[</w:t>
      </w:r>
      <w:r w:rsidRPr="001F68A7">
        <w:rPr>
          <w:rFonts w:ascii="Times New Roman" w:eastAsia="Calibri" w:hAnsi="Times New Roman" w:cs="Times New Roman"/>
          <w:b/>
          <w:sz w:val="24"/>
          <w:szCs w:val="24"/>
        </w:rPr>
        <w:t>2018. január 1-jétől a rendszeres gyermekvédelmi</w:t>
      </w:r>
      <w:r w:rsidRPr="001F68A7">
        <w:rPr>
          <w:rFonts w:ascii="Times New Roman" w:eastAsia="Calibri" w:hAnsi="Times New Roman" w:cs="Times New Roman"/>
          <w:sz w:val="24"/>
          <w:szCs w:val="24"/>
        </w:rPr>
        <w:t xml:space="preserve"> kedvezmény tekintetében irányadó </w:t>
      </w:r>
      <w:r w:rsidRPr="001F68A7">
        <w:rPr>
          <w:rFonts w:ascii="Times New Roman" w:eastAsia="Calibri" w:hAnsi="Times New Roman" w:cs="Times New Roman"/>
          <w:b/>
          <w:sz w:val="24"/>
          <w:szCs w:val="24"/>
        </w:rPr>
        <w:t>jövedelmi értékhatárok emelésére kerül sor</w:t>
      </w:r>
      <w:r w:rsidRPr="001F68A7">
        <w:rPr>
          <w:rFonts w:ascii="Times New Roman" w:eastAsia="Calibri" w:hAnsi="Times New Roman" w:cs="Times New Roman"/>
          <w:sz w:val="24"/>
          <w:szCs w:val="24"/>
        </w:rPr>
        <w:t>, így a belépési jövedelemhatár az öregségi nyugdíj mindenkori legkisebb összegének 130 és 140%-áról 135 és 145%-ára (38 475 Ft-ra és 41 325 Ft-ra) emelkedik.]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>Nagykorúvá vált gyermek esetén a jövedelmi és vagyoni feltételek mellett a jogosultság megállapításának további feltétele a jogszabály szerinti tanulói/hallgatói jogviszony fennállása, továbbá, hogy a</w:t>
      </w:r>
      <w:r w:rsidR="00A94DFA">
        <w:rPr>
          <w:rFonts w:ascii="Times New Roman" w:eastAsia="Times New Roman" w:hAnsi="Times New Roman" w:cs="Times New Roman"/>
          <w:sz w:val="24"/>
          <w:szCs w:val="24"/>
        </w:rPr>
        <w:t>z érintett a</w:t>
      </w:r>
      <w:r w:rsidRPr="001F68A7">
        <w:rPr>
          <w:rFonts w:ascii="Times New Roman" w:eastAsia="Times New Roman" w:hAnsi="Times New Roman" w:cs="Times New Roman"/>
          <w:sz w:val="24"/>
          <w:szCs w:val="24"/>
        </w:rPr>
        <w:t xml:space="preserve"> nagykorúvá válását megelőző második hónap első napja, valamint a nagykorúvá válásának napját megelőző nap közötti időszakban legalább egy napig rendszeres gyermekvédelmi kedvezményre volt jogosult. A jogosultság alkalmanként egy év időtartamra kerül megállapításra. 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 xml:space="preserve">A rendszeres gyermekvédelmi kedvezmény egy, speciális jogosulti kör számára nyújtható támogatási eleme a „pénzbeli ellátás”. A pénzbeli ellátásra azok a családbafogadó gyámok jogosultak, akik a gyermek tartására is kötelesek és nyugdíjban, megváltozott munkaképességűek ellátásában vagy olyan ellátásban részesülnek, amely a nyugdíjszerű rendszeres szociális ellátások emeléséről szóló jogszabály hatálya alá tartozik. A pénzbeli ellátás havi összege gyermekenként az öregségi nyugdíj mindenkori legkisebb összegének 22%-a (2017-ben: 6 270 Ft). A pénzbeli ellátásra jogosultak részére tárgyév augusztus és november hónapban pótlék kerül folyósításra, amelynek összege alkalmanként és gyermekenként 8 400 Ft. </w:t>
      </w:r>
    </w:p>
    <w:p w:rsidR="00F3329F" w:rsidRDefault="00F3329F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329F" w:rsidRDefault="00F3329F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329F" w:rsidRDefault="00F3329F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D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rendszeres gyermekvédelmi kedvezményre való jogosultság megállapítása a települési önkormányzat jegyzőjének feladat- és hatáskörébe tartozik. A jogosultság megállapítása iránti kérelmet elsősorban a szülő, más törvényes képviselő vagy a </w:t>
      </w:r>
      <w:r w:rsidR="00664C56" w:rsidRPr="00B24DFA">
        <w:rPr>
          <w:rFonts w:ascii="Times New Roman" w:eastAsia="Times New Roman" w:hAnsi="Times New Roman" w:cs="Times New Roman"/>
          <w:sz w:val="24"/>
          <w:szCs w:val="24"/>
        </w:rPr>
        <w:t xml:space="preserve">jogosult </w:t>
      </w:r>
      <w:r w:rsidRPr="00460DF3">
        <w:rPr>
          <w:rFonts w:ascii="Times New Roman" w:eastAsia="Times New Roman" w:hAnsi="Times New Roman" w:cs="Times New Roman"/>
          <w:sz w:val="24"/>
          <w:szCs w:val="24"/>
        </w:rPr>
        <w:t xml:space="preserve">nagykorú </w:t>
      </w:r>
      <w:r w:rsidR="00664C56" w:rsidRPr="00B24DFA">
        <w:rPr>
          <w:rFonts w:ascii="Times New Roman" w:eastAsia="Times New Roman" w:hAnsi="Times New Roman" w:cs="Times New Roman"/>
          <w:sz w:val="24"/>
          <w:szCs w:val="24"/>
        </w:rPr>
        <w:t xml:space="preserve">nyújthatja be a </w:t>
      </w:r>
      <w:r w:rsidRPr="00460DF3">
        <w:rPr>
          <w:rFonts w:ascii="Times New Roman" w:eastAsia="Times New Roman" w:hAnsi="Times New Roman" w:cs="Times New Roman"/>
          <w:sz w:val="24"/>
          <w:szCs w:val="24"/>
        </w:rPr>
        <w:t>lakcíme szerint illetékes települési önkormányzat polgármesteri hivatalánál. A kérelem ezen felül a kormányablakokban is előterjeszthető.</w:t>
      </w:r>
      <w:r w:rsidRPr="001F68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8A7" w:rsidRPr="001F68A7" w:rsidRDefault="001F68A7" w:rsidP="001F68A7">
      <w:pPr>
        <w:keepNext/>
        <w:keepLines/>
        <w:spacing w:before="20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</w:pPr>
      <w:bookmarkStart w:id="3" w:name="_Toc459895800"/>
      <w:bookmarkStart w:id="4" w:name="_Toc490150786"/>
      <w:r w:rsidRPr="001F68A7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>A rendszeres gyermekvédelmi kedvezményre való jogosultság elemei</w:t>
      </w:r>
      <w:bookmarkEnd w:id="3"/>
      <w:bookmarkEnd w:id="4"/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F68A7" w:rsidRPr="001F68A7" w:rsidRDefault="001F68A7" w:rsidP="001F68A7">
      <w:pPr>
        <w:keepNext/>
        <w:keepLines/>
        <w:spacing w:before="200" w:after="0" w:line="240" w:lineRule="auto"/>
        <w:ind w:left="720" w:hanging="360"/>
        <w:jc w:val="both"/>
        <w:outlineLvl w:val="2"/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</w:pPr>
      <w:bookmarkStart w:id="5" w:name="_Toc490150787"/>
      <w:r w:rsidRPr="001F68A7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>Erzsébet-utalvány</w:t>
      </w:r>
      <w:bookmarkEnd w:id="5"/>
    </w:p>
    <w:p w:rsidR="001F68A7" w:rsidRPr="001F68A7" w:rsidRDefault="001F68A7" w:rsidP="001F68A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 xml:space="preserve">A kedvezményre jogosult gyermek részére tárgyév augusztus és november hónapjaiban természetbeni támogatásként ún. „gyermekvédelmi” Erzsébet-utalvány kerül biztosításra. Az utalvány élelmiszer, ruházat, tanszer vásárlására is felhasználható. </w:t>
      </w:r>
      <w:r w:rsidRPr="001F68A7">
        <w:rPr>
          <w:rFonts w:ascii="Times New Roman" w:eastAsia="Calibri" w:hAnsi="Times New Roman" w:cs="Times New Roman"/>
          <w:sz w:val="24"/>
          <w:szCs w:val="24"/>
        </w:rPr>
        <w:t>Az utalvány a kedvezményre jogosult és egyben hátrányos, halmozottan hátrányos helyzetű gyermekek számára alkalmanként 6.500 Ft (emelt összegű támogatás), az e feltételnek nem megfelelő, de kedvezményre jogosult gyermek számára alkalmanként 6.000 Ft (alapösszegű támogatás) értékben kerül biztosításra.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F68A7" w:rsidRPr="001F68A7" w:rsidRDefault="001F68A7" w:rsidP="001F68A7">
      <w:pPr>
        <w:keepNext/>
        <w:keepLines/>
        <w:spacing w:before="200" w:after="0" w:line="240" w:lineRule="auto"/>
        <w:ind w:left="720" w:hanging="360"/>
        <w:jc w:val="both"/>
        <w:outlineLvl w:val="2"/>
        <w:rPr>
          <w:rFonts w:ascii="Times New Roman" w:eastAsiaTheme="majorEastAsia" w:hAnsi="Times New Roman" w:cs="Times New Roman"/>
          <w:b/>
          <w:i/>
          <w:sz w:val="24"/>
          <w:szCs w:val="24"/>
          <w:lang w:eastAsia="hu-HU"/>
        </w:rPr>
      </w:pPr>
      <w:bookmarkStart w:id="6" w:name="_Toc490150788"/>
      <w:r w:rsidRPr="001F68A7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>Gyermekétkeztetés kedvezménye</w:t>
      </w:r>
      <w:bookmarkEnd w:id="6"/>
    </w:p>
    <w:p w:rsidR="001F68A7" w:rsidRPr="001F68A7" w:rsidRDefault="001F68A7" w:rsidP="001F68A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numPr>
          <w:ilvl w:val="0"/>
          <w:numId w:val="6"/>
        </w:numPr>
        <w:tabs>
          <w:tab w:val="left" w:pos="1134"/>
        </w:tabs>
        <w:spacing w:after="160" w:line="259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68A7">
        <w:rPr>
          <w:rFonts w:ascii="Times New Roman" w:eastAsia="Calibri" w:hAnsi="Times New Roman" w:cs="Times New Roman"/>
          <w:b/>
          <w:sz w:val="24"/>
          <w:szCs w:val="24"/>
        </w:rPr>
        <w:t xml:space="preserve">Ingyenes és kedvezményes intézményi gyermekétkeztetés </w:t>
      </w:r>
    </w:p>
    <w:p w:rsidR="001F68A7" w:rsidRPr="001F68A7" w:rsidRDefault="001F68A7" w:rsidP="001F68A7">
      <w:pPr>
        <w:widowControl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8A7" w:rsidRPr="001F68A7" w:rsidRDefault="001F68A7" w:rsidP="001F68A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>Az ingyenes és kedvezményes gyermekétkeztetés – a rendszeres gyermekvédelmi kedvezményre való jogosultság mellett – további jogcímek alapján is megállapítható. A Gyvt. rendelkezései értelmében 2015. szeptember 1-től:</w:t>
      </w:r>
    </w:p>
    <w:p w:rsidR="001F68A7" w:rsidRPr="001F68A7" w:rsidRDefault="001F68A7" w:rsidP="001F68A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8A7">
        <w:rPr>
          <w:rFonts w:ascii="Times New Roman" w:eastAsia="Calibri" w:hAnsi="Times New Roman" w:cs="Times New Roman"/>
          <w:sz w:val="24"/>
          <w:szCs w:val="24"/>
        </w:rPr>
        <w:t xml:space="preserve">Az intézményi gyermekétkeztetést </w:t>
      </w:r>
      <w:r w:rsidRPr="001F68A7">
        <w:rPr>
          <w:rFonts w:ascii="Times New Roman" w:eastAsia="Calibri" w:hAnsi="Times New Roman" w:cs="Times New Roman"/>
          <w:b/>
          <w:sz w:val="24"/>
          <w:szCs w:val="24"/>
        </w:rPr>
        <w:t>ingyenesen</w:t>
      </w:r>
      <w:r w:rsidRPr="001F68A7">
        <w:rPr>
          <w:rFonts w:ascii="Times New Roman" w:eastAsia="Calibri" w:hAnsi="Times New Roman" w:cs="Times New Roman"/>
          <w:sz w:val="24"/>
          <w:szCs w:val="24"/>
        </w:rPr>
        <w:t xml:space="preserve"> kell biztosítani (</w:t>
      </w:r>
      <w:r w:rsidRPr="001F68A7">
        <w:rPr>
          <w:rFonts w:ascii="Times New Roman" w:eastAsia="Calibri" w:hAnsi="Times New Roman" w:cs="Times New Roman"/>
          <w:b/>
          <w:sz w:val="24"/>
          <w:szCs w:val="24"/>
        </w:rPr>
        <w:t>ingyenes étkezés</w:t>
      </w:r>
      <w:r w:rsidRPr="001F68A7">
        <w:rPr>
          <w:rFonts w:ascii="Times New Roman" w:eastAsia="Calibri" w:hAnsi="Times New Roman" w:cs="Times New Roman"/>
          <w:sz w:val="24"/>
          <w:szCs w:val="24"/>
        </w:rPr>
        <w:t>) [Gyvt. 21/B. § (1)-(2) bekezdés]</w:t>
      </w:r>
    </w:p>
    <w:p w:rsidR="001F68A7" w:rsidRPr="001F68A7" w:rsidRDefault="001F68A7" w:rsidP="001F68A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1F68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bölcsődei ellátásban vagy óvodai nevelésben részesülő gyermek után, ha</w:t>
      </w:r>
    </w:p>
    <w:p w:rsidR="001F68A7" w:rsidRPr="001F68A7" w:rsidRDefault="001F68A7" w:rsidP="001F68A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rendszeres gyermekvédelmi kedvezményben részesül,</w:t>
      </w:r>
    </w:p>
    <w:p w:rsidR="001F68A7" w:rsidRPr="001F68A7" w:rsidRDefault="001F68A7" w:rsidP="001F68A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tartósan beteg vagy fogyatékos, vagy olyan családban él, amelyben tartósan beteg vagy fogyatékos gyermeket nevelnek,</w:t>
      </w:r>
    </w:p>
    <w:p w:rsidR="001F68A7" w:rsidRPr="001F68A7" w:rsidRDefault="001F68A7" w:rsidP="001F68A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családban él, amelyben három vagy több gyermeket nevelnek,</w:t>
      </w:r>
    </w:p>
    <w:p w:rsidR="001F68A7" w:rsidRPr="001F68A7" w:rsidRDefault="001F68A7" w:rsidP="001F68A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 (2017-ben: 110.224 Ft-ot), vagy</w:t>
      </w:r>
    </w:p>
    <w:p w:rsidR="001F68A7" w:rsidRPr="001F68A7" w:rsidRDefault="001F68A7" w:rsidP="001F68A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nevelésbe vették;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1F68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1-8. évfolyamon nappali rendszerű iskolai oktatásban részt vevő tanuló után, ha</w:t>
      </w:r>
    </w:p>
    <w:p w:rsidR="001F68A7" w:rsidRPr="001F68A7" w:rsidRDefault="001F68A7" w:rsidP="001F68A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rendszeres gyermekvédelmi kedvezményben részesül, vagy</w:t>
      </w:r>
    </w:p>
    <w:p w:rsidR="001F68A7" w:rsidRPr="001F68A7" w:rsidRDefault="001F68A7" w:rsidP="001F68A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nevelésbe vették;</w:t>
      </w:r>
    </w:p>
    <w:p w:rsidR="001F68A7" w:rsidRDefault="001F68A7" w:rsidP="001F68A7">
      <w:pPr>
        <w:autoSpaceDE w:val="0"/>
        <w:autoSpaceDN w:val="0"/>
        <w:adjustRightInd w:val="0"/>
        <w:spacing w:after="0" w:line="240" w:lineRule="auto"/>
        <w:ind w:left="56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1F68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azon </w:t>
      </w:r>
      <w:r w:rsidRPr="001F68A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a) </w:t>
      </w:r>
      <w:r w:rsidRPr="001F68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és </w:t>
      </w:r>
      <w:r w:rsidRPr="001F68A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b) </w:t>
      </w:r>
      <w:r w:rsidRPr="001F68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pont szerinti életkorú, rendszeres gyermekvédelmi kedvezményben részesülő gyermek után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, akit fogyatékos gyermekek számára nappali ellátást nyújtó, az Szt. hatálya alá tartozó intézményben helyeztek el;</w:t>
      </w:r>
    </w:p>
    <w:p w:rsidR="00F3329F" w:rsidRDefault="00F3329F" w:rsidP="001F68A7">
      <w:pPr>
        <w:autoSpaceDE w:val="0"/>
        <w:autoSpaceDN w:val="0"/>
        <w:adjustRightInd w:val="0"/>
        <w:spacing w:after="0" w:line="240" w:lineRule="auto"/>
        <w:ind w:left="56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329F" w:rsidRPr="001F68A7" w:rsidRDefault="00F3329F" w:rsidP="001F68A7">
      <w:pPr>
        <w:autoSpaceDE w:val="0"/>
        <w:autoSpaceDN w:val="0"/>
        <w:adjustRightInd w:val="0"/>
        <w:spacing w:after="0" w:line="240" w:lineRule="auto"/>
        <w:ind w:left="56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 xml:space="preserve">d) 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az 1-8. évfolyamon felül nappali rendszerű iskolai oktatásban részt vevő tanuló után, ha</w:t>
      </w:r>
    </w:p>
    <w:p w:rsidR="001F68A7" w:rsidRPr="001F68A7" w:rsidRDefault="001F68A7" w:rsidP="001F68A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nevelésbe vették, vagy</w:t>
      </w:r>
    </w:p>
    <w:p w:rsidR="001F68A7" w:rsidRPr="001F68A7" w:rsidRDefault="001F68A7" w:rsidP="001F68A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utógondozói ellátásban részesül.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8A7">
        <w:rPr>
          <w:rFonts w:ascii="Times New Roman" w:eastAsia="Calibri" w:hAnsi="Times New Roman" w:cs="Times New Roman"/>
          <w:sz w:val="24"/>
          <w:szCs w:val="24"/>
        </w:rPr>
        <w:t>Az intézményi gyermekétkeztetést az intézményi térítési díj 50%-os normatív</w:t>
      </w:r>
      <w:r w:rsidRPr="001F68A7">
        <w:rPr>
          <w:rFonts w:ascii="Times New Roman" w:eastAsia="Calibri" w:hAnsi="Times New Roman" w:cs="Times New Roman"/>
          <w:b/>
          <w:sz w:val="24"/>
          <w:szCs w:val="24"/>
        </w:rPr>
        <w:t xml:space="preserve"> kedvezményével</w:t>
      </w:r>
      <w:r w:rsidRPr="001F68A7">
        <w:rPr>
          <w:rFonts w:ascii="Times New Roman" w:eastAsia="Calibri" w:hAnsi="Times New Roman" w:cs="Times New Roman"/>
          <w:sz w:val="24"/>
          <w:szCs w:val="24"/>
        </w:rPr>
        <w:t xml:space="preserve"> kell biztosítani (</w:t>
      </w:r>
      <w:r w:rsidRPr="001F68A7">
        <w:rPr>
          <w:rFonts w:ascii="Times New Roman" w:eastAsia="Calibri" w:hAnsi="Times New Roman" w:cs="Times New Roman"/>
          <w:b/>
          <w:sz w:val="24"/>
          <w:szCs w:val="24"/>
        </w:rPr>
        <w:t>kedvezményes étkezés</w:t>
      </w:r>
      <w:r w:rsidRPr="001F68A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ind w:left="546" w:hanging="3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az 1-8. évfolyamon felül nappali rendszerű iskolai oktatásban részt vevő tanuló után, ha rendszeres gyermekvédelmi kedvezményben részesül;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ind w:left="546" w:hanging="3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az 1-8. és az azon felüli évfolyamon nappali rendszerű iskolai oktatásban részt vevő tanuló után, ha olyan családban él, amelyben három vagy több gyermeket nevelnek, feltéve, hogy a tanuló – rendszeres gyermekvédelmi kedvezményre való jogosultsága alapján – nem részesül ingyenes étkezésben;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ind w:left="546" w:hanging="3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1. pont </w:t>
      </w:r>
      <w:r w:rsidRPr="001F68A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r w:rsidRPr="001F68A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</w:t>
      </w:r>
      <w:r w:rsidRPr="001F68A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al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pontja szerinti életkorú, tartósan beteg vagy fogyatékos gyermek után, feltéve, hogy az 1. pont </w:t>
      </w:r>
      <w:r w:rsidRPr="001F68A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b)-d) </w:t>
      </w:r>
      <w:r w:rsidRPr="001F68A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al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pontja alapján a gyermek nem részesül ingyenes étkezésben.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ingyenes vagy kedvezményes intézményi gyermekétkeztetés gyermekenként csak egy jogcímen vehető igénybe.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Cs/>
          <w:sz w:val="24"/>
          <w:szCs w:val="24"/>
        </w:rPr>
        <w:t xml:space="preserve">A rendszeres gyermekvédelmi kedvezmény megállapítására irányuló kérelem nyomtatványon a szülő, törvényes képviselő nyilatkozhat arról, hogy amennyiben a gyermek számára a jogosultság megállapításra kerül, a kedvezmény első alkalommal történő megállapítása esetén a jegyző a határozatot küldje meg a gyermek étkeztetését biztosító intézmény részére. 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ingyenes vagy kedvezményes étkezés jogosultsági feltételeinek fennállását a személyes gondoskodást nyújtó gyermekjóléti alapellátások és gyermekvédelmi szakellátások térítési díjáról és az igénylésükhöz felhasználható bizonyítékokról szóló 328/2011. (XII.29.) Kormányrendeletben (a továbbiakban: Kormányrendelet) foglaltak szerint kell igazolni. 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ingyenes vagy kedvezményes étkezésre való jogosultság megállapításához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óvodai étkezés esetén</w:t>
      </w:r>
      <w:r w:rsidRPr="001F68A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1"/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törvényes képviselőnek a Kormányrendeletben rendszeresített formanyomtatványon kell nyilatkoznia a kedvezményre jogosító körülményről, és a formanyomtatványt az intézményhez benyújtani</w:t>
      </w:r>
    </w:p>
    <w:p w:rsidR="001F68A7" w:rsidRPr="001F68A7" w:rsidRDefault="001F68A7" w:rsidP="001F68A7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Kormányrendelet 6. melléklete – NYILATKOZAT a Gyvt. 21/B. § (1) bekezdés a) pontja szerinti ingyenes bölcsődei és óvodai gyermekétkeztetés igénybevételéhez; </w:t>
      </w:r>
    </w:p>
    <w:p w:rsidR="001F68A7" w:rsidRPr="001F68A7" w:rsidRDefault="001F68A7" w:rsidP="001F68A7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Kormányrendelet 9. melléklete – IGAZOLÁS az átmeneti gondozásban lévő, az ideiglenes hatállyal elhelyezett és a nevelésbe vett gyermek ingyenes bölcsődei gondozásra és a nevelésbe vett gyermek, utógondozói ellátásban részesülő fiatal felnőtt ingyenes intézményi gyermekétkeztetés igénybevételére való jogosultságához.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iskolai étkezés esetén </w:t>
      </w:r>
    </w:p>
    <w:p w:rsidR="001F68A7" w:rsidRPr="001F68A7" w:rsidRDefault="001F68A7" w:rsidP="001F68A7">
      <w:pPr>
        <w:spacing w:after="0" w:line="240" w:lineRule="auto"/>
        <w:ind w:left="714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F68A7" w:rsidRPr="001F68A7" w:rsidRDefault="001F68A7" w:rsidP="001F68A7">
      <w:pPr>
        <w:numPr>
          <w:ilvl w:val="0"/>
          <w:numId w:val="10"/>
        </w:numPr>
        <w:spacing w:after="160" w:line="259" w:lineRule="auto"/>
        <w:ind w:left="1442" w:hanging="37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68A7">
        <w:rPr>
          <w:rFonts w:ascii="Times New Roman" w:eastAsia="Calibri" w:hAnsi="Times New Roman" w:cs="Times New Roman"/>
          <w:bCs/>
          <w:sz w:val="24"/>
          <w:szCs w:val="24"/>
        </w:rPr>
        <w:t xml:space="preserve">a Kormányrendelet 8. melléklete - NYILATKOZAT a Gyvt. 21/B. § (1) bekezdés b)-d) pontja és a Gyvt. 21/B. § (2) bekezdése szerinti ingyenes vagy </w:t>
      </w:r>
      <w:r w:rsidRPr="001F68A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kedvezményes intézményi gyermekétkeztetés igénybevételéhez, mellyel egyidejűleg:</w:t>
      </w:r>
    </w:p>
    <w:p w:rsidR="001F68A7" w:rsidRPr="001F68A7" w:rsidRDefault="001F68A7" w:rsidP="001F68A7">
      <w:pPr>
        <w:numPr>
          <w:ilvl w:val="0"/>
          <w:numId w:val="3"/>
        </w:numPr>
        <w:spacing w:after="0" w:line="240" w:lineRule="auto"/>
        <w:ind w:left="1843"/>
        <w:jc w:val="both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1F68A7">
        <w:rPr>
          <w:rFonts w:ascii="Times New Roman" w:eastAsia="Calibri" w:hAnsi="Times New Roman" w:cs="Times New Roman"/>
          <w:bCs/>
          <w:i/>
          <w:sz w:val="24"/>
          <w:szCs w:val="20"/>
          <w:lang w:eastAsia="hu-HU"/>
        </w:rPr>
        <w:t>három és többgyermekes családok</w:t>
      </w:r>
      <w:r w:rsidRPr="001F68A7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 xml:space="preserve"> gyermekeinek gyermekétkeztetés esetén járó normatív kedvezmény igénybevételéhez elégséges a szülő nyilatkozata, arról, hogy hány gyermeket nevel a háztartásában, ennek további igazolását a jogszabály nem írja elő. </w:t>
      </w:r>
    </w:p>
    <w:p w:rsidR="001F68A7" w:rsidRPr="001F68A7" w:rsidRDefault="001F68A7" w:rsidP="001F68A7">
      <w:pPr>
        <w:numPr>
          <w:ilvl w:val="0"/>
          <w:numId w:val="3"/>
        </w:numPr>
        <w:spacing w:after="0" w:line="240" w:lineRule="auto"/>
        <w:ind w:left="1843"/>
        <w:jc w:val="both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1F68A7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 xml:space="preserve">ha a normatív kedvezményre való jogosultságot a </w:t>
      </w:r>
      <w:r w:rsidRPr="001F68A7">
        <w:rPr>
          <w:rFonts w:ascii="Times New Roman" w:eastAsia="Calibri" w:hAnsi="Times New Roman" w:cs="Times New Roman"/>
          <w:bCs/>
          <w:i/>
          <w:sz w:val="24"/>
          <w:szCs w:val="20"/>
          <w:lang w:eastAsia="hu-HU"/>
        </w:rPr>
        <w:t xml:space="preserve">rendszeres gyermekvédelmi kedvezményben </w:t>
      </w:r>
      <w:r w:rsidRPr="001F68A7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>való részesülés alapozza meg, akkor az arról szóló hatósági döntést, vagy annak másolatát kell bemutatni az intézménynek, az étkeztetést biztosítónak,</w:t>
      </w:r>
    </w:p>
    <w:p w:rsidR="001F68A7" w:rsidRPr="001F68A7" w:rsidRDefault="001F68A7" w:rsidP="001F68A7">
      <w:pPr>
        <w:numPr>
          <w:ilvl w:val="0"/>
          <w:numId w:val="3"/>
        </w:numPr>
        <w:spacing w:after="0" w:line="240" w:lineRule="auto"/>
        <w:ind w:left="1843"/>
        <w:jc w:val="both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1F68A7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 xml:space="preserve">amennyiben a kedvezmény jogalapját </w:t>
      </w:r>
      <w:r w:rsidRPr="001F68A7">
        <w:rPr>
          <w:rFonts w:ascii="Times New Roman" w:eastAsia="Calibri" w:hAnsi="Times New Roman" w:cs="Times New Roman"/>
          <w:bCs/>
          <w:i/>
          <w:sz w:val="24"/>
          <w:szCs w:val="20"/>
          <w:lang w:eastAsia="hu-HU"/>
        </w:rPr>
        <w:t>tartós betegség, vagy fogyatékosság</w:t>
      </w:r>
      <w:r w:rsidRPr="001F68A7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 xml:space="preserve"> képezi, akkor e feltétel fennállását a magasabb összegű családi pótlék megállapításáról szóló határozattal, illetve a tartós betegség esetén szakorvosi igazolással, fogyatékosság esetén a szakértői és rehabilitációs bizottság szakvéleményével (vagy ezek másolatával) kell igazolni a térítési díj fizetésére kötelezett személynek. A jogszabály tehát opcionálisan ad lehetőséget a szülő számára, hogy vagy a szakértői szakvéleménnyel, vagy a szakorvosi igazolással, vagy a magasabb összegű családi pótlékról szóló határozatával igazolja a jogosultság feltételét, attól függően, hogy mi áll rendelkezésére,</w:t>
      </w:r>
    </w:p>
    <w:p w:rsidR="001F68A7" w:rsidRPr="001F68A7" w:rsidRDefault="001F68A7" w:rsidP="001F68A7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  <w:bCs/>
          <w:i/>
          <w:sz w:val="24"/>
          <w:szCs w:val="20"/>
          <w:lang w:eastAsia="hu-HU"/>
        </w:rPr>
      </w:pPr>
    </w:p>
    <w:p w:rsidR="001F68A7" w:rsidRPr="001F68A7" w:rsidRDefault="001F68A7" w:rsidP="001F68A7">
      <w:pPr>
        <w:numPr>
          <w:ilvl w:val="0"/>
          <w:numId w:val="10"/>
        </w:numPr>
        <w:spacing w:after="160" w:line="259" w:lineRule="auto"/>
        <w:ind w:left="1456" w:hanging="37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68A7">
        <w:rPr>
          <w:rFonts w:ascii="Times New Roman" w:eastAsia="Calibri" w:hAnsi="Times New Roman" w:cs="Times New Roman"/>
          <w:bCs/>
          <w:i/>
          <w:sz w:val="24"/>
          <w:szCs w:val="24"/>
        </w:rPr>
        <w:t>Kormányrendelet 9. melléklete</w:t>
      </w:r>
      <w:r w:rsidRPr="001F68A7">
        <w:rPr>
          <w:rFonts w:ascii="Times New Roman" w:eastAsia="Calibri" w:hAnsi="Times New Roman" w:cs="Times New Roman"/>
          <w:bCs/>
          <w:sz w:val="24"/>
          <w:szCs w:val="24"/>
        </w:rPr>
        <w:t xml:space="preserve"> – IGAZOLÁS az átmeneti gondozásban lévő, az ideiglenes hatállyal elhelyezett és a nevelésbe vett gyermek ingyenes bölcsődei gondozásra és a nevelésbe vett gyermek, utógondozói ellátásban részesülő fiatal felnőtt ingyenes intézményi gyermekétkeztetés igénybevételére való jogosultságához</w:t>
      </w:r>
    </w:p>
    <w:p w:rsidR="001F68A7" w:rsidRPr="001F68A7" w:rsidRDefault="001F68A7" w:rsidP="001F68A7">
      <w:pPr>
        <w:spacing w:after="0" w:line="240" w:lineRule="auto"/>
        <w:ind w:left="1456" w:hanging="37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F68A7" w:rsidRPr="001F68A7" w:rsidRDefault="001F68A7" w:rsidP="001F68A7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Szünidei gyermekétkeztetés</w:t>
      </w:r>
    </w:p>
    <w:p w:rsidR="001F68A7" w:rsidRPr="001F68A7" w:rsidRDefault="001F68A7" w:rsidP="001F68A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Cs/>
          <w:sz w:val="24"/>
          <w:szCs w:val="24"/>
        </w:rPr>
        <w:t>A Gyvt. 21/C. §-a szerinti szünidei gyermekétkeztetésre akkor jogosult a rendszeres gyermekvédelmi kedvezményben részesülő gyermek, ha a hátrányos, vagy halmozottan hátrányos helyzetének (HH-HHH) fennállása is megállapításra kerül. Ezen felül a szünidei gyermekétkeztetésbe az e feltételeknek meg nem felelő (nem HH-HHH-s), de rendszeres gyermekvédelmi kedvezményre jogosult gyermek is bevonható, ha az önkormányzat ezt biztosítja.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Cs/>
          <w:sz w:val="24"/>
          <w:szCs w:val="24"/>
        </w:rPr>
        <w:t xml:space="preserve">A szünidei gyermekétkeztetés keretében a lakóhely szerinti települési önkormányzatoknak kötelező feladatként kell biztosítaniuk valamennyi rendszeres gyermekvédelmi kedvezményre jogosult hátrányos, halmozottan hátrányos helyzetű gyermek napi egyszeri ingyenes meleg étkezésben részesítését (amennyiben azt a szülő kérelmezi) a nyári szünetben legalább 43 munkanapon, legfeljebb a nyári szünet időtartamára eső valamennyi munkanapon, továbbá minden – a 2017/2018. tanév rendje rendeletben dátumszerűen meghatározott – iskolai szünet, bölcsődés, óvodás gyermek esetében pedig a bölcsőde, óvoda ennek megfelelő zárva tartása idejére eső munkanapokon. 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Cs/>
          <w:sz w:val="24"/>
          <w:szCs w:val="24"/>
        </w:rPr>
        <w:t>Az intézményi jogviszonnyal nem rendelkező (a gyakorlatban elsősorban a bölcsődébe nem járó három év alatti, illetve a már nem tanköteles korú, és iskolába nem járó) gyermekek szünidei gyermekétkeztetése a nyári szünetben legalább 43 munkanapon, legfeljebb a nyári szünet időtartamára eső valamennyi munkanapon, továbbá minden, a 2017/2018. tanév rendje rendeletben meghatározott iskolai szünet munkanapjain szintén kötelezően ellátandó önkormányzati feladat.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A szünidei gyermekétkeztetéshez kapcsolódóan a települési önkormányzat szabadidős programot biztosíthat a gyermekek számára, különösen a nyári szünet időtartama alatt.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Cs/>
          <w:sz w:val="24"/>
          <w:szCs w:val="24"/>
        </w:rPr>
        <w:t>A települési önkormányzat jegyzője írásban tájékoztatja azon hátrányos helyzetű és rendszeres gyermekvédelmi kedvezményben részesülő, halmozottan hátrányos helyzetű gyermek szülőjét vagy más törvényes képviselőjét, akinek gyermeke tekintetében a hátrányos vagy halmozottan hátrányos helyzet az adott év</w:t>
      </w:r>
    </w:p>
    <w:p w:rsidR="001F68A7" w:rsidRPr="001F68A7" w:rsidRDefault="001F68A7" w:rsidP="001F68A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1F68A7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>szeptember 1-jén fennáll, az évközi szünet időtartamára eső szünidei gyermekétkeztetés igénybevételének lehetőségéről, az igénybevétel módjáról, valamint a szünidei gyermekétkeztetés biztosításának időtartamáról, helyszínéről és módjáról minden év szeptember 15-éig,</w:t>
      </w:r>
    </w:p>
    <w:p w:rsidR="001F68A7" w:rsidRPr="001F68A7" w:rsidRDefault="001F68A7" w:rsidP="001F68A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1F68A7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>május 1-jén fennáll, a nyári szünet időtartamára eső szünidei gyermekétkeztetés igénybevételének lehetőségéről, az igénybevétel módjáról, valamint a szünidei gyermekétkeztetés biztosításának időtartamáról, helyszínéről és módjáról minden év május 15-éig.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Cs/>
          <w:sz w:val="24"/>
          <w:szCs w:val="24"/>
        </w:rPr>
        <w:t>A települési önkormányzat jegyzője a tájékoztatással egyidejűleg megküldi a jogosultnak a szünidei gyermekétkeztetés igényléséhez szükséges, a Kormányrendelet 7. melléklete szerinti nyilatkozatot. Ha a jogosult több hátrányos vagy halmozottan hátrányos helyzetű gyermeket nevel, a gyermekek számának megfelelő számú nyilatkozatot kell számára megküldeni.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Cs/>
          <w:sz w:val="24"/>
          <w:szCs w:val="24"/>
        </w:rPr>
        <w:t>A települési önkormányzat jegyzője a tájékoztató kiküldésével egyidejűleg a tájékoztató címzettjeiről értesíti a család- és gyermekjóléti szolgálatot, amely az értesítés alapján felkeresi a hátrányos helyzetű és a rendszeres gyermekvédelmi kedvezményben részesülő, halmozottan hátrányos helyzetű gyermeket nevelő családot, és segítséget nyújt a jogosultnak a 7. melléklet szerinti nyilatkozat kitöltéséhez és benyújtásához. A 7. melléklet szerinti nyilatkozat - az évközi szünet időtartama kivételével - a nevelési év, tanév során bármikor benyújtható, illetve módosítható.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Cs/>
          <w:sz w:val="24"/>
          <w:szCs w:val="24"/>
        </w:rPr>
        <w:t xml:space="preserve">A települési önkormányzat jegyzője minden egyes szünidei gyermekétkeztetés megkezdése előtt a helyben szokásos módon, valamint az intézményi gyermekétkeztetést biztosító intézményeken keresztül felhívja a jogosultak figyelmét a szünidei gyermekétkeztetésre, annak időtartamára és helyszínére.   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F68A7" w:rsidRPr="001F68A7" w:rsidRDefault="001F68A7" w:rsidP="001F68A7">
      <w:pPr>
        <w:keepNext/>
        <w:keepLines/>
        <w:spacing w:before="200" w:after="0" w:line="240" w:lineRule="auto"/>
        <w:ind w:left="720" w:hanging="360"/>
        <w:jc w:val="both"/>
        <w:outlineLvl w:val="2"/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</w:pPr>
      <w:bookmarkStart w:id="7" w:name="_Toc490150789"/>
      <w:r w:rsidRPr="001F68A7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>Külön jogszabályokban biztosított egyéb kedvezmények</w:t>
      </w:r>
      <w:bookmarkEnd w:id="7"/>
      <w:r w:rsidRPr="001F68A7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 xml:space="preserve"> </w:t>
      </w:r>
    </w:p>
    <w:p w:rsidR="001F68A7" w:rsidRPr="001F68A7" w:rsidRDefault="001F68A7" w:rsidP="001F68A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rendszeres gyermekvédelmi kedvezményre való jogosultsághoz kapcsolódó, külön jogszabályokban biztosított egyéb kedvezmények közül – a köznevelés tárgyát érintően – széles körben a tankönyvtámogatás kerül igénybe vételre. A tankönyvtámogatással kapcsolatos részletes információkat a tájékoztató tartalmazza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3329F" w:rsidRDefault="00F3329F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hátrányos, halmozottan hátrányos helyzet tényének megállapítása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1F68A7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 Gyvt. gyermeki jogként fogalmazza meg a hátrányos, halmozottan hátrányos helyzetű gyermek fejlődését hátráltató körülmények leküzdéséhez nyújtott segítséghez és esélyeinek növeléséhez való jogát [Gyvt. 6. § (2a) bekezdés].</w:t>
      </w:r>
      <w:r w:rsidRPr="001F68A7">
        <w:rPr>
          <w:rFonts w:ascii="Times New Roman" w:eastAsia="Calibri" w:hAnsi="Times New Roman" w:cs="Times New Roman"/>
          <w:bCs/>
          <w:i/>
          <w:sz w:val="24"/>
          <w:szCs w:val="24"/>
          <w:lang w:eastAsia="hu-HU"/>
        </w:rPr>
        <w:t xml:space="preserve"> </w:t>
      </w:r>
      <w:r w:rsidRPr="001F68A7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 szabályozás célja a gyermek hátrányainak kompenzálása, esélyeinek növelése koragyerekkortól fiatal koráig, minél sikeresebb társadalmi integrációjának elősegítése érdekében.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1F68A7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 hátrányos, halmozottan hátrányos helyzet szempontjából meghatározó tényezők – a gyermek rendszeres gyermekvédelmi kedvezményre való jogosultságának fennállásán túl – a következők:</w:t>
      </w:r>
    </w:p>
    <w:p w:rsidR="001F68A7" w:rsidRPr="001F68A7" w:rsidRDefault="001F68A7" w:rsidP="001F68A7">
      <w:pPr>
        <w:numPr>
          <w:ilvl w:val="0"/>
          <w:numId w:val="1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8A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a szülő, a családbafogadó gyám alacsony iskolai végzettsége; </w:t>
      </w:r>
    </w:p>
    <w:p w:rsidR="001F68A7" w:rsidRPr="001F68A7" w:rsidRDefault="001F68A7" w:rsidP="001F68A7">
      <w:pPr>
        <w:numPr>
          <w:ilvl w:val="0"/>
          <w:numId w:val="1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68A7">
        <w:rPr>
          <w:rFonts w:ascii="Times New Roman" w:eastAsia="Calibri" w:hAnsi="Times New Roman" w:cs="Times New Roman"/>
          <w:bCs/>
          <w:sz w:val="24"/>
          <w:szCs w:val="24"/>
        </w:rPr>
        <w:t>a szülő, a családbafogadó gyám alacsony foglalkoztatottsága;</w:t>
      </w:r>
    </w:p>
    <w:p w:rsidR="001F68A7" w:rsidRPr="001F68A7" w:rsidRDefault="001F68A7" w:rsidP="001F68A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1F68A7">
        <w:rPr>
          <w:rFonts w:ascii="Times New Roman" w:eastAsia="Calibri" w:hAnsi="Times New Roman" w:cs="Times New Roman"/>
          <w:bCs/>
          <w:sz w:val="24"/>
          <w:szCs w:val="24"/>
        </w:rPr>
        <w:t>az elégtelen lakókörnyezet vagy lakáskörülmények. [Gyvt. 67/A. § (1) bekezdése</w:t>
      </w:r>
      <w:r w:rsidRPr="001F68A7">
        <w:rPr>
          <w:rFonts w:ascii="Calibri" w:eastAsia="Calibri" w:hAnsi="Calibri" w:cs="Times New Roman"/>
          <w:bCs/>
        </w:rPr>
        <w:t xml:space="preserve">] 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alacsony iskolai végzettség azt jelenti, hogy a rendszeres gyermekvédelmi kedvezmény igénylésének időpontjában a gyermeket együtt nevelő mindkét szülő, a gyermeket egyedül nevelő szülő, illetve a gyám legmagasabb iskolai végzettsége alapfokú.</w:t>
      </w:r>
      <w:r w:rsidRPr="001F68A7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Calibri" w:hAnsi="Times New Roman" w:cs="Times New Roman"/>
          <w:sz w:val="24"/>
          <w:szCs w:val="24"/>
          <w:lang w:eastAsia="hu-HU"/>
        </w:rPr>
        <w:t>Az alacsony foglalkoztatottság alatt azt kell érteni, hogy a rendszeres gyermekvédelmi kedvezmény igénylésének időpontjában a gyermeket nevelő szülők bármelyike vagy a családbafogadó gyám a szociális törvény (1993. évi III. tv.) szerinti aktív korúak ellátására (foglalkoztatást helyettesítő támogatásra vagy egészségkárosodási és gyermekfelügyeleti támogatásra) jogosult vagy a kedvezmény igénylésének időpontját megelőző 16 hónapon belül legalább 12 hónapig álláskeresőként tartotta nyilván az állami foglalkoztatási szerv.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Elégtelen lakókörnyezetről, illetve lakáskörülményről akkor beszélhetünk, ha a gyermek szegregátumnak nyilvánított lakókörnyezetben, vagy az eljárás során felvett környezettanulmány szerint félkomfortos, komfort nélküli vagy szükséglakásban, illetve olyan lakáskörülmények között él, ahol korlátozottan biztosítottak az egészséges fejlődéshez szükséges feltételek. 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8A7">
        <w:rPr>
          <w:rFonts w:ascii="Times New Roman" w:eastAsia="Calibri" w:hAnsi="Times New Roman" w:cs="Times New Roman"/>
          <w:b/>
          <w:sz w:val="24"/>
          <w:szCs w:val="24"/>
        </w:rPr>
        <w:t>Hátrányos helyzetű gyermek</w:t>
      </w:r>
      <w:r w:rsidRPr="001F68A7">
        <w:rPr>
          <w:rFonts w:ascii="Times New Roman" w:eastAsia="Calibri" w:hAnsi="Times New Roman" w:cs="Times New Roman"/>
          <w:sz w:val="24"/>
          <w:szCs w:val="24"/>
        </w:rPr>
        <w:t>: az a rendszeres gyermekvédelmi kedvezményre jogosult gyermek, aki esetében a fenti körülmények közül egy fennáll.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8A7">
        <w:rPr>
          <w:rFonts w:ascii="Times New Roman" w:eastAsia="Calibri" w:hAnsi="Times New Roman" w:cs="Times New Roman"/>
          <w:b/>
          <w:sz w:val="24"/>
          <w:szCs w:val="24"/>
        </w:rPr>
        <w:t>Halmozottan hátrányos helyzetű gyermek</w:t>
      </w:r>
      <w:r w:rsidRPr="001F68A7">
        <w:rPr>
          <w:rFonts w:ascii="Times New Roman" w:eastAsia="Calibri" w:hAnsi="Times New Roman" w:cs="Times New Roman"/>
          <w:sz w:val="24"/>
          <w:szCs w:val="24"/>
        </w:rPr>
        <w:t>: az a rendszeres gyermekvédelmi kedvezményre jogosult gyermek, aki esetében a fent részletezett három körülmény közül (alacsony iskolai végzettség; alacsony foglalkoztatottság; elégtelen lakókörnyezet, lakáskörülmény) legalább kettő fennáll.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Calibri" w:hAnsi="Times New Roman" w:cs="Times New Roman"/>
          <w:sz w:val="24"/>
          <w:szCs w:val="24"/>
          <w:lang w:eastAsia="hu-HU"/>
        </w:rPr>
        <w:t>A rendszeres gyermekvédelmi kedvezményre való jogosultság fennállása tehát a hátrányos, halmozottan hátrányos helyzet megállapításának alapfeltétele, ugyanakkor emellett az életminőséget, az iskolai sikerességet általában kedvezőtlenül befolyásoló egyéb hátrányok (zsúfolt lakás, szülők alacsony iskolai végzettsége, munkanélkülisége stb.) fennállásának vizsgálata is szükséges.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8A7">
        <w:rPr>
          <w:rFonts w:ascii="Times New Roman" w:eastAsia="Calibri" w:hAnsi="Times New Roman" w:cs="Times New Roman"/>
          <w:sz w:val="24"/>
          <w:szCs w:val="24"/>
        </w:rPr>
        <w:t>A hátrányos, halmozottan hátrányos helyzet megállapítása iránti eljárás kérelemre indul. A kérelmet elsősorban a szülő, más törvényes képviselő vagy a nagykorú jogosult lakcíme szerint illetékes települési önkormányzat polgármesteri hivatalánál kell benyújtani. (Tekintettel arra, hogy a rendszeres gyermekvédelmi kedvezmény, valamint a hátrányos, halmozottan hátrányos helyzet fennállásának megállapítása iránti kérelem formanyomtatványa együtt szerepel, a hátrányos, halmozottan hátrányos helyzet megállapítása iránti kérelem – kifejezett jogszabályi előírás hiányában is – előterjeszthető a kormányablaknál is.)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8" w:name="_Toc427486683"/>
      <w:bookmarkStart w:id="9" w:name="_Toc427486790"/>
      <w:bookmarkStart w:id="10" w:name="_Toc428280000"/>
      <w:bookmarkStart w:id="11" w:name="_Toc459895801"/>
      <w:r w:rsidRPr="001F68A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gyermekétkeztetés biztosításának kötelezettsége</w:t>
      </w:r>
      <w:bookmarkEnd w:id="8"/>
      <w:bookmarkEnd w:id="9"/>
      <w:bookmarkEnd w:id="10"/>
      <w:bookmarkEnd w:id="11"/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8A7" w:rsidRPr="001F68A7" w:rsidRDefault="001F68A7" w:rsidP="001F68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>A szabályozás</w:t>
      </w:r>
      <w:r w:rsidRPr="001F68A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 w:rsidRPr="001F68A7">
        <w:rPr>
          <w:rFonts w:ascii="Times New Roman" w:eastAsia="Times New Roman" w:hAnsi="Times New Roman" w:cs="Times New Roman"/>
          <w:sz w:val="24"/>
          <w:szCs w:val="24"/>
        </w:rPr>
        <w:t xml:space="preserve"> pontosan meghatározza, hogy a különböző típusú fenntartók milyen módon kötelesek biztosítani a nevelési-oktatási intézménybe járó gyermek számára az étkeztetést: </w:t>
      </w:r>
    </w:p>
    <w:p w:rsidR="001F68A7" w:rsidRPr="001F68A7" w:rsidRDefault="001F68A7" w:rsidP="001F68A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nem állami és egyházi fenntartó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általa fenntartott nevelési-oktatási intézményben, </w:t>
      </w:r>
    </w:p>
    <w:p w:rsidR="001F68A7" w:rsidRPr="001F68A7" w:rsidRDefault="001F68A7" w:rsidP="001F68A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 települési önkormányzat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általa fenntartott óvodában és a közigazgatási területén </w:t>
      </w:r>
      <w:r w:rsidRPr="001F68A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 xml:space="preserve">a tankerületi központ, valamint az állami szakképzési és felnőttképzési szerv által fenntartott nem bentlakásos 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nevelési-oktatási intézményben, </w:t>
      </w:r>
    </w:p>
    <w:p w:rsidR="001F68A7" w:rsidRPr="001F68A7" w:rsidRDefault="001F68A7" w:rsidP="001F68A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fenntartó</w:t>
      </w: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egyéb állami fenntartású intézményben a gyermekek és a tanulók számára 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8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óvodai nevelési napokon, illetve az iskolai tanítási napokon biztosítja a déli meleg főétkezést és a két további étkezést. </w:t>
      </w: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8A7" w:rsidRPr="001F68A7" w:rsidRDefault="001F68A7" w:rsidP="001F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>Ha a gyermek, tanuló bentlakásos (szociális, gyermekvédelmi vagy nevelési-oktatási) intézményben van elhelyezve, abban az esetben a nevelési, iskolai tanítási napokon kívül, valamint a déli meleg főétkezésen és a két további étkezésen felül a gyermekek, tanulók számára az étkeztetést az elhelyezést nyújtó intézmény fenntartójának kell biztosítani.</w:t>
      </w:r>
    </w:p>
    <w:p w:rsidR="001F68A7" w:rsidRPr="001F68A7" w:rsidRDefault="001F68A7" w:rsidP="001F68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 xml:space="preserve">Lényeges hangsúlyozni, hogy fenntartó típusától függetlenül – a szülő eltérő rendelkezése hiányában – a nevelési-oktatási intézménynek napi háromszori étkezést kell biztosítania a gyermekeknek. A szülő jogosult úgy rendelkezni, hogy külön csak az ebédet igényli meg gyermeke számára. A nevelési-oktatási intézmény, a fenntartó azonban nem gyakorolhat nyomást a szülőre olyan módon, hogy a szülő csak az ebédet igényelje meg gyermeke részére. A szülő szabadon rendelkezik arról, hogy a nevelési-oktatási intézmény a déli meleg főétkezésen kívül a két kisétkezést (jellemzően a tízórait és uzsonnát) is biztosítsa-e a gyermeke számára. A szülő szabad döntését a nevelési-oktatási intézmény semmilyen módon nem befolyásolhatja. </w:t>
      </w:r>
    </w:p>
    <w:p w:rsidR="001F68A7" w:rsidRPr="001F68A7" w:rsidRDefault="001F68A7" w:rsidP="001F68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sz w:val="24"/>
          <w:szCs w:val="24"/>
        </w:rPr>
        <w:t>Ezen túlmenően a Gyvt. lehetővé teszi, hogy iskolai étkeztetésben, azaz napi háromszori étkeztetésben részesüljön az a tanuló is, aki a napközit nem veszi igénybe.</w:t>
      </w:r>
    </w:p>
    <w:p w:rsidR="001F68A7" w:rsidRPr="001F68A7" w:rsidRDefault="001F68A7" w:rsidP="001F68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F68A7">
        <w:rPr>
          <w:rFonts w:ascii="Times New Roman" w:eastAsia="Times New Roman" w:hAnsi="Times New Roman" w:cs="Times New Roman"/>
          <w:bCs/>
          <w:sz w:val="24"/>
          <w:szCs w:val="24"/>
        </w:rPr>
        <w:t xml:space="preserve">A gyermekétkeztetés intézmény térítési díjának alapja az élelmezés nyersanyagköltségének egy ellátottra jutó napi összege. A személyi térítési díjat az intézményvezető a napi összeg általános forgalmi adóval növelt összegének és az igénybe vett étkezések számának, valamint a normatív kedvezményeknek a figyelembevételével állapítja meg. </w:t>
      </w:r>
    </w:p>
    <w:p w:rsidR="007D3537" w:rsidRDefault="007D3537"/>
    <w:sectPr w:rsidR="007D3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89C" w:rsidRDefault="0036789C" w:rsidP="001F68A7">
      <w:pPr>
        <w:spacing w:after="0" w:line="240" w:lineRule="auto"/>
      </w:pPr>
      <w:r>
        <w:separator/>
      </w:r>
    </w:p>
  </w:endnote>
  <w:endnote w:type="continuationSeparator" w:id="0">
    <w:p w:rsidR="0036789C" w:rsidRDefault="0036789C" w:rsidP="001F6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D7" w:rsidRDefault="004C35D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42435"/>
      <w:docPartObj>
        <w:docPartGallery w:val="Page Numbers (Bottom of Page)"/>
        <w:docPartUnique/>
      </w:docPartObj>
    </w:sdtPr>
    <w:sdtEndPr/>
    <w:sdtContent>
      <w:p w:rsidR="004C35D7" w:rsidRDefault="004C35D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DFA">
          <w:rPr>
            <w:noProof/>
          </w:rPr>
          <w:t>7</w:t>
        </w:r>
        <w:r>
          <w:fldChar w:fldCharType="end"/>
        </w:r>
      </w:p>
    </w:sdtContent>
  </w:sdt>
  <w:p w:rsidR="004C35D7" w:rsidRDefault="004C35D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D7" w:rsidRDefault="004C35D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89C" w:rsidRDefault="0036789C" w:rsidP="001F68A7">
      <w:pPr>
        <w:spacing w:after="0" w:line="240" w:lineRule="auto"/>
      </w:pPr>
      <w:r>
        <w:separator/>
      </w:r>
    </w:p>
  </w:footnote>
  <w:footnote w:type="continuationSeparator" w:id="0">
    <w:p w:rsidR="0036789C" w:rsidRDefault="0036789C" w:rsidP="001F68A7">
      <w:pPr>
        <w:spacing w:after="0" w:line="240" w:lineRule="auto"/>
      </w:pPr>
      <w:r>
        <w:continuationSeparator/>
      </w:r>
    </w:p>
  </w:footnote>
  <w:footnote w:id="1">
    <w:p w:rsidR="001F68A7" w:rsidRDefault="001F68A7" w:rsidP="001F68A7">
      <w:pPr>
        <w:pStyle w:val="Lbjegyzetszveg"/>
      </w:pPr>
      <w:r>
        <w:rPr>
          <w:rStyle w:val="Lbjegyzet-hivatkozs"/>
        </w:rPr>
        <w:footnoteRef/>
      </w:r>
      <w:r>
        <w:t xml:space="preserve"> A bölcsődei étkezés esetén is. </w:t>
      </w:r>
    </w:p>
  </w:footnote>
  <w:footnote w:id="2">
    <w:p w:rsidR="001F68A7" w:rsidRDefault="001F68A7" w:rsidP="001F68A7">
      <w:pPr>
        <w:pStyle w:val="Lbjegyzetszveg"/>
      </w:pPr>
      <w:r w:rsidRPr="008B496D">
        <w:rPr>
          <w:rStyle w:val="Lbjegyzet-hivatkozs"/>
        </w:rPr>
        <w:footnoteRef/>
      </w:r>
      <w:r w:rsidRPr="008B496D">
        <w:t xml:space="preserve"> A </w:t>
      </w:r>
      <w:r>
        <w:t>Gyvt.</w:t>
      </w:r>
      <w:r w:rsidRPr="008B496D">
        <w:t xml:space="preserve"> </w:t>
      </w:r>
      <w:r>
        <w:t>21/A. § (3)</w:t>
      </w:r>
      <w:r w:rsidRPr="008B496D">
        <w:t xml:space="preserve"> bekezdése.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D7" w:rsidRDefault="004C35D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D7" w:rsidRDefault="004C35D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D7" w:rsidRDefault="004C35D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4DA"/>
    <w:multiLevelType w:val="hybridMultilevel"/>
    <w:tmpl w:val="B9DE1C0C"/>
    <w:lvl w:ilvl="0" w:tplc="739CCB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0611B"/>
    <w:multiLevelType w:val="hybridMultilevel"/>
    <w:tmpl w:val="3E5A8612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595F"/>
    <w:multiLevelType w:val="hybridMultilevel"/>
    <w:tmpl w:val="BE3A2FD6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F2D385D"/>
    <w:multiLevelType w:val="hybridMultilevel"/>
    <w:tmpl w:val="2834B8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4046C4"/>
    <w:multiLevelType w:val="hybridMultilevel"/>
    <w:tmpl w:val="E6389B30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357EA"/>
    <w:multiLevelType w:val="hybridMultilevel"/>
    <w:tmpl w:val="CAFA9768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12CF5"/>
    <w:multiLevelType w:val="hybridMultilevel"/>
    <w:tmpl w:val="DDC42404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75B8B"/>
    <w:multiLevelType w:val="hybridMultilevel"/>
    <w:tmpl w:val="4044BA72"/>
    <w:lvl w:ilvl="0" w:tplc="A03CA93A">
      <w:start w:val="1"/>
      <w:numFmt w:val="bullet"/>
      <w:lvlText w:val=""/>
      <w:lvlJc w:val="left"/>
      <w:pPr>
        <w:tabs>
          <w:tab w:val="num" w:pos="924"/>
        </w:tabs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8">
    <w:nsid w:val="4916075D"/>
    <w:multiLevelType w:val="hybridMultilevel"/>
    <w:tmpl w:val="4EB86D3A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AD3338E"/>
    <w:multiLevelType w:val="hybridMultilevel"/>
    <w:tmpl w:val="24C4C452"/>
    <w:lvl w:ilvl="0" w:tplc="A03CA93A">
      <w:start w:val="1"/>
      <w:numFmt w:val="bullet"/>
      <w:lvlText w:val="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">
    <w:nsid w:val="52501DEF"/>
    <w:multiLevelType w:val="hybridMultilevel"/>
    <w:tmpl w:val="11D466F2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427231"/>
    <w:multiLevelType w:val="hybridMultilevel"/>
    <w:tmpl w:val="7E8086F8"/>
    <w:lvl w:ilvl="0" w:tplc="03DE96B6">
      <w:start w:val="2014"/>
      <w:numFmt w:val="bullet"/>
      <w:lvlText w:val="-"/>
      <w:lvlJc w:val="left"/>
      <w:pPr>
        <w:tabs>
          <w:tab w:val="num" w:pos="985"/>
        </w:tabs>
        <w:ind w:left="985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2">
    <w:nsid w:val="6F876916"/>
    <w:multiLevelType w:val="hybridMultilevel"/>
    <w:tmpl w:val="60A87AC6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B044CC"/>
    <w:multiLevelType w:val="hybridMultilevel"/>
    <w:tmpl w:val="FB70BE58"/>
    <w:lvl w:ilvl="0" w:tplc="A03CA93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3"/>
  </w:num>
  <w:num w:numId="5">
    <w:abstractNumId w:val="13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2"/>
  </w:num>
  <w:num w:numId="11">
    <w:abstractNumId w:val="12"/>
  </w:num>
  <w:num w:numId="12">
    <w:abstractNumId w:val="0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A7"/>
    <w:rsid w:val="00005069"/>
    <w:rsid w:val="00136900"/>
    <w:rsid w:val="001A3B85"/>
    <w:rsid w:val="001F68A7"/>
    <w:rsid w:val="0036789C"/>
    <w:rsid w:val="00460DF3"/>
    <w:rsid w:val="00471126"/>
    <w:rsid w:val="00485AA5"/>
    <w:rsid w:val="004C35D7"/>
    <w:rsid w:val="00664C56"/>
    <w:rsid w:val="007D3537"/>
    <w:rsid w:val="00974769"/>
    <w:rsid w:val="00A94DFA"/>
    <w:rsid w:val="00B24DFA"/>
    <w:rsid w:val="00C00EA1"/>
    <w:rsid w:val="00C43597"/>
    <w:rsid w:val="00C577F1"/>
    <w:rsid w:val="00CB7271"/>
    <w:rsid w:val="00F3329F"/>
    <w:rsid w:val="00F4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1F68A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F68A7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1F68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F68A7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F68A7"/>
    <w:rPr>
      <w:rFonts w:ascii="Times New Roman" w:eastAsia="Times New Roman" w:hAnsi="Times New Roman" w:cs="Times New Roman"/>
      <w:bCs/>
      <w:sz w:val="20"/>
      <w:szCs w:val="20"/>
      <w:lang w:eastAsia="hu-HU"/>
    </w:rPr>
  </w:style>
  <w:style w:type="character" w:styleId="Lbjegyzet-hivatkozs">
    <w:name w:val="footnote reference"/>
    <w:aliases w:val="Footnote symbol"/>
    <w:basedOn w:val="Bekezdsalapbettpusa"/>
    <w:uiPriority w:val="99"/>
    <w:rsid w:val="001F68A7"/>
    <w:rPr>
      <w:rFonts w:cs="Times New Roman"/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68A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C3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35D7"/>
  </w:style>
  <w:style w:type="paragraph" w:styleId="llb">
    <w:name w:val="footer"/>
    <w:basedOn w:val="Norml"/>
    <w:link w:val="llbChar"/>
    <w:uiPriority w:val="99"/>
    <w:unhideWhenUsed/>
    <w:rsid w:val="004C3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35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1F68A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F68A7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1F68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F68A7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F68A7"/>
    <w:rPr>
      <w:rFonts w:ascii="Times New Roman" w:eastAsia="Times New Roman" w:hAnsi="Times New Roman" w:cs="Times New Roman"/>
      <w:bCs/>
      <w:sz w:val="20"/>
      <w:szCs w:val="20"/>
      <w:lang w:eastAsia="hu-HU"/>
    </w:rPr>
  </w:style>
  <w:style w:type="character" w:styleId="Lbjegyzet-hivatkozs">
    <w:name w:val="footnote reference"/>
    <w:aliases w:val="Footnote symbol"/>
    <w:basedOn w:val="Bekezdsalapbettpusa"/>
    <w:uiPriority w:val="99"/>
    <w:rsid w:val="001F68A7"/>
    <w:rPr>
      <w:rFonts w:cs="Times New Roman"/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68A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C3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35D7"/>
  </w:style>
  <w:style w:type="paragraph" w:styleId="llb">
    <w:name w:val="footer"/>
    <w:basedOn w:val="Norml"/>
    <w:link w:val="llbChar"/>
    <w:uiPriority w:val="99"/>
    <w:unhideWhenUsed/>
    <w:rsid w:val="004C3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3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2477</Words>
  <Characters>17093</Characters>
  <Application>Microsoft Office Word</Application>
  <DocSecurity>0</DocSecurity>
  <Lines>142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Herceg Dóra</dc:creator>
  <cp:lastModifiedBy>Herceg Dóra</cp:lastModifiedBy>
  <cp:revision>9</cp:revision>
  <dcterms:created xsi:type="dcterms:W3CDTF">2017-08-14T08:50:00Z</dcterms:created>
  <dcterms:modified xsi:type="dcterms:W3CDTF">2017-08-15T09:50:00Z</dcterms:modified>
</cp:coreProperties>
</file>