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Európai Uniós támogatással megvalósuló fejlesztések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Az Európai Unió 2014 és 2020 közötti hétéves költségvetési keretéből jelentős fejlesztési források érkeznek Magyarországra. A vonatkozó uniós jogszabályok szerint a tagállamok – ezáltal Magyarország – számára átadott forrásokat a fejlesztési programokban rögzítettek szerint kell felhasználni. E programokat Magyarország tervezi meg, végrehajtásuk az EU Bizottságával való egyeztetést követően indulhat. Az EU szintű célokat az Európa 2020 stratégia, valamint a belőle levezetett ún. 11 tematikus célkitűzés jelöli ki. A köznevelési ágazat fejlesztéseit a „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/>
        </w:rPr>
        <w:t>10. Befektetés az oktatásba, a képzésbe és az élethosszig tartó tanulásba”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című tematikus célkitűzés és az Emberi Erőforrás Fejlesztési Operatív Program (EFOP) támogatja.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Az oktatási ágazathoz kapcsolódó konstrukciókat az Emberi Erőforrás Fejlesztési Operatív Program éves fejlesztési keretének megállapításáról szóló 1037/2016. (II. 9.) Korm. határozat nevesíti. A 2014–2020-as programozási időszakban tervezett, köznevelési szakterületet érintő főbb EFOP konstrukciók az alábbiak.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Tartalom- és módszertani fejlesztések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EFOP-1.4.4-17 BARI SHEJ - NAGYLÁNY-FÁTĂ MÁRÉ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a hátrányokkal küzdő roma lányok iskolai lemorzsolódásának csökkentését, valamint ehhez kapcsolódóan a továbbtanulási esélyeik növelését célozza.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az alábbi linken érhető el: </w:t>
      </w:r>
    </w:p>
    <w:p w:rsidR="00E3687F" w:rsidRPr="00E3687F" w:rsidRDefault="00803DA8" w:rsidP="00E36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8" w:history="1">
        <w:r w:rsidR="00E3687F" w:rsidRPr="00E368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www.palyazat.gov.hu/efop-144-17-bari-shej-nagylny-ft-mr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EFOP-3.1.2 – 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pedagógusok módszertani felkészítése a végzettség nélküli iskolaelhagyás megelőzése érdekében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célja a pedagógusok képzése és felkészítése a végzettség nélküli iskolaelhagyás hatékony kezelése és megelőzése érdekében alkalmazható módszertani ismeretek elsajátítására, ezáltal hozzájárulva a lemorzsolódás szempontjából veszélyeztetett tanulói csoportok iskolai sikerességének elősegítéséhez. A projekt céljait az alábbi beavatkozások szolgálják:</w:t>
      </w:r>
    </w:p>
    <w:p w:rsidR="00E3687F" w:rsidRPr="00E3687F" w:rsidRDefault="00E3687F" w:rsidP="00E3687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a lemorzsolódás megelőzésére alkalmas, tanulást támogató pedagógiai módszerek kidolgozása, és országos elterjesztése az alapfokú oktatásban résztvevők számára; </w:t>
      </w:r>
    </w:p>
    <w:p w:rsidR="00E3687F" w:rsidRPr="00E3687F" w:rsidRDefault="00E3687F" w:rsidP="00E3687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kidolgozott pedagógiai módszer alkalmazásának elősegítését szolgáló pedagógusképzési tartalmak megújítása, valamint</w:t>
      </w:r>
      <w:r w:rsidR="00830B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3687F">
        <w:rPr>
          <w:rFonts w:ascii="Times New Roman" w:eastAsia="Calibri" w:hAnsi="Times New Roman" w:cs="Times New Roman"/>
          <w:bCs/>
          <w:sz w:val="24"/>
          <w:szCs w:val="24"/>
        </w:rPr>
        <w:t>pedagógus továbbképzések.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0725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konstrukció keretében </w:t>
      </w:r>
      <w:r w:rsidR="000725FC" w:rsidRPr="000725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pedagógusok </w:t>
      </w:r>
      <w:r w:rsidRPr="000725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várhatóan </w:t>
      </w:r>
      <w:r w:rsidR="000725FC" w:rsidRPr="000725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országosan </w:t>
      </w:r>
      <w:r w:rsidRPr="000725F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kapnak felkészítést a befogadó,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komplex nevelési módszer alkalmazására.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9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https://www.oktatas.hu/kozneveles/projektek/efop312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EFOP-3.1.5 – 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tanulói lemorzsolódással veszélyeztetett intézmények támogatása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célja az országos kompetencia-méréseken alulteljesítő köznevelési intézmények minőségi köznevelés nyújtásához szükséges komplex fejlesztése, valamint a lemorzsolódás szempontjából veszélyeztetett tanulói csoportok iskolai sikerességének elősegítése. A projekt hozzájárul a köznevelés hátránykompenzációs és esélyteremtő képességének növeléséhez, a minőségi oktatáshoz való hozzáférés javításához, az oktatási egyenlőtlenségek csökkentéséhez. A projekt céljait az alábbi beavatkozások szolgálják:</w:t>
      </w:r>
    </w:p>
    <w:p w:rsidR="00E3687F" w:rsidRPr="00E3687F" w:rsidRDefault="00E3687F" w:rsidP="00E3687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az iskolák támogatása a saját intézményi szintű intézkedési tervük készítésében/fejlesztésében és megvalósításában;</w:t>
      </w:r>
    </w:p>
    <w:p w:rsidR="00E3687F" w:rsidRPr="00E3687F" w:rsidRDefault="00E3687F" w:rsidP="00E3687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intézményvezetők, pedagógusok módszertani felkészültségének támogatása;</w:t>
      </w:r>
    </w:p>
    <w:p w:rsidR="00E3687F" w:rsidRPr="00E3687F" w:rsidRDefault="00E3687F" w:rsidP="00E3687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területi támogató rendszer minőségének és kapacitásának fejlesztése;</w:t>
      </w:r>
    </w:p>
    <w:p w:rsidR="00E3687F" w:rsidRPr="00E3687F" w:rsidRDefault="00E3687F" w:rsidP="00E3687F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helyi intézmények, </w:t>
      </w:r>
      <w:proofErr w:type="spellStart"/>
      <w:r w:rsidRPr="00E3687F">
        <w:rPr>
          <w:rFonts w:ascii="Times New Roman" w:eastAsia="Calibri" w:hAnsi="Times New Roman" w:cs="Times New Roman"/>
          <w:bCs/>
          <w:sz w:val="24"/>
          <w:szCs w:val="24"/>
        </w:rPr>
        <w:t>feladatellátási</w:t>
      </w:r>
      <w:proofErr w:type="spellEnd"/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 helyek fejlesztését támogató általános módszertani, valamint szaktárgyi, szakmacsoportonkénti folyamat-tanácsadás.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10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https://www.oktatas.hu/kozneveles/projektek/efop315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EFOP-3.1.6 - A köznevelés esélyteremtő szerepének erősítése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célja a súlyos és halmozottan fogyatékos gyermekeket ellátó intézmények szakmai fejlesztésének támogatása, a családok kompetenciáinak erősítése, a társadalmi elfogadás elősegítése, valamint a pedagógiai szakszolgálati intézmények és utazó gyógypedagógusi, utazó konduktori hálózatok fejlesztése. A felhívás átfogó céljait az alábbi részcélok szolgálják:</w:t>
      </w:r>
    </w:p>
    <w:p w:rsidR="00E3687F" w:rsidRPr="00E3687F" w:rsidRDefault="00E3687F" w:rsidP="00E3687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a súlyos és halmozottan fogyatékos gyermekeket ellátó intézmények szakmai fejlesztése; </w:t>
      </w:r>
    </w:p>
    <w:p w:rsidR="00E3687F" w:rsidRPr="00E3687F" w:rsidRDefault="00E3687F" w:rsidP="00E3687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a minőségi pedagógiai szakszolgáltatásokhoz való hozzáférés javítása, a szakszolgálati ellátásban tapasztalható területi egyenlőtlenségek csökkentése; </w:t>
      </w:r>
    </w:p>
    <w:p w:rsidR="00E3687F" w:rsidRPr="00E3687F" w:rsidRDefault="00E3687F" w:rsidP="00E3687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az utazó gyógypedagógusi, utazó konduktori hálózat szakmai fejlesztése.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projekt pályázati felhívása a </w:t>
      </w:r>
      <w:hyperlink r:id="rId11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EFOP-3.1.7– Esélyteremtés a köznevelésben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A projekt célja a köznevelési intézményekben az esélyteremtő nevelést lehetővé tevő módszertani kultúra fejlesztése: komplex, helyi viszonyokra reagáló, gyakorlatközpontú intézmény- és szolgáltatásfejlesztés, valamint szolgáltatási tartalomfejlesztés megvalósítása a már meglévő ismeretek, tapasztalatok, módszertani háttér, képzések és emberi erőforrás alkalmazásával a befogadó oktatás megteremtése érdekében. Emellett a projekt végzi a tanoda, második esély valamint a Roma lányok továbbtanulási esélyinek növelése programok szakmai támogatását.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Kiemelt cél a leszakadó közegben működő, hátrányos és halmozottan hátrányos helyzetű gyermekeket/tanulókat nagy létszámban nevelő-oktató, országos méréseken alulteljesítő köznevelési intézményekben </w:t>
      </w:r>
    </w:p>
    <w:p w:rsidR="00E3687F" w:rsidRPr="00E3687F" w:rsidRDefault="00E3687F" w:rsidP="00E3687F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az esélyteremtő nevelést-oktatást lehetővé tevő módszertani kultúra kialakítása, megerősítése;</w:t>
      </w:r>
    </w:p>
    <w:p w:rsidR="00E3687F" w:rsidRPr="00E3687F" w:rsidRDefault="00E3687F" w:rsidP="00E3687F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megindult fejlesztések intézményi, szakmakörnyezeti beágyazódásának elősegítése, megerősítése, kiterjesztése;</w:t>
      </w:r>
    </w:p>
    <w:p w:rsidR="00E3687F" w:rsidRPr="00E3687F" w:rsidRDefault="00E3687F" w:rsidP="00E3687F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esélyteremtő módszertant alkalmazó köznevelési intézmények gyakorlóintézménnyé válásának támogatása.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12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https://www.oktatas.hu/kozneveles/projektek/efop317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EFOP-3.1.9.-17 - Iskolapad újratöltve – Második esély programok támogatása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A projekt célja </w:t>
      </w: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középfokú végzettséggel nem rendelkező, tanköteles koron túli, köznevelés rendszeréből lemorzsolódott fiatalok középfokú tanulmányokba való visszavezetése, érettségi bizonyítvány, szakképesítés megszerzésének támogatása.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pályázati felhívás az alábbi linken érhető el: </w:t>
      </w:r>
      <w:hyperlink r:id="rId13" w:history="1">
        <w:r w:rsidRPr="00E368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https://www.palyazat.gov.hu/efop-319-16-iskolapad-jratltve-msodik-esly-programok-tmogatsa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Közép-magyarországi régióra vonatkozó felhívás megjelenése hamarosan várható a </w:t>
      </w:r>
      <w:hyperlink r:id="rId14" w:history="1">
        <w:r w:rsidRPr="00E3687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hu-HU"/>
          </w:rPr>
          <w:t>https://www.palyazat.gov.hu/doc/4385</w:t>
        </w:r>
      </w:hyperlink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oldalon.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EFOP-3.1.10.-17 - </w:t>
      </w:r>
      <w:r w:rsidRPr="00E368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„Lépj egy fokkal feljebb! - Továbbtanulást erősítő kezdeményezések támogatása”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>A konstrukció alapvető célja elsősorban a középfokú végzettséget megszerző hátrányos és halmozottan hátrányos helyzetű tanulók számának és arányának növelése, továbbá a felsőoktatásba vezető út megerősítése.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az alábbi linken érhető el: </w:t>
      </w:r>
      <w:hyperlink r:id="rId15" w:history="1">
        <w:r w:rsidRPr="00E368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https://www.palyazat.gov.hu/efop-3110-16-lpj-egy-fokkal-feljebb-tovbbtanulst-erst-kezdemnyezsek-tmogatsa-1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EFOP-3.2.2-VEKOP/15 – 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köznevelés tartalmi szabályozóinak megfelelő tankönyvek, taneszközök fejlesztése és digitális tartalomfejlesztés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projekt célja a TÁMOP-3.1.2-B/13 azonosítószámú kiemelt konstrukció keretében elkészített tankönyvek iskolai kipróbálásának folytatása, hatékonyságuk és használhatóságuk gyakorlati tapasztalatokon alapuló ellenőrzése, valamint ezek alapján a tankönyvek javítása, átdolgozása, illetve a tankönyvek eredményes használatát elősegítő tanári segédanyagok készítése. A konstrukció céljai között szerepel az NKP továbbfejlesztése, digitális tartalomszolgáltatások biztosítása és a köznevelési digitális tartalmakra vonatkozó fejlesztések eredményeinek </w:t>
      </w:r>
      <w:proofErr w:type="spellStart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NKP-n</w:t>
      </w:r>
      <w:proofErr w:type="spellEnd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való megjelenítése is.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16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http://ofi.hu/efop-322-vekop-15-2016-00001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EFOP-3.2.3-17 – Digitális környezet a köznevelésben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projekt célja digitális pedagógiai módszertani csomagokra épülő pilot programok megvalósítása, amelyek elterjeszthetőek a teljes köznevelési rendszerben a pedagógusok digitális felkészültségének, módszertani kultúrájának növelése, a mindennapi pedagógiai munka során az </w:t>
      </w:r>
      <w:r w:rsidR="00D1086B" w:rsidRPr="00D108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információs és kommunikációs technológiai </w:t>
      </w:r>
      <w:proofErr w:type="gramStart"/>
      <w:r w:rsidR="00D1086B" w:rsidRPr="00D108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eszközök</w:t>
      </w:r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proofErr w:type="gramEnd"/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továbbiakban: </w:t>
      </w:r>
      <w:r w:rsidR="00D1086B"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IKT</w:t>
      </w:r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r w:rsidR="00D1086B"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használat erősítése és elsősorban a digitális és egyéb kulcskompetenciák hatékonyabb fejlesztése érdekében. A projekt részcéljai: </w:t>
      </w:r>
    </w:p>
    <w:p w:rsidR="00E3687F" w:rsidRPr="00E3687F" w:rsidRDefault="00E3687F" w:rsidP="00E3687F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Calibri" w:eastAsia="Calibri" w:hAnsi="Calibri" w:cs="Times New Roman"/>
          <w:bCs/>
        </w:rPr>
        <w:t xml:space="preserve">a </w:t>
      </w:r>
      <w:r w:rsidRPr="00E3687F">
        <w:rPr>
          <w:rFonts w:ascii="Times New Roman" w:eastAsia="Calibri" w:hAnsi="Times New Roman" w:cs="Times New Roman"/>
          <w:bCs/>
          <w:sz w:val="24"/>
          <w:szCs w:val="24"/>
        </w:rPr>
        <w:t>digitális pedagógiai módszertanok komplex, intézményi szintű fejlesztése a pedagógusok képzésével, támogató eszközök bevezetésével és beválás-vizsgálatával, illetve a nemzetközileg bevált eszközrendszerek meghonosítása és kísérleti jellegű bevezetése;</w:t>
      </w:r>
    </w:p>
    <w:p w:rsidR="00E3687F" w:rsidRPr="00E3687F" w:rsidRDefault="00E3687F" w:rsidP="00E3687F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tanulók matematikai, szövegértési, digitális és természettudományos, valamint problémamegoldó és kreatív kompetenciáinak fejlesztése;</w:t>
      </w:r>
    </w:p>
    <w:p w:rsidR="00E3687F" w:rsidRPr="00E3687F" w:rsidRDefault="00E3687F" w:rsidP="00E3687F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a DOS-ban foglalt fejlesztési célok (a pedagógusok IKT tudása, módszertani kultúrája, motivációja; </w:t>
      </w:r>
      <w:proofErr w:type="spellStart"/>
      <w:r w:rsidRPr="00E3687F">
        <w:rPr>
          <w:rFonts w:ascii="Times New Roman" w:eastAsia="Calibri" w:hAnsi="Times New Roman" w:cs="Times New Roman"/>
          <w:bCs/>
          <w:sz w:val="24"/>
          <w:szCs w:val="24"/>
        </w:rPr>
        <w:t>IKT-eszközök</w:t>
      </w:r>
      <w:proofErr w:type="spellEnd"/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 használatának beépülése a tanítás-tanulás és az értékelés folyamatába; internet- és eszközellátottság; IT biztonság, esélyegyenlőség; oktatás adminisztrációs szolgáltatások) megvalósítása;</w:t>
      </w:r>
    </w:p>
    <w:p w:rsidR="00E3687F" w:rsidRPr="00E3687F" w:rsidRDefault="00E3687F" w:rsidP="00E3687F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pilot programot megvalósító intézményekben a digitális környezeti fejlesztések hozzáférhetővé, akadálymentessé tétele, kiemelten a fogyatékossággal élő, a sajátos nevelési igényű és a beilleszkedési, tanulási és magatartási nehézséggel küzdő tanulók számára.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17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http://dpmk.hu/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EFOP-3.2.4-16 – Digitális kompetencia fejlesztése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célja a minőségi és méltányos köznevelési rendszer kialakítása és a munkaerőpiacon/felsőoktatásban/egész életen át tartó tanulásban való sikeres részvétel elősegítése a társadalom és a munkaerőpiac által elvárt digitális kompetenciák elsajátításának támogatásán keresztül. A projekt részcéljai:</w:t>
      </w:r>
    </w:p>
    <w:p w:rsidR="00E3687F" w:rsidRPr="00E3687F" w:rsidRDefault="00E3687F" w:rsidP="00E3687F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korszerű informatikai infrastruktúra és vezeték nélküli hálózat biztosítása a tankerületi központok által fenntartott köznevelési intézmények számára;</w:t>
      </w:r>
    </w:p>
    <w:p w:rsidR="00E3687F" w:rsidRPr="00E3687F" w:rsidRDefault="00E3687F" w:rsidP="00E3687F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pedagógusok tanórai IKT eszközhasználatának támogatása IKT eszközök biztosításával;</w:t>
      </w:r>
    </w:p>
    <w:p w:rsidR="00E3687F" w:rsidRPr="00E3687F" w:rsidRDefault="00E3687F" w:rsidP="00E3687F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>a tanulók digitális kompetenciáinak fejlesztése, különösen a matematikai, természettudományos, informatikai és műszaki pályákra való felkészüléshez szükséges keretek biztosítása;</w:t>
      </w:r>
    </w:p>
    <w:p w:rsidR="00E3687F" w:rsidRPr="00E3687F" w:rsidRDefault="00E3687F" w:rsidP="00E3687F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korszerű pedagógiai módszerek szerinti tanítási-tanulási folyamat támogatása a tankerületi központok által fenntartott köznevelési intézmények </w:t>
      </w:r>
      <w:proofErr w:type="spellStart"/>
      <w:r w:rsidRPr="00E3687F">
        <w:rPr>
          <w:rFonts w:ascii="Times New Roman" w:eastAsia="Calibri" w:hAnsi="Times New Roman" w:cs="Times New Roman"/>
          <w:bCs/>
          <w:sz w:val="24"/>
          <w:szCs w:val="24"/>
        </w:rPr>
        <w:t>WiFi</w:t>
      </w:r>
      <w:proofErr w:type="spellEnd"/>
      <w:r w:rsidRPr="00E3687F">
        <w:rPr>
          <w:rFonts w:ascii="Times New Roman" w:eastAsia="Calibri" w:hAnsi="Times New Roman" w:cs="Times New Roman"/>
          <w:bCs/>
          <w:sz w:val="24"/>
          <w:szCs w:val="24"/>
        </w:rPr>
        <w:t xml:space="preserve"> lefedettségének biztosításával.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hyperlink r:id="rId18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http://kk.gov.hu/efop-3-2-4-16-2016-00001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EFOP-3.2.15-VEKOP-17 – 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köznevelés keretrendszeréhez kapcsolódó mérési-értékelési és digitális fejlesztések, innovatív oktatásszervezési eljárások kialakítása, megújítása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célja a digitális pedagógia támogatása, ennek keretében a modern digitális pedagógiai kultúra elterjesztése, a digitális tanulási és tanítási környezet fejlesztésének támogatása tartalom- és módszertan-fejlesztéssel annak érdekében, hogy növekedjen a köznevelésben részt vevők digitális írástudásának szintje. A projekt a köznevelés keretrendszeréhez kapcsolódó mérés-értékelési és digitális fejlesztések, innovatív oktatásszervezési eljárások kialakítása, megújítása mellett olyan komplex nevelési-oktatási programokat is támogat, mint például a témahetek megvalósítása, illetve a tanítási éven kívüli tematikus informális és nem formális tanulási alkalmak, programok fejlesztése.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projekt pályázati felhívása a </w:t>
      </w:r>
      <w:hyperlink r:id="rId19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EFOP-3.2.5 – Pályaorientáció, kiemelten az MTMI készségek és kompetenciák fejlesztése a köznevelés rendszerében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célja a pályaorientáció megerősítése a köznevelési intézményrendszerben, különös tekintettel a matematikai, természettudományos, műszaki és informatikai pályák (MTMI) választásának népszerűsítésére és ahhoz kapcsolódó kompetenciák fejlesztésére.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felhívás részcéljai: </w:t>
      </w:r>
    </w:p>
    <w:p w:rsidR="00E3687F" w:rsidRPr="00E3687F" w:rsidRDefault="00E3687F" w:rsidP="00E3687F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tudatos felnőttkori életpálya-építés és a majdani sikeres munkaerő-piaci részvétel megalapozása, az ehhez szükséges készségek elsajátításának, és így a köznevelés eredményességének, hatékonyságának és hátránykompenzáló szerepének javítása érdekében;</w:t>
      </w:r>
    </w:p>
    <w:p w:rsidR="00E3687F" w:rsidRPr="00E3687F" w:rsidRDefault="00E3687F" w:rsidP="00E3687F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a tanulók pályaorientációs kompetenciafejlesztése, kiemelten fókuszálva az MTMI területek népszerűségének növelésére a köznevelés intézményrendszerében; </w:t>
      </w:r>
    </w:p>
    <w:p w:rsidR="00E3687F" w:rsidRPr="00E3687F" w:rsidRDefault="00E3687F" w:rsidP="00E3687F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 xml:space="preserve">a pedagógusok és a pályaorientációs feladatellátásban érintett köznevelési szakemberek pályaorientációs célú felkészültségének támogatása.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pályázati felhívása a </w:t>
      </w:r>
      <w:hyperlink r:id="rId20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EFOP-3.2.6 – 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tanulók képességkibontakoztatásának elősegítése a köznevelési intézményekben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projekt célja a köznevelési intézmények művészetpedagógiai módszertani megújítása és művészeti eszköztárának bővítése, a méltányos és minőségi oktatáshoz való egyenlő hozzáférés biztosítása, valamint a köznevelés eredményességének, hatékonyságának erősítése érdekében.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felhívás részcéljai:</w:t>
      </w:r>
    </w:p>
    <w:p w:rsidR="00E3687F" w:rsidRPr="00E3687F" w:rsidRDefault="00E3687F" w:rsidP="00E3687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köznevelési intézmények művészetpedagógiai módszertani megújítása (beleértve a hátrányos helyzetű tanulók számára az alap- és középfokú művészetoktatásban való részvételt elősegítő módszertani fejlesztések megvalósítását);</w:t>
      </w:r>
    </w:p>
    <w:p w:rsidR="00E3687F" w:rsidRPr="00E3687F" w:rsidRDefault="00E3687F" w:rsidP="00E3687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pedagógusok felkészítése az új módszertan adaptálására;</w:t>
      </w:r>
    </w:p>
    <w:p w:rsidR="00E3687F" w:rsidRPr="00E3687F" w:rsidRDefault="00E3687F" w:rsidP="00E3687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művészetpedagógiai munka támogatása;</w:t>
      </w:r>
    </w:p>
    <w:p w:rsidR="00E3687F" w:rsidRPr="00E3687F" w:rsidRDefault="00E3687F" w:rsidP="00E3687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köznevelési intézmények hálózatosodásának támogatása;</w:t>
      </w:r>
    </w:p>
    <w:p w:rsidR="00E3687F" w:rsidRPr="00E3687F" w:rsidRDefault="00E3687F" w:rsidP="00E3687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a köznevelési intézmények művészeti eszköztárának megújítása.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projektről további információk az alábbi oldalon olvashatók:</w:t>
      </w:r>
    </w:p>
    <w:p w:rsidR="00E3687F" w:rsidRPr="00E3687F" w:rsidRDefault="00803DA8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1" w:history="1">
        <w:r w:rsidR="00E3687F"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http://www.mtf.hu/index.php?id=1496915406</w:t>
        </w:r>
      </w:hyperlink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Tanoda program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8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EFOP 3.3.1-15, EFOP 3.3.1-16 és VEKOP 7.3.2. „Tanoda programok támogatása”</w:t>
      </w:r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keretei között folytatódik a tanoda program. A program célja a hátrányos helyzetű tanulók lemorzsolódásának csökkentése, végzettségi szintjének növelése, a tanulók komplex személyiségfejlesztése, életpálya-építése nem formális, informális keretek között, a tanulói és helyi szükségletekre reagálva, a tanoda sztenderdben leírtaknak megfelelően. Az iskola és a tanoda együttműködése a két intézmény és a bevont tanulók érdekeit egyaránt szolgálják. A megvalósítás elkezdődött. A </w:t>
      </w:r>
      <w:proofErr w:type="gramStart"/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felhívás  a</w:t>
      </w:r>
      <w:proofErr w:type="gramEnd"/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hyperlink r:id="rId22" w:history="1">
        <w:r w:rsidRPr="00E368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oldalon érhető el.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EFOP-3.3.5 - Korszerű pedagógiai módszerek alkalmazását segítő Iskolai Közösségi Program kísérleti megvalósítása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projekt célja tematikus napközi és tematikus bentlakásos programok megvalósítása nem csak iskolai színtéren. A tanulás hatékonyságának és eredményességének növelése, a tanulók NAT-ban foglalt kulcskompetenciáinak, különösképpen a szociális kompetenciáinak fejlesztését célzó, kísérleti jellegű tematikus programok megvalósítása és eredményességének mérése által.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pályázati felhívása a </w:t>
      </w:r>
      <w:hyperlink r:id="rId23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EFOP-3.3.7 - Informális és nem formális tanulási lehetőségek kialakítása a köznevelési intézményekben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célja az informális tanulási lehetőségek kialakításán keresztül a neveléshez és képzéshez való hozzáférés biztosítása, a köznevelés eredményességének és hatékonyságának növelése, a tanulók számára önmaguk, motivációik, képességeik mélyebb megismerését lehetővé tevő, átfogó kompetencia- és készségfejlesztés érdekében az iskolai oktatást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kiegészítő, ahhoz illeszkedő 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tanórán kívüli programok fejlesztése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kiemelten a problémamegoldó gondolkodás, a vállalkozói és a kreatív készségek fejlesztése.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pályázati felhívása a </w:t>
      </w:r>
      <w:hyperlink r:id="rId24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EFOP -3.11.1 - "</w:t>
      </w:r>
      <w:proofErr w:type="spellStart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Szülő-Suli</w:t>
      </w:r>
      <w:proofErr w:type="spellEnd"/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" - a tanulók iskolai előmenetelének javítása és a korai lemorzsolódás visszaszorítása az iskola-család együttműködésére alapozott egyéni fejlesztésen keresztül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célja a végzettség nélküli iskolaelhagyásra vonatkozó stratégia intervenciós beavatkozása, melyet az alábbi tevékenységek szolgálnak: </w:t>
      </w:r>
    </w:p>
    <w:p w:rsidR="00E3687F" w:rsidRPr="00E3687F" w:rsidRDefault="00E3687F" w:rsidP="00E3687F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a lemorzsolódás visszaszorítására alkalmas, egyéni tanulási utakat támogató módszerek kialakítása és alkalmazása. </w:t>
      </w:r>
    </w:p>
    <w:p w:rsidR="00E3687F" w:rsidRPr="00E3687F" w:rsidRDefault="00E3687F" w:rsidP="00E3687F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az egyéni fejlesztést és az előrehaladást segítő családi környezet támogatását szolgáló, nyugdíjas pedagógusokat és pedagógus-jelölteket is integráló intézményi kapacitásbővítés, illetve kapcsolódó módszertani képzés; </w:t>
      </w:r>
    </w:p>
    <w:p w:rsidR="00E3687F" w:rsidRPr="00E3687F" w:rsidRDefault="00E3687F" w:rsidP="00E3687F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egyéni fejlesztés helyi innovatív módszertanainak kidolgozása és terjesztése az alapfokú köznevelési intézmények részére; </w:t>
      </w:r>
    </w:p>
    <w:p w:rsidR="00E3687F" w:rsidRPr="00E3687F" w:rsidRDefault="00E3687F" w:rsidP="00E3687F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bCs/>
          <w:lang w:eastAsia="zh-CN"/>
        </w:rPr>
      </w:pPr>
      <w:r w:rsidRPr="00E3687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szülők, nagyszülők számára elérhető, a gyermekek tanulmányi előrehaladását és a korai iskolaelhagyás visszaszorítását támogató, a tanulás tanulásának, a tantárgyi követelmények ismeretének, a tudományos magyarázatok értelmezési képességének, az egészségtudatosság és betegségmegelőzés alapinformációinak elsajátítását célzó programok kidolgozása és megvalósítása az egyéni fejlesztés sikeressége érdekében.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 pályázati felhívása a </w:t>
      </w:r>
      <w:hyperlink r:id="rId25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oldalon megtekinthető.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Infrastrukturális fejlesztések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Az EFOP keretében megvalósuló infrastrukturális fejlesztések alapvető célja a közoktatási intézmények beruházásainak célirányos támogatása a minőségi és befogadó oktatási környezet és hatékony nevelés infrastrukturális feltételeinek megteremtése érdekében. Cél a helyi szükségletek kielégítésére irányuló, racionális és hatékony működést biztosító, korszerű nevelési, oktatási környezet kialakítása, illetve a</w:t>
      </w:r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 </w:t>
      </w:r>
      <w:proofErr w:type="spellStart"/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Nkt</w:t>
      </w:r>
      <w:proofErr w:type="spellEnd"/>
      <w:r w:rsidR="00D1086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szerinti mindennapos testnevelés infrastrukturális feltételeinek megteremtése, továbbá az EMMI rendelet 2. számú mellékletében meghatározott kötelező helyiségek kialakítása, felújítása és eszközök beszerzésének támogatása a minőségi nevelés feltételeinek megteremtése érdekében.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Az EFOP az infrastrukturális fejlesztést célzó felhívásaival a köznevelési intézményfenntartók teljes körét kívánja lefedni, amely cél megvalósítása érdekében több felhívás került kiírásra köznevelési intézményfenntartók számára. A Felhívások specifikusan szétválasztják az állami és a nem állami intézményfenntartóknak szóló fejlesztéseket, valamint figyelemmel vannak a különböző tanulólétszámú intézmények szempontjaira is.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Az egyházi fenntartású köznevelési intézmények számára meghirdetésre került az 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EFOP-4.1.1-15 </w:t>
      </w:r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„Egyes egyházi infrastrukturális fejlesztések”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című felhívás, mely a nagyobb tanulólétszámú iskolák, </w:t>
      </w:r>
      <w:proofErr w:type="spellStart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feladatellátási</w:t>
      </w:r>
      <w:proofErr w:type="spellEnd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helyek (minimum 350 fő egy </w:t>
      </w:r>
      <w:proofErr w:type="spellStart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feladatellátási</w:t>
      </w:r>
      <w:proofErr w:type="spellEnd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helyen) infrastrukturális fejlesztésére biztosít lehetőséget. A kisebb tanulólétszámú egyházi fenntartású iskolák, továbbá a nemzetiségi önkormányzatok és a civil szervezetek által fenntartott köznevelési intézmények az 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EFOP-4.1.5-16 </w:t>
      </w:r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„Köznevelési intézmények infrastrukturális fejlesztése”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című felhívás keretei között nyújthattak be támogatási kérelmet.</w:t>
      </w:r>
      <w:r w:rsidRPr="00E3687F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Az állami fenntartású intézmények számára az 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EFOP-4.1.2-17 „Iskola 2020” Köznevelési intézmények infrastrukturális fejlesztése a hátránykompenzáció és a minőségi oktatás érdekében”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című felhívás, valamint az EFOP-4.1.3-17 „Állami fenntartású köznevelési intézmények tanulást segítő tereinek infrastrukturális fejlesztése” című felhívás nyújt támogatott fejlesztési lehetőséget.</w:t>
      </w:r>
      <w:r w:rsidRPr="00E3687F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Ez utóbbi projekt célja, hogy a köznevelési intézményrendszer fejlesztése során a korszerű nevelési-oktatási eszköz- és feltételrendszerek, a köznevelés minőségi lehetőségei eljussanak a hátrányos helyzetű térségekbe, kisebb városokba, településekre is.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Az </w:t>
      </w:r>
      <w:r w:rsidRPr="00E3687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EFOP-4.1.6-16 </w:t>
      </w:r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„</w:t>
      </w:r>
      <w:proofErr w:type="gramStart"/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A</w:t>
      </w:r>
      <w:proofErr w:type="gramEnd"/>
      <w:r w:rsidRPr="00E368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 köznevelés támogató szerepének erősítése”</w:t>
      </w: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című felhívás a súlyos és halmozottan fogyatékos gyermekeket ellátó intézmények infrastrukturális fejlesztéséhez, továbbá a minőségi pedagógiai szakszolgáltatásokhoz való hozzáférés javításához járul hozzá a szakszolgáltatásokat nyújtó intézmények infrastrukturális fejlesztésével.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projektek pályázati felhívásai a </w:t>
      </w:r>
      <w:hyperlink r:id="rId26" w:history="1">
        <w:r w:rsidRPr="00E3687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www.palyazat.gov.hu</w:t>
        </w:r>
      </w:hyperlink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oldalon megtekinthetőek.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Kedves Pedagógus Kollégák!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 fent leírt fejlesztésekből kiolvashatóak a köznevelési intézmények és leginkább a pedagógusok részére elérhető számos lehetőség. A 2017/2018. tanév első felében a kiemelt projektek kedvezményezettjei kidolgozzák a projektekhez kapcsolódó koncepciókat, kifejlesztik a megvalósítás módszereit, így a tanév második felében várhatóan elindulhatnak a pedagógus továbbképzések. Ugyan sok időt vesznek igénybe a továbbképzések, de a </w:t>
      </w:r>
      <w:proofErr w:type="spellStart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POK-ok</w:t>
      </w:r>
      <w:proofErr w:type="spellEnd"/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és az interneten zajló on-line lehetőségek segíteni fognak abban, hogy ne kelljen sokat utazniuk a résztvevőknek. Várhatóak a tanulói lemorzsolódás csökkentését elősegítő, az új módszertani tartalmakat, tankönyveket, taneszközöket bemutató, alkalmazásukat segítő és a digitális kompetenciát növelő pedagógus továbbképzések. 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Lehetőség nyílik az intézmények számára több pályázatban aktívan részt venni fenntartójukon keresztül. Érdemes jelezni a fenntartó felé pályázási szándékukat. Ezek a pályázatok a testneveléshez, MTMI, valamint digitális kompetenciafejlesztéshez eszközbeszerzést, a tanulók tanórán kívüli programjaihoz támogatást, más szervezetekkel való együttműködést, infrastrukturális fejlesztést tesznek lehetővé.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végzettség nélküli iskolaelhagyással küzdő, illetve alulteljesítő iskolák szakmai segítséget kaphatnak módszereik, pedagógiai programjuk megújításához.</w:t>
      </w:r>
    </w:p>
    <w:p w:rsidR="00E3687F" w:rsidRPr="00E3687F" w:rsidRDefault="00E3687F" w:rsidP="00E36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68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Kérjük, vegyék igénybe a lehetőségeket, működjenek együtt a pályázatok kedvezményezettjeivel a köznevelés minőségének fejlesztése érdekében!</w:t>
      </w:r>
    </w:p>
    <w:p w:rsidR="00D97E9F" w:rsidRDefault="00D97E9F"/>
    <w:sectPr w:rsidR="00D97E9F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A8" w:rsidRDefault="00803DA8" w:rsidP="000725FC">
      <w:pPr>
        <w:spacing w:after="0" w:line="240" w:lineRule="auto"/>
      </w:pPr>
      <w:r>
        <w:separator/>
      </w:r>
    </w:p>
  </w:endnote>
  <w:endnote w:type="continuationSeparator" w:id="0">
    <w:p w:rsidR="00803DA8" w:rsidRDefault="00803DA8" w:rsidP="00072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20194"/>
      <w:docPartObj>
        <w:docPartGallery w:val="Page Numbers (Bottom of Page)"/>
        <w:docPartUnique/>
      </w:docPartObj>
    </w:sdtPr>
    <w:sdtEndPr/>
    <w:sdtContent>
      <w:p w:rsidR="000725FC" w:rsidRDefault="000725F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B80">
          <w:rPr>
            <w:noProof/>
          </w:rPr>
          <w:t>7</w:t>
        </w:r>
        <w:r>
          <w:fldChar w:fldCharType="end"/>
        </w:r>
      </w:p>
    </w:sdtContent>
  </w:sdt>
  <w:p w:rsidR="000725FC" w:rsidRDefault="000725F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A8" w:rsidRDefault="00803DA8" w:rsidP="000725FC">
      <w:pPr>
        <w:spacing w:after="0" w:line="240" w:lineRule="auto"/>
      </w:pPr>
      <w:r>
        <w:separator/>
      </w:r>
    </w:p>
  </w:footnote>
  <w:footnote w:type="continuationSeparator" w:id="0">
    <w:p w:rsidR="00803DA8" w:rsidRDefault="00803DA8" w:rsidP="00072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49D"/>
    <w:multiLevelType w:val="hybridMultilevel"/>
    <w:tmpl w:val="5F34D9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30757"/>
    <w:multiLevelType w:val="hybridMultilevel"/>
    <w:tmpl w:val="E6A26CD0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>
    <w:nsid w:val="111C2264"/>
    <w:multiLevelType w:val="hybridMultilevel"/>
    <w:tmpl w:val="FE827A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05B3"/>
    <w:multiLevelType w:val="hybridMultilevel"/>
    <w:tmpl w:val="D6FC4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F46EA"/>
    <w:multiLevelType w:val="hybridMultilevel"/>
    <w:tmpl w:val="CE7618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F67D1"/>
    <w:multiLevelType w:val="hybridMultilevel"/>
    <w:tmpl w:val="27622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E2987"/>
    <w:multiLevelType w:val="hybridMultilevel"/>
    <w:tmpl w:val="36EAFF94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16CFC"/>
    <w:multiLevelType w:val="hybridMultilevel"/>
    <w:tmpl w:val="94FCF3B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D7C90"/>
    <w:multiLevelType w:val="hybridMultilevel"/>
    <w:tmpl w:val="DC846D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7F"/>
    <w:rsid w:val="000725FC"/>
    <w:rsid w:val="005B226F"/>
    <w:rsid w:val="00674101"/>
    <w:rsid w:val="00803DA8"/>
    <w:rsid w:val="00830B80"/>
    <w:rsid w:val="008F0A44"/>
    <w:rsid w:val="00D1086B"/>
    <w:rsid w:val="00D97E9F"/>
    <w:rsid w:val="00E3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E368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3687F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3687F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68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7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25FC"/>
  </w:style>
  <w:style w:type="paragraph" w:styleId="llb">
    <w:name w:val="footer"/>
    <w:basedOn w:val="Norml"/>
    <w:link w:val="llbChar"/>
    <w:uiPriority w:val="99"/>
    <w:unhideWhenUsed/>
    <w:rsid w:val="0007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25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E368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3687F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3687F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68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7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25FC"/>
  </w:style>
  <w:style w:type="paragraph" w:styleId="llb">
    <w:name w:val="footer"/>
    <w:basedOn w:val="Norml"/>
    <w:link w:val="llbChar"/>
    <w:uiPriority w:val="99"/>
    <w:unhideWhenUsed/>
    <w:rsid w:val="00072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2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yazat.gov.hu/efop-144-17-bari-shej-nagylny-ft-mr" TargetMode="External"/><Relationship Id="rId13" Type="http://schemas.openxmlformats.org/officeDocument/2006/relationships/hyperlink" Target="https://www.palyazat.gov.hu/efop-319-16-iskolapad-jratltve-msodik-esly-programok-tmogatsa" TargetMode="External"/><Relationship Id="rId18" Type="http://schemas.openxmlformats.org/officeDocument/2006/relationships/hyperlink" Target="http://kk.gov.hu/efop-3-2-4-16-2016-00001" TargetMode="External"/><Relationship Id="rId26" Type="http://schemas.openxmlformats.org/officeDocument/2006/relationships/hyperlink" Target="mailto:www.palyazat.gov.h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tf.hu/index.php?id=149691540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oktatas.hu/kozneveles/projektek/efop317" TargetMode="External"/><Relationship Id="rId17" Type="http://schemas.openxmlformats.org/officeDocument/2006/relationships/hyperlink" Target="http://dpmk.hu/" TargetMode="External"/><Relationship Id="rId25" Type="http://schemas.openxmlformats.org/officeDocument/2006/relationships/hyperlink" Target="http://www.palyazat.gov.hu" TargetMode="External"/><Relationship Id="rId2" Type="http://schemas.openxmlformats.org/officeDocument/2006/relationships/styles" Target="styles.xml"/><Relationship Id="rId16" Type="http://schemas.openxmlformats.org/officeDocument/2006/relationships/hyperlink" Target="http://ofi.hu/efop-322-vekop-15-2016-00001" TargetMode="External"/><Relationship Id="rId20" Type="http://schemas.openxmlformats.org/officeDocument/2006/relationships/hyperlink" Target="http://www.palyazat.gov.h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lyazat.gov.hu" TargetMode="External"/><Relationship Id="rId24" Type="http://schemas.openxmlformats.org/officeDocument/2006/relationships/hyperlink" Target="http://www.palyazat.gov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alyazat.gov.hu/efop-3110-16-lpj-egy-fokkal-feljebb-tovbbtanulst-erst-kezdemnyezsek-tmogatsa-1" TargetMode="External"/><Relationship Id="rId23" Type="http://schemas.openxmlformats.org/officeDocument/2006/relationships/hyperlink" Target="http://www.palyazat.gov.h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oktatas.hu/kozneveles/projektek/efop315" TargetMode="External"/><Relationship Id="rId19" Type="http://schemas.openxmlformats.org/officeDocument/2006/relationships/hyperlink" Target="http://www.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ktatas.hu/kozneveles/projektek/efop312" TargetMode="External"/><Relationship Id="rId14" Type="http://schemas.openxmlformats.org/officeDocument/2006/relationships/hyperlink" Target="https://www.palyazat.gov.hu/doc/4385" TargetMode="External"/><Relationship Id="rId22" Type="http://schemas.openxmlformats.org/officeDocument/2006/relationships/hyperlink" Target="http://www.palyazat.gov.h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2727</Words>
  <Characters>18819</Characters>
  <Application>Microsoft Office Word</Application>
  <DocSecurity>0</DocSecurity>
  <Lines>156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Herceg Dóra</dc:creator>
  <cp:lastModifiedBy>Herceg Dóra</cp:lastModifiedBy>
  <cp:revision>4</cp:revision>
  <dcterms:created xsi:type="dcterms:W3CDTF">2017-08-14T10:29:00Z</dcterms:created>
  <dcterms:modified xsi:type="dcterms:W3CDTF">2017-08-15T07:24:00Z</dcterms:modified>
</cp:coreProperties>
</file>