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15" w:rsidRDefault="00E60415" w:rsidP="00E60415">
      <w:pPr>
        <w:autoSpaceDE w:val="0"/>
        <w:autoSpaceDN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A pálinkáról, a törkölypálinkáról és a Pálinka Nemzeti Tanácsról szóló 2008. évi LXXIII. törvény módosítás alapján a Pálinka Nemzeti Tanács jogi személlyé, köztestületté válik, amely közfeladatai tekintetében a származás-, minőség és eredetvédelemmel, a pálinka piac</w:t>
      </w:r>
      <w:bookmarkStart w:id="0" w:name="_GoBack"/>
      <w:bookmarkEnd w:id="0"/>
      <w:r>
        <w:rPr>
          <w:sz w:val="26"/>
          <w:szCs w:val="26"/>
        </w:rPr>
        <w:t xml:space="preserve">ra jutásának elősegítésével, a pálinka, mint nemzeti kincs megóvásával kapcsolatos feladatokat látja el. </w:t>
      </w:r>
    </w:p>
    <w:p w:rsidR="00E60415" w:rsidRDefault="00E60415" w:rsidP="00E60415">
      <w:pPr>
        <w:autoSpaceDE w:val="0"/>
        <w:autoSpaceDN w:val="0"/>
        <w:spacing w:line="276" w:lineRule="auto"/>
        <w:jc w:val="both"/>
        <w:rPr>
          <w:sz w:val="26"/>
          <w:szCs w:val="26"/>
        </w:rPr>
      </w:pPr>
    </w:p>
    <w:p w:rsidR="00E60415" w:rsidRDefault="00E60415" w:rsidP="00E6041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A pálinkák földrajzi árujelzőinek uniós oltalmából eredő jogérvényesítés  szükségessé teszi, hogy a Pálinka Nemzeti Tanács megfelelő hatáskörrel rendelkezzen. A tervezet a Pálinka Nemzeti Tanács közfeladatává teszi többek között  az oltalom alatt álló földrajzi jelzéssel rendelkező pálinka, törkölypálinka termékleírások betartásának vizsgálatát, az uniós földrajzi jelzés oltalommal összefüggő jogérvényesítést.</w:t>
      </w:r>
    </w:p>
    <w:p w:rsidR="00EC034E" w:rsidRDefault="00EC034E"/>
    <w:sectPr w:rsidR="00EC03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415"/>
    <w:rsid w:val="00E60415"/>
    <w:rsid w:val="00EC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0415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0415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0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2015-09-23T07:55:00Z</dcterms:created>
  <dcterms:modified xsi:type="dcterms:W3CDTF">2015-09-23T07:56:00Z</dcterms:modified>
</cp:coreProperties>
</file>