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4BA" w:rsidRPr="00773794" w:rsidRDefault="00DE34BA" w:rsidP="00DE34BA">
      <w:pPr>
        <w:keepNext/>
        <w:keepLines/>
        <w:tabs>
          <w:tab w:val="right" w:pos="851"/>
        </w:tabs>
        <w:suppressAutoHyphens/>
        <w:spacing w:after="0" w:line="300" w:lineRule="exact"/>
        <w:ind w:left="1134" w:right="1134"/>
        <w:jc w:val="center"/>
        <w:rPr>
          <w:rFonts w:ascii="Times New Roman" w:eastAsia="Times New Roman" w:hAnsi="Times New Roman" w:cs="Times New Roman"/>
          <w:b/>
          <w:sz w:val="28"/>
          <w:szCs w:val="20"/>
        </w:rPr>
      </w:pPr>
      <w:r w:rsidRPr="00773794">
        <w:rPr>
          <w:rFonts w:ascii="Times New Roman" w:eastAsia="Times New Roman" w:hAnsi="Times New Roman" w:cs="Times New Roman"/>
          <w:b/>
          <w:sz w:val="28"/>
          <w:szCs w:val="20"/>
        </w:rPr>
        <w:t>Nemzeti Végrehajtási Jelentés formátum</w:t>
      </w:r>
    </w:p>
    <w:p w:rsidR="00DE34BA" w:rsidRPr="00773794" w:rsidRDefault="00541306" w:rsidP="00DE34BA">
      <w:pPr>
        <w:keepNext/>
        <w:keepLines/>
        <w:tabs>
          <w:tab w:val="right" w:pos="851"/>
        </w:tabs>
        <w:suppressAutoHyphens/>
        <w:spacing w:after="0" w:line="300" w:lineRule="exact"/>
        <w:ind w:left="1134" w:right="1134"/>
        <w:jc w:val="center"/>
        <w:rPr>
          <w:rFonts w:ascii="Times New Roman" w:eastAsia="Times New Roman" w:hAnsi="Times New Roman" w:cs="Times New Roman"/>
          <w:b/>
          <w:sz w:val="20"/>
          <w:szCs w:val="20"/>
        </w:rPr>
      </w:pPr>
      <w:r w:rsidRPr="00773794">
        <w:rPr>
          <w:rFonts w:ascii="Times New Roman" w:eastAsia="Times New Roman" w:hAnsi="Times New Roman" w:cs="Times New Roman"/>
          <w:b/>
          <w:sz w:val="20"/>
          <w:szCs w:val="20"/>
        </w:rPr>
        <w:t>(ECE/MP</w:t>
      </w:r>
      <w:proofErr w:type="gramStart"/>
      <w:r w:rsidRPr="00773794">
        <w:rPr>
          <w:rFonts w:ascii="Times New Roman" w:eastAsia="Times New Roman" w:hAnsi="Times New Roman" w:cs="Times New Roman"/>
          <w:b/>
          <w:sz w:val="20"/>
          <w:szCs w:val="20"/>
        </w:rPr>
        <w:t>.PRTR</w:t>
      </w:r>
      <w:proofErr w:type="gramEnd"/>
      <w:r w:rsidRPr="00773794">
        <w:rPr>
          <w:rFonts w:ascii="Times New Roman" w:eastAsia="Times New Roman" w:hAnsi="Times New Roman" w:cs="Times New Roman"/>
          <w:b/>
          <w:sz w:val="20"/>
          <w:szCs w:val="20"/>
        </w:rPr>
        <w:t>/2010/2/Add.1)</w:t>
      </w:r>
    </w:p>
    <w:p w:rsidR="00541306" w:rsidRPr="00773794" w:rsidRDefault="00DE34BA" w:rsidP="00DE34BA">
      <w:pPr>
        <w:keepNext/>
        <w:keepLines/>
        <w:tabs>
          <w:tab w:val="right" w:pos="851"/>
        </w:tabs>
        <w:suppressAutoHyphens/>
        <w:spacing w:after="0" w:line="300" w:lineRule="exact"/>
        <w:ind w:left="1134" w:right="1134"/>
        <w:jc w:val="center"/>
        <w:rPr>
          <w:rFonts w:ascii="Times New Roman" w:eastAsia="Times New Roman" w:hAnsi="Times New Roman" w:cs="Times New Roman"/>
          <w:b/>
          <w:sz w:val="20"/>
          <w:szCs w:val="20"/>
        </w:rPr>
      </w:pPr>
      <w:proofErr w:type="gramStart"/>
      <w:r w:rsidRPr="00773794">
        <w:rPr>
          <w:rFonts w:ascii="Times New Roman" w:eastAsia="Times New Roman" w:hAnsi="Times New Roman" w:cs="Times New Roman"/>
          <w:b/>
          <w:sz w:val="20"/>
          <w:szCs w:val="20"/>
        </w:rPr>
        <w:t>az</w:t>
      </w:r>
      <w:proofErr w:type="gramEnd"/>
      <w:r w:rsidRPr="00773794">
        <w:rPr>
          <w:rFonts w:ascii="Times New Roman" w:eastAsia="Times New Roman" w:hAnsi="Times New Roman" w:cs="Times New Roman"/>
          <w:b/>
          <w:sz w:val="20"/>
          <w:szCs w:val="20"/>
        </w:rPr>
        <w:t xml:space="preserve"> első részes felek találkozójának I/5 határozata alapján</w:t>
      </w:r>
    </w:p>
    <w:p w:rsidR="00836F57" w:rsidRPr="00773794" w:rsidRDefault="00541306" w:rsidP="00F112A9">
      <w:pPr>
        <w:keepNext/>
        <w:keepLines/>
        <w:tabs>
          <w:tab w:val="right" w:pos="851"/>
        </w:tabs>
        <w:suppressAutoHyphens/>
        <w:spacing w:before="120" w:after="120" w:line="270" w:lineRule="exact"/>
        <w:ind w:left="1134" w:right="1134" w:hanging="1134"/>
        <w:rPr>
          <w:rFonts w:ascii="Times New Roman" w:eastAsia="Times New Roman" w:hAnsi="Times New Roman" w:cs="Times New Roman"/>
          <w:b/>
          <w:sz w:val="24"/>
          <w:szCs w:val="20"/>
        </w:rPr>
      </w:pPr>
      <w:r w:rsidRPr="00773794">
        <w:rPr>
          <w:rFonts w:ascii="Times New Roman" w:eastAsia="Times New Roman" w:hAnsi="Times New Roman" w:cs="Times New Roman"/>
          <w:b/>
          <w:sz w:val="24"/>
          <w:szCs w:val="20"/>
        </w:rPr>
        <w:tab/>
      </w:r>
      <w:r w:rsidRPr="00773794">
        <w:rPr>
          <w:rFonts w:ascii="Times New Roman" w:eastAsia="Times New Roman" w:hAnsi="Times New Roman" w:cs="Times New Roman"/>
          <w:b/>
          <w:sz w:val="24"/>
          <w:szCs w:val="20"/>
        </w:rPr>
        <w:tab/>
      </w:r>
    </w:p>
    <w:p w:rsidR="00541306" w:rsidRPr="00773794" w:rsidRDefault="0069162C" w:rsidP="00836F57">
      <w:pPr>
        <w:keepNext/>
        <w:keepLines/>
        <w:tabs>
          <w:tab w:val="right" w:pos="851"/>
        </w:tabs>
        <w:suppressAutoHyphens/>
        <w:spacing w:before="120" w:after="360" w:line="270" w:lineRule="exact"/>
        <w:ind w:left="1134" w:right="1134"/>
        <w:rPr>
          <w:rFonts w:ascii="Times New Roman" w:eastAsia="Times New Roman" w:hAnsi="Times New Roman" w:cs="Times New Roman"/>
          <w:b/>
          <w:sz w:val="24"/>
          <w:szCs w:val="20"/>
        </w:rPr>
      </w:pPr>
      <w:r w:rsidRPr="00773794">
        <w:rPr>
          <w:rFonts w:ascii="Times New Roman" w:eastAsia="Times New Roman" w:hAnsi="Times New Roman" w:cs="Times New Roman"/>
          <w:b/>
          <w:sz w:val="24"/>
          <w:szCs w:val="20"/>
        </w:rPr>
        <w:t>IGAZOLÓ LAP</w:t>
      </w:r>
    </w:p>
    <w:p w:rsidR="00F112A9" w:rsidRPr="00773794" w:rsidRDefault="00F112A9" w:rsidP="00F112A9">
      <w:pPr>
        <w:keepNext/>
        <w:keepLines/>
        <w:tabs>
          <w:tab w:val="right" w:pos="851"/>
        </w:tabs>
        <w:suppressAutoHyphens/>
        <w:spacing w:before="120" w:after="0" w:line="270" w:lineRule="exact"/>
        <w:ind w:left="1134" w:right="1134"/>
        <w:rPr>
          <w:rFonts w:ascii="Times New Roman" w:eastAsia="Times New Roman" w:hAnsi="Times New Roman" w:cs="Times New Roman"/>
          <w:b/>
          <w:sz w:val="24"/>
          <w:szCs w:val="24"/>
          <w:u w:val="single"/>
        </w:rPr>
      </w:pPr>
      <w:r w:rsidRPr="00773794">
        <w:rPr>
          <w:rFonts w:ascii="Times New Roman" w:eastAsia="Times New Roman" w:hAnsi="Times New Roman" w:cs="Times New Roman"/>
          <w:b/>
          <w:sz w:val="24"/>
          <w:szCs w:val="24"/>
          <w:u w:val="single"/>
        </w:rPr>
        <w:t xml:space="preserve">Az alábbi jelentés </w:t>
      </w:r>
      <w:r w:rsidR="00A95A8E" w:rsidRPr="00773794">
        <w:rPr>
          <w:rFonts w:ascii="Times New Roman" w:eastAsia="Times New Roman" w:hAnsi="Times New Roman" w:cs="Times New Roman"/>
          <w:b/>
          <w:sz w:val="24"/>
          <w:szCs w:val="24"/>
          <w:u w:val="single"/>
        </w:rPr>
        <w:t xml:space="preserve">benyújtója </w:t>
      </w:r>
      <w:r w:rsidRPr="00773794">
        <w:rPr>
          <w:rFonts w:ascii="Times New Roman" w:eastAsia="Times New Roman" w:hAnsi="Times New Roman" w:cs="Times New Roman"/>
          <w:b/>
          <w:sz w:val="24"/>
          <w:szCs w:val="24"/>
          <w:u w:val="single"/>
        </w:rPr>
        <w:t>Magyarország</w:t>
      </w:r>
    </w:p>
    <w:p w:rsidR="00541306" w:rsidRPr="00773794" w:rsidRDefault="00541306" w:rsidP="00F112A9">
      <w:pPr>
        <w:spacing w:after="0" w:line="240" w:lineRule="auto"/>
        <w:ind w:left="1287" w:hanging="153"/>
        <w:rPr>
          <w:rFonts w:ascii="Times New Roman" w:eastAsia="Times New Roman" w:hAnsi="Times New Roman" w:cs="Arial"/>
          <w:bCs/>
          <w:sz w:val="20"/>
          <w:szCs w:val="20"/>
        </w:rPr>
      </w:pPr>
      <w:r w:rsidRPr="00773794">
        <w:rPr>
          <w:rFonts w:ascii="Times New Roman" w:eastAsia="Times New Roman" w:hAnsi="Times New Roman" w:cs="Arial"/>
          <w:bCs/>
          <w:sz w:val="20"/>
          <w:szCs w:val="20"/>
        </w:rPr>
        <w:t>[</w:t>
      </w:r>
      <w:r w:rsidR="0069162C" w:rsidRPr="00773794">
        <w:rPr>
          <w:rFonts w:ascii="Times New Roman" w:eastAsia="Times New Roman" w:hAnsi="Times New Roman" w:cs="Arial"/>
          <w:bCs/>
          <w:sz w:val="20"/>
          <w:szCs w:val="20"/>
        </w:rPr>
        <w:t>A részes fél vagy aláíró neve</w:t>
      </w:r>
      <w:r w:rsidRPr="00773794">
        <w:rPr>
          <w:rFonts w:ascii="Times New Roman" w:eastAsia="Times New Roman" w:hAnsi="Times New Roman" w:cs="Arial"/>
          <w:bCs/>
          <w:sz w:val="20"/>
          <w:szCs w:val="20"/>
        </w:rPr>
        <w:t xml:space="preserve">] </w:t>
      </w:r>
      <w:r w:rsidR="0069162C" w:rsidRPr="00773794">
        <w:rPr>
          <w:rFonts w:ascii="Times New Roman" w:eastAsia="Times New Roman" w:hAnsi="Times New Roman" w:cs="Arial"/>
          <w:bCs/>
          <w:sz w:val="20"/>
          <w:szCs w:val="20"/>
        </w:rPr>
        <w:t xml:space="preserve">az </w:t>
      </w:r>
      <w:r w:rsidRPr="00773794">
        <w:rPr>
          <w:rFonts w:ascii="Times New Roman" w:eastAsia="Times New Roman" w:hAnsi="Times New Roman" w:cs="Arial"/>
          <w:bCs/>
          <w:sz w:val="20"/>
          <w:szCs w:val="20"/>
        </w:rPr>
        <w:t>I/5</w:t>
      </w:r>
      <w:r w:rsidR="0069162C" w:rsidRPr="00773794">
        <w:rPr>
          <w:rFonts w:ascii="Times New Roman" w:eastAsia="Times New Roman" w:hAnsi="Times New Roman" w:cs="Arial"/>
          <w:bCs/>
          <w:sz w:val="20"/>
          <w:szCs w:val="20"/>
        </w:rPr>
        <w:t xml:space="preserve">-ös határozat </w:t>
      </w:r>
      <w:r w:rsidR="00F112A9" w:rsidRPr="00773794">
        <w:rPr>
          <w:rFonts w:ascii="Times New Roman" w:eastAsia="Times New Roman" w:hAnsi="Times New Roman" w:cs="Arial"/>
          <w:bCs/>
          <w:sz w:val="20"/>
          <w:szCs w:val="20"/>
        </w:rPr>
        <w:t>alapján</w:t>
      </w:r>
    </w:p>
    <w:p w:rsidR="00F112A9" w:rsidRPr="00773794" w:rsidRDefault="00F112A9" w:rsidP="00F112A9">
      <w:pPr>
        <w:spacing w:after="0" w:line="240" w:lineRule="auto"/>
        <w:ind w:left="1287" w:hanging="153"/>
        <w:rPr>
          <w:rFonts w:ascii="Times New Roman" w:eastAsia="Times New Roman" w:hAnsi="Times New Roman" w:cs="Arial"/>
          <w:b/>
          <w:bCs/>
          <w:sz w:val="20"/>
          <w:szCs w:val="20"/>
        </w:rPr>
      </w:pP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266"/>
        <w:gridCol w:w="4104"/>
      </w:tblGrid>
      <w:tr w:rsidR="00541306" w:rsidRPr="00BD5EC6" w:rsidTr="0069162C">
        <w:tc>
          <w:tcPr>
            <w:tcW w:w="3266" w:type="dxa"/>
            <w:shd w:val="clear" w:color="auto" w:fill="auto"/>
          </w:tcPr>
          <w:p w:rsidR="00541306" w:rsidRPr="00773794" w:rsidRDefault="0069162C" w:rsidP="0069162C">
            <w:pPr>
              <w:suppressAutoHyphens/>
              <w:spacing w:before="40" w:after="120" w:line="240" w:lineRule="atLeast"/>
              <w:ind w:left="11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A Nemzeti Jelentés benyújtásáért felelős személy neve</w:t>
            </w:r>
            <w:r w:rsidR="00541306" w:rsidRPr="00773794">
              <w:rPr>
                <w:rFonts w:ascii="Times New Roman" w:eastAsia="Times New Roman" w:hAnsi="Times New Roman" w:cs="Times New Roman"/>
                <w:sz w:val="20"/>
                <w:szCs w:val="20"/>
              </w:rPr>
              <w:t>:</w:t>
            </w:r>
          </w:p>
        </w:tc>
        <w:tc>
          <w:tcPr>
            <w:tcW w:w="4104" w:type="dxa"/>
            <w:shd w:val="clear" w:color="auto" w:fill="auto"/>
          </w:tcPr>
          <w:p w:rsidR="00541306" w:rsidRPr="00773794" w:rsidRDefault="00DD53D0" w:rsidP="0069162C">
            <w:pPr>
              <w:suppressAutoHyphens/>
              <w:spacing w:before="40" w:after="120" w:line="240" w:lineRule="atLeast"/>
              <w:ind w:right="113" w:firstLine="28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V. Németh Zsolt</w:t>
            </w:r>
          </w:p>
          <w:p w:rsidR="00541306" w:rsidRPr="00773794" w:rsidRDefault="00700984" w:rsidP="00EE4E7C">
            <w:pPr>
              <w:suppressAutoHyphens/>
              <w:spacing w:before="40" w:after="120" w:line="240" w:lineRule="atLeast"/>
              <w:ind w:left="28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k</w:t>
            </w:r>
            <w:r w:rsidR="009C3587" w:rsidRPr="00773794">
              <w:rPr>
                <w:rFonts w:ascii="Times New Roman" w:eastAsia="Times New Roman" w:hAnsi="Times New Roman" w:cs="Times New Roman"/>
                <w:sz w:val="20"/>
                <w:szCs w:val="20"/>
              </w:rPr>
              <w:t>örnyezetügyért</w:t>
            </w:r>
            <w:r w:rsidR="00666D0A" w:rsidRPr="00773794">
              <w:rPr>
                <w:rFonts w:ascii="Times New Roman" w:eastAsia="Times New Roman" w:hAnsi="Times New Roman" w:cs="Times New Roman"/>
                <w:sz w:val="20"/>
                <w:szCs w:val="20"/>
              </w:rPr>
              <w:t xml:space="preserve">, agrárfejlesztésért, és </w:t>
            </w:r>
            <w:proofErr w:type="spellStart"/>
            <w:r w:rsidR="00666D0A" w:rsidRPr="00773794">
              <w:rPr>
                <w:rFonts w:ascii="Times New Roman" w:eastAsia="Times New Roman" w:hAnsi="Times New Roman" w:cs="Times New Roman"/>
                <w:sz w:val="20"/>
                <w:szCs w:val="20"/>
              </w:rPr>
              <w:t>hungarikumokért</w:t>
            </w:r>
            <w:proofErr w:type="spellEnd"/>
            <w:r w:rsidR="009C3587" w:rsidRPr="00773794">
              <w:rPr>
                <w:rFonts w:ascii="Times New Roman" w:eastAsia="Times New Roman" w:hAnsi="Times New Roman" w:cs="Times New Roman"/>
                <w:sz w:val="20"/>
                <w:szCs w:val="20"/>
              </w:rPr>
              <w:t xml:space="preserve"> felelős államtitkár</w:t>
            </w:r>
          </w:p>
        </w:tc>
      </w:tr>
      <w:tr w:rsidR="00541306" w:rsidRPr="00BD5EC6" w:rsidTr="00C669CA">
        <w:trPr>
          <w:trHeight w:val="559"/>
        </w:trPr>
        <w:tc>
          <w:tcPr>
            <w:tcW w:w="3266" w:type="dxa"/>
            <w:shd w:val="clear" w:color="auto" w:fill="auto"/>
          </w:tcPr>
          <w:p w:rsidR="00541306" w:rsidRPr="00773794" w:rsidRDefault="0069162C" w:rsidP="0069162C">
            <w:pPr>
              <w:suppressAutoHyphens/>
              <w:spacing w:before="40" w:after="120" w:line="240" w:lineRule="atLeast"/>
              <w:ind w:left="11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Aláírás</w:t>
            </w:r>
            <w:r w:rsidR="00541306" w:rsidRPr="00773794">
              <w:rPr>
                <w:rFonts w:ascii="Times New Roman" w:eastAsia="Times New Roman" w:hAnsi="Times New Roman" w:cs="Times New Roman"/>
                <w:sz w:val="20"/>
                <w:szCs w:val="20"/>
              </w:rPr>
              <w:t>:</w:t>
            </w:r>
          </w:p>
        </w:tc>
        <w:tc>
          <w:tcPr>
            <w:tcW w:w="4104" w:type="dxa"/>
            <w:shd w:val="clear" w:color="auto" w:fill="auto"/>
          </w:tcPr>
          <w:p w:rsidR="00541306" w:rsidRPr="00773794" w:rsidRDefault="00666D0A" w:rsidP="00C669CA">
            <w:pPr>
              <w:suppressAutoHyphens/>
              <w:spacing w:before="40" w:after="120" w:line="240" w:lineRule="atLeast"/>
              <w:ind w:right="113" w:firstLine="28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 xml:space="preserve"> V. Németh Zsolt</w:t>
            </w:r>
          </w:p>
        </w:tc>
      </w:tr>
      <w:tr w:rsidR="00541306" w:rsidRPr="00BD5EC6" w:rsidTr="0069162C">
        <w:tc>
          <w:tcPr>
            <w:tcW w:w="3266" w:type="dxa"/>
            <w:shd w:val="clear" w:color="auto" w:fill="auto"/>
          </w:tcPr>
          <w:p w:rsidR="00541306" w:rsidRPr="00773794" w:rsidRDefault="00541306" w:rsidP="0069162C">
            <w:pPr>
              <w:suppressAutoHyphens/>
              <w:spacing w:before="40" w:after="120" w:line="240" w:lineRule="atLeast"/>
              <w:ind w:left="11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D</w:t>
            </w:r>
            <w:r w:rsidR="0069162C" w:rsidRPr="00773794">
              <w:rPr>
                <w:rFonts w:ascii="Times New Roman" w:eastAsia="Times New Roman" w:hAnsi="Times New Roman" w:cs="Times New Roman"/>
                <w:sz w:val="20"/>
                <w:szCs w:val="20"/>
              </w:rPr>
              <w:t>átum</w:t>
            </w:r>
            <w:r w:rsidRPr="00773794">
              <w:rPr>
                <w:rFonts w:ascii="Times New Roman" w:eastAsia="Times New Roman" w:hAnsi="Times New Roman" w:cs="Times New Roman"/>
                <w:sz w:val="20"/>
                <w:szCs w:val="20"/>
              </w:rPr>
              <w:t>:</w:t>
            </w:r>
          </w:p>
        </w:tc>
        <w:tc>
          <w:tcPr>
            <w:tcW w:w="4104" w:type="dxa"/>
            <w:shd w:val="clear" w:color="auto" w:fill="auto"/>
          </w:tcPr>
          <w:p w:rsidR="00541306" w:rsidRPr="00773794" w:rsidRDefault="00666D0A" w:rsidP="009B4CA1">
            <w:pPr>
              <w:suppressAutoHyphens/>
              <w:spacing w:before="40" w:after="120" w:line="240" w:lineRule="atLeast"/>
              <w:ind w:right="113" w:firstLine="283"/>
              <w:rPr>
                <w:rFonts w:ascii="Times New Roman" w:eastAsia="Times New Roman" w:hAnsi="Times New Roman" w:cs="Times New Roman"/>
                <w:sz w:val="20"/>
                <w:szCs w:val="20"/>
              </w:rPr>
            </w:pPr>
            <w:r w:rsidRPr="00BD5EC6">
              <w:rPr>
                <w:rFonts w:ascii="Times New Roman" w:eastAsia="Times New Roman" w:hAnsi="Times New Roman" w:cs="Times New Roman"/>
                <w:noProof/>
                <w:sz w:val="20"/>
                <w:szCs w:val="20"/>
                <w:lang w:eastAsia="hu-HU"/>
              </w:rPr>
              <w:t>2017</w:t>
            </w:r>
            <w:r w:rsidR="00C669CA" w:rsidRPr="00BD5EC6">
              <w:rPr>
                <w:rFonts w:ascii="Times New Roman" w:eastAsia="Times New Roman" w:hAnsi="Times New Roman" w:cs="Times New Roman"/>
                <w:noProof/>
                <w:sz w:val="20"/>
                <w:szCs w:val="20"/>
                <w:lang w:eastAsia="hu-HU"/>
              </w:rPr>
              <w:t xml:space="preserve">. </w:t>
            </w:r>
            <w:r w:rsidR="009B4CA1" w:rsidRPr="00BD5EC6">
              <w:rPr>
                <w:rFonts w:ascii="Times New Roman" w:eastAsia="Times New Roman" w:hAnsi="Times New Roman" w:cs="Times New Roman"/>
                <w:noProof/>
                <w:sz w:val="20"/>
                <w:szCs w:val="20"/>
                <w:lang w:eastAsia="hu-HU"/>
              </w:rPr>
              <w:t>augusztus</w:t>
            </w:r>
          </w:p>
        </w:tc>
      </w:tr>
    </w:tbl>
    <w:p w:rsidR="00100F27" w:rsidRPr="00BD5EC6" w:rsidRDefault="00100F27" w:rsidP="00100F27">
      <w:pPr>
        <w:jc w:val="center"/>
        <w:rPr>
          <w:b/>
          <w:sz w:val="28"/>
          <w:szCs w:val="28"/>
        </w:rPr>
      </w:pPr>
    </w:p>
    <w:p w:rsidR="00100F27" w:rsidRPr="00BD5EC6" w:rsidRDefault="00100F27" w:rsidP="00100F27">
      <w:pPr>
        <w:jc w:val="center"/>
        <w:rPr>
          <w:b/>
          <w:sz w:val="44"/>
          <w:szCs w:val="44"/>
        </w:rPr>
      </w:pPr>
      <w:r w:rsidRPr="00BD5EC6">
        <w:rPr>
          <w:b/>
          <w:sz w:val="44"/>
          <w:szCs w:val="44"/>
        </w:rPr>
        <w:t>Jelentés</w:t>
      </w:r>
    </w:p>
    <w:p w:rsidR="00100F27" w:rsidRPr="00BD5EC6" w:rsidRDefault="00100F27" w:rsidP="00100F27">
      <w:pPr>
        <w:spacing w:after="0"/>
        <w:jc w:val="center"/>
        <w:rPr>
          <w:b/>
          <w:sz w:val="28"/>
          <w:szCs w:val="28"/>
        </w:rPr>
      </w:pPr>
      <w:r w:rsidRPr="00BD5EC6">
        <w:rPr>
          <w:b/>
          <w:sz w:val="28"/>
          <w:szCs w:val="28"/>
        </w:rPr>
        <w:t xml:space="preserve">A </w:t>
      </w:r>
      <w:r w:rsidR="00DE34BA" w:rsidRPr="00BD5EC6">
        <w:rPr>
          <w:b/>
          <w:sz w:val="28"/>
          <w:szCs w:val="28"/>
        </w:rPr>
        <w:t>N</w:t>
      </w:r>
      <w:r w:rsidRPr="00BD5EC6">
        <w:rPr>
          <w:b/>
          <w:sz w:val="28"/>
          <w:szCs w:val="28"/>
        </w:rPr>
        <w:t xml:space="preserve">emzeti Szennyezőanyag-kibocsátási és </w:t>
      </w:r>
      <w:proofErr w:type="spellStart"/>
      <w:r w:rsidRPr="00BD5EC6">
        <w:rPr>
          <w:b/>
          <w:sz w:val="28"/>
          <w:szCs w:val="28"/>
        </w:rPr>
        <w:t>-szállítási</w:t>
      </w:r>
      <w:proofErr w:type="spellEnd"/>
      <w:r w:rsidRPr="00BD5EC6">
        <w:rPr>
          <w:b/>
          <w:sz w:val="28"/>
          <w:szCs w:val="28"/>
        </w:rPr>
        <w:t xml:space="preserve"> Nyilvántartás </w:t>
      </w:r>
      <w:r w:rsidR="00DE34BA" w:rsidRPr="00BD5EC6">
        <w:rPr>
          <w:b/>
          <w:sz w:val="28"/>
          <w:szCs w:val="28"/>
        </w:rPr>
        <w:t xml:space="preserve">létesítéséhez kapcsolódó intézkedések </w:t>
      </w:r>
      <w:r w:rsidRPr="00BD5EC6">
        <w:rPr>
          <w:b/>
          <w:sz w:val="28"/>
          <w:szCs w:val="28"/>
        </w:rPr>
        <w:t>végrehajtásáról</w:t>
      </w:r>
    </w:p>
    <w:p w:rsidR="00100F27" w:rsidRPr="00BD5EC6" w:rsidRDefault="00666D0A" w:rsidP="00100F27">
      <w:pPr>
        <w:jc w:val="center"/>
        <w:rPr>
          <w:b/>
          <w:sz w:val="28"/>
          <w:szCs w:val="28"/>
        </w:rPr>
      </w:pPr>
      <w:r w:rsidRPr="00BD5EC6">
        <w:rPr>
          <w:b/>
          <w:sz w:val="28"/>
          <w:szCs w:val="28"/>
        </w:rPr>
        <w:t>2016</w:t>
      </w:r>
    </w:p>
    <w:p w:rsidR="00100F27" w:rsidRPr="00BD5EC6" w:rsidRDefault="00100F27" w:rsidP="00100F27">
      <w:pPr>
        <w:jc w:val="center"/>
        <w:rPr>
          <w:b/>
          <w:sz w:val="28"/>
          <w:szCs w:val="28"/>
        </w:rPr>
      </w:pPr>
    </w:p>
    <w:p w:rsidR="00541306" w:rsidRPr="00BD5EC6" w:rsidRDefault="0013083C" w:rsidP="00541306">
      <w:pPr>
        <w:suppressAutoHyphens/>
        <w:spacing w:after="120" w:line="240" w:lineRule="auto"/>
        <w:ind w:left="567" w:firstLine="567"/>
        <w:outlineLvl w:val="2"/>
        <w:rPr>
          <w:rFonts w:ascii="Times New Roman" w:eastAsia="Times New Roman" w:hAnsi="Times New Roman" w:cs="Times New Roman"/>
          <w:b/>
          <w:sz w:val="20"/>
          <w:szCs w:val="20"/>
        </w:rPr>
      </w:pPr>
      <w:proofErr w:type="gramStart"/>
      <w:r w:rsidRPr="00BD5EC6">
        <w:rPr>
          <w:rFonts w:ascii="Times New Roman" w:eastAsia="Times New Roman" w:hAnsi="Times New Roman" w:cs="Times New Roman"/>
          <w:b/>
          <w:sz w:val="20"/>
          <w:szCs w:val="20"/>
        </w:rPr>
        <w:t>Kér</w:t>
      </w:r>
      <w:r w:rsidR="00100F27" w:rsidRPr="00BD5EC6">
        <w:rPr>
          <w:rFonts w:ascii="Times New Roman" w:eastAsia="Times New Roman" w:hAnsi="Times New Roman" w:cs="Times New Roman"/>
          <w:b/>
          <w:sz w:val="20"/>
          <w:szCs w:val="20"/>
        </w:rPr>
        <w:t>jük</w:t>
      </w:r>
      <w:proofErr w:type="gramEnd"/>
      <w:r w:rsidR="00100F27" w:rsidRPr="00BD5EC6">
        <w:rPr>
          <w:rFonts w:ascii="Times New Roman" w:eastAsia="Times New Roman" w:hAnsi="Times New Roman" w:cs="Times New Roman"/>
          <w:b/>
          <w:sz w:val="20"/>
          <w:szCs w:val="20"/>
        </w:rPr>
        <w:t xml:space="preserve"> legyen szíves adja meg az </w:t>
      </w:r>
      <w:r w:rsidRPr="00BD5EC6">
        <w:rPr>
          <w:rFonts w:ascii="Times New Roman" w:eastAsia="Times New Roman" w:hAnsi="Times New Roman" w:cs="Times New Roman"/>
          <w:b/>
          <w:sz w:val="20"/>
          <w:szCs w:val="20"/>
        </w:rPr>
        <w:t>alábbi adatok</w:t>
      </w:r>
      <w:r w:rsidR="00100F27" w:rsidRPr="00BD5EC6">
        <w:rPr>
          <w:rFonts w:ascii="Times New Roman" w:eastAsia="Times New Roman" w:hAnsi="Times New Roman" w:cs="Times New Roman"/>
          <w:b/>
          <w:sz w:val="20"/>
          <w:szCs w:val="20"/>
        </w:rPr>
        <w:t>at</w:t>
      </w:r>
      <w:r w:rsidR="00F112A9" w:rsidRPr="00BD5EC6">
        <w:rPr>
          <w:rFonts w:ascii="Times New Roman" w:eastAsia="Times New Roman" w:hAnsi="Times New Roman" w:cs="Times New Roman"/>
          <w:b/>
          <w:sz w:val="20"/>
          <w:szCs w:val="20"/>
        </w:rPr>
        <w:t xml:space="preserve"> </w:t>
      </w:r>
      <w:r w:rsidR="00100F27" w:rsidRPr="00BD5EC6">
        <w:rPr>
          <w:rFonts w:ascii="Times New Roman" w:eastAsia="Times New Roman" w:hAnsi="Times New Roman" w:cs="Times New Roman"/>
          <w:b/>
          <w:sz w:val="20"/>
          <w:szCs w:val="20"/>
        </w:rPr>
        <w:t>a</w:t>
      </w:r>
      <w:r w:rsidRPr="00BD5EC6">
        <w:rPr>
          <w:rFonts w:ascii="Times New Roman" w:eastAsia="Times New Roman" w:hAnsi="Times New Roman" w:cs="Times New Roman"/>
          <w:b/>
          <w:sz w:val="20"/>
          <w:szCs w:val="20"/>
        </w:rPr>
        <w:t xml:space="preserve"> jelentéssel kapcsolatban:</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66"/>
        <w:gridCol w:w="4504"/>
      </w:tblGrid>
      <w:tr w:rsidR="00541306" w:rsidRPr="00BD5EC6" w:rsidTr="00062A6B">
        <w:tc>
          <w:tcPr>
            <w:tcW w:w="2866" w:type="dxa"/>
            <w:shd w:val="clear" w:color="auto" w:fill="auto"/>
            <w:vAlign w:val="bottom"/>
          </w:tcPr>
          <w:p w:rsidR="00541306" w:rsidRPr="00773794" w:rsidRDefault="0013083C" w:rsidP="0013083C">
            <w:pPr>
              <w:suppressAutoHyphens/>
              <w:spacing w:before="80" w:after="80" w:line="200" w:lineRule="exact"/>
              <w:ind w:left="113" w:right="113"/>
              <w:rPr>
                <w:rFonts w:ascii="Times New Roman" w:eastAsia="Times New Roman" w:hAnsi="Times New Roman" w:cs="Times New Roman"/>
                <w:b/>
                <w:sz w:val="20"/>
                <w:szCs w:val="20"/>
              </w:rPr>
            </w:pPr>
            <w:r w:rsidRPr="00773794">
              <w:rPr>
                <w:rFonts w:ascii="Times New Roman" w:eastAsia="Times New Roman" w:hAnsi="Times New Roman" w:cs="Times New Roman"/>
                <w:b/>
                <w:sz w:val="20"/>
                <w:szCs w:val="20"/>
              </w:rPr>
              <w:t>Részes fél</w:t>
            </w:r>
            <w:r w:rsidR="00541306" w:rsidRPr="00773794">
              <w:rPr>
                <w:rFonts w:ascii="Times New Roman" w:eastAsia="Times New Roman" w:hAnsi="Times New Roman" w:cs="Times New Roman"/>
                <w:b/>
                <w:sz w:val="20"/>
                <w:szCs w:val="20"/>
              </w:rPr>
              <w:t>/</w:t>
            </w:r>
            <w:r w:rsidRPr="00773794">
              <w:rPr>
                <w:rFonts w:ascii="Times New Roman" w:eastAsia="Times New Roman" w:hAnsi="Times New Roman" w:cs="Times New Roman"/>
                <w:b/>
                <w:sz w:val="20"/>
                <w:szCs w:val="20"/>
              </w:rPr>
              <w:t>Aláíró</w:t>
            </w:r>
          </w:p>
        </w:tc>
        <w:tc>
          <w:tcPr>
            <w:tcW w:w="4504" w:type="dxa"/>
            <w:shd w:val="clear" w:color="auto" w:fill="auto"/>
            <w:vAlign w:val="bottom"/>
          </w:tcPr>
          <w:p w:rsidR="00541306" w:rsidRPr="00773794" w:rsidRDefault="0013083C" w:rsidP="0013083C">
            <w:pPr>
              <w:suppressAutoHyphens/>
              <w:spacing w:before="80" w:after="80" w:line="200" w:lineRule="exact"/>
              <w:ind w:right="113" w:firstLine="116"/>
              <w:rPr>
                <w:rFonts w:ascii="Times New Roman" w:eastAsia="Times New Roman" w:hAnsi="Times New Roman" w:cs="Times New Roman"/>
                <w:b/>
                <w:sz w:val="20"/>
                <w:szCs w:val="20"/>
              </w:rPr>
            </w:pPr>
            <w:r w:rsidRPr="00773794">
              <w:rPr>
                <w:rFonts w:ascii="Times New Roman" w:eastAsia="Times New Roman" w:hAnsi="Times New Roman" w:cs="Times New Roman"/>
                <w:b/>
                <w:sz w:val="20"/>
                <w:szCs w:val="20"/>
              </w:rPr>
              <w:t>Magyarország</w:t>
            </w:r>
          </w:p>
        </w:tc>
      </w:tr>
      <w:tr w:rsidR="00541306" w:rsidRPr="00BD5EC6" w:rsidTr="00062A6B">
        <w:tc>
          <w:tcPr>
            <w:tcW w:w="7370" w:type="dxa"/>
            <w:gridSpan w:val="2"/>
            <w:shd w:val="clear" w:color="auto" w:fill="auto"/>
          </w:tcPr>
          <w:p w:rsidR="00541306" w:rsidRPr="00773794" w:rsidRDefault="00541306" w:rsidP="0013083C">
            <w:pPr>
              <w:suppressAutoHyphens/>
              <w:spacing w:before="40" w:after="120" w:line="240" w:lineRule="atLeast"/>
              <w:ind w:left="113" w:right="113"/>
              <w:rPr>
                <w:rFonts w:ascii="Times New Roman" w:eastAsia="Times New Roman" w:hAnsi="Times New Roman" w:cs="Times New Roman"/>
                <w:b/>
                <w:sz w:val="20"/>
                <w:szCs w:val="20"/>
              </w:rPr>
            </w:pPr>
            <w:r w:rsidRPr="00773794">
              <w:rPr>
                <w:rFonts w:ascii="Times New Roman" w:eastAsia="Times New Roman" w:hAnsi="Times New Roman" w:cs="Times New Roman"/>
                <w:b/>
                <w:sz w:val="20"/>
                <w:szCs w:val="20"/>
              </w:rPr>
              <w:t>N</w:t>
            </w:r>
            <w:r w:rsidR="0013083C" w:rsidRPr="00773794">
              <w:rPr>
                <w:rFonts w:ascii="Times New Roman" w:eastAsia="Times New Roman" w:hAnsi="Times New Roman" w:cs="Times New Roman"/>
                <w:b/>
                <w:sz w:val="20"/>
                <w:szCs w:val="20"/>
              </w:rPr>
              <w:t>EMZETI</w:t>
            </w:r>
            <w:r w:rsidRPr="00773794">
              <w:rPr>
                <w:rFonts w:ascii="Times New Roman" w:eastAsia="Times New Roman" w:hAnsi="Times New Roman" w:cs="Times New Roman"/>
                <w:b/>
                <w:sz w:val="20"/>
                <w:szCs w:val="20"/>
              </w:rPr>
              <w:t xml:space="preserve"> FOCAL POINT</w:t>
            </w:r>
          </w:p>
        </w:tc>
      </w:tr>
      <w:tr w:rsidR="00541306" w:rsidRPr="00BD5EC6" w:rsidTr="00062A6B">
        <w:tc>
          <w:tcPr>
            <w:tcW w:w="2866" w:type="dxa"/>
            <w:shd w:val="clear" w:color="auto" w:fill="auto"/>
            <w:vAlign w:val="center"/>
          </w:tcPr>
          <w:p w:rsidR="00541306" w:rsidRPr="00773794" w:rsidRDefault="0013083C" w:rsidP="0013083C">
            <w:pPr>
              <w:suppressAutoHyphens/>
              <w:spacing w:before="40" w:after="120" w:line="240" w:lineRule="atLeast"/>
              <w:ind w:left="11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Az intézmény teljes neve</w:t>
            </w:r>
            <w:r w:rsidR="00541306" w:rsidRPr="00773794">
              <w:rPr>
                <w:rFonts w:ascii="Times New Roman" w:eastAsia="Times New Roman" w:hAnsi="Times New Roman" w:cs="Times New Roman"/>
                <w:sz w:val="20"/>
                <w:szCs w:val="20"/>
              </w:rPr>
              <w:t>:</w:t>
            </w:r>
          </w:p>
        </w:tc>
        <w:tc>
          <w:tcPr>
            <w:tcW w:w="4504" w:type="dxa"/>
            <w:shd w:val="clear" w:color="auto" w:fill="auto"/>
          </w:tcPr>
          <w:p w:rsidR="00541306" w:rsidRPr="00773794" w:rsidRDefault="00666D0A" w:rsidP="0013083C">
            <w:pPr>
              <w:suppressAutoHyphens/>
              <w:spacing w:before="40" w:after="120" w:line="240" w:lineRule="atLeast"/>
              <w:ind w:right="113" w:firstLine="116"/>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 xml:space="preserve">Földművelésügyi </w:t>
            </w:r>
            <w:r w:rsidR="0013083C" w:rsidRPr="00773794">
              <w:rPr>
                <w:rFonts w:ascii="Times New Roman" w:eastAsia="Times New Roman" w:hAnsi="Times New Roman" w:cs="Times New Roman"/>
                <w:sz w:val="20"/>
                <w:szCs w:val="20"/>
              </w:rPr>
              <w:t>Minisztérium</w:t>
            </w:r>
          </w:p>
        </w:tc>
      </w:tr>
      <w:tr w:rsidR="00541306" w:rsidRPr="00BD5EC6" w:rsidTr="00062A6B">
        <w:tc>
          <w:tcPr>
            <w:tcW w:w="2866" w:type="dxa"/>
            <w:shd w:val="clear" w:color="auto" w:fill="auto"/>
            <w:vAlign w:val="center"/>
          </w:tcPr>
          <w:p w:rsidR="00541306" w:rsidRPr="00773794" w:rsidRDefault="0013083C" w:rsidP="0013083C">
            <w:pPr>
              <w:suppressAutoHyphens/>
              <w:spacing w:before="40" w:after="120" w:line="240" w:lineRule="atLeast"/>
              <w:ind w:left="11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Név</w:t>
            </w:r>
            <w:r w:rsidR="00541306" w:rsidRPr="00773794">
              <w:rPr>
                <w:rFonts w:ascii="Times New Roman" w:eastAsia="Times New Roman" w:hAnsi="Times New Roman" w:cs="Times New Roman"/>
                <w:sz w:val="20"/>
                <w:szCs w:val="20"/>
              </w:rPr>
              <w:t>:</w:t>
            </w:r>
          </w:p>
        </w:tc>
        <w:tc>
          <w:tcPr>
            <w:tcW w:w="4504" w:type="dxa"/>
            <w:shd w:val="clear" w:color="auto" w:fill="auto"/>
          </w:tcPr>
          <w:p w:rsidR="00541306" w:rsidRPr="00773794" w:rsidRDefault="00666D0A" w:rsidP="00541306">
            <w:pPr>
              <w:suppressAutoHyphens/>
              <w:spacing w:before="40" w:after="120" w:line="240" w:lineRule="atLeast"/>
              <w:ind w:right="113" w:firstLine="116"/>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Bejenaru-Sramkó Gyöngyi</w:t>
            </w:r>
          </w:p>
        </w:tc>
      </w:tr>
      <w:tr w:rsidR="00541306" w:rsidRPr="00BD5EC6" w:rsidTr="00062A6B">
        <w:tc>
          <w:tcPr>
            <w:tcW w:w="2866" w:type="dxa"/>
            <w:shd w:val="clear" w:color="auto" w:fill="auto"/>
            <w:vAlign w:val="center"/>
          </w:tcPr>
          <w:p w:rsidR="00541306" w:rsidRPr="00773794" w:rsidRDefault="0013083C" w:rsidP="0013083C">
            <w:pPr>
              <w:suppressAutoHyphens/>
              <w:spacing w:before="40" w:after="120" w:line="240" w:lineRule="atLeast"/>
              <w:ind w:left="11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Cím</w:t>
            </w:r>
            <w:r w:rsidR="00541306" w:rsidRPr="00773794">
              <w:rPr>
                <w:rFonts w:ascii="Times New Roman" w:eastAsia="Times New Roman" w:hAnsi="Times New Roman" w:cs="Times New Roman"/>
                <w:sz w:val="20"/>
                <w:szCs w:val="20"/>
              </w:rPr>
              <w:t>:</w:t>
            </w:r>
          </w:p>
        </w:tc>
        <w:tc>
          <w:tcPr>
            <w:tcW w:w="4504" w:type="dxa"/>
            <w:shd w:val="clear" w:color="auto" w:fill="auto"/>
          </w:tcPr>
          <w:p w:rsidR="0013083C" w:rsidRPr="00773794" w:rsidRDefault="0013083C" w:rsidP="0013083C">
            <w:pPr>
              <w:suppressAutoHyphens/>
              <w:spacing w:before="40" w:after="120" w:line="240" w:lineRule="atLeast"/>
              <w:ind w:right="113" w:firstLine="116"/>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 xml:space="preserve">Budapest </w:t>
            </w:r>
          </w:p>
          <w:p w:rsidR="00541306" w:rsidRPr="00773794" w:rsidRDefault="00541306" w:rsidP="00541306">
            <w:pPr>
              <w:suppressAutoHyphens/>
              <w:spacing w:before="40" w:after="120" w:line="240" w:lineRule="atLeast"/>
              <w:ind w:right="113" w:firstLine="116"/>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 xml:space="preserve">Kossuth tér 11. </w:t>
            </w:r>
          </w:p>
          <w:p w:rsidR="00541306" w:rsidRPr="00773794" w:rsidRDefault="00541306" w:rsidP="00541306">
            <w:pPr>
              <w:suppressAutoHyphens/>
              <w:spacing w:before="40" w:after="120" w:line="240" w:lineRule="atLeast"/>
              <w:ind w:right="113" w:firstLine="116"/>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1055.</w:t>
            </w:r>
          </w:p>
          <w:p w:rsidR="00541306" w:rsidRPr="00773794" w:rsidRDefault="0013083C" w:rsidP="0013083C">
            <w:pPr>
              <w:suppressAutoHyphens/>
              <w:spacing w:before="40" w:after="120" w:line="240" w:lineRule="atLeast"/>
              <w:ind w:right="113" w:firstLine="116"/>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Magyarország</w:t>
            </w:r>
          </w:p>
        </w:tc>
      </w:tr>
      <w:tr w:rsidR="00541306" w:rsidRPr="00BD5EC6" w:rsidTr="00062A6B">
        <w:tc>
          <w:tcPr>
            <w:tcW w:w="2866" w:type="dxa"/>
            <w:shd w:val="clear" w:color="auto" w:fill="auto"/>
            <w:vAlign w:val="center"/>
          </w:tcPr>
          <w:p w:rsidR="00541306" w:rsidRPr="00773794" w:rsidRDefault="00541306" w:rsidP="0013083C">
            <w:pPr>
              <w:suppressAutoHyphens/>
              <w:spacing w:before="40" w:after="120" w:line="240" w:lineRule="atLeast"/>
              <w:ind w:left="11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Tele</w:t>
            </w:r>
            <w:r w:rsidR="0013083C" w:rsidRPr="00773794">
              <w:rPr>
                <w:rFonts w:ascii="Times New Roman" w:eastAsia="Times New Roman" w:hAnsi="Times New Roman" w:cs="Times New Roman"/>
                <w:sz w:val="20"/>
                <w:szCs w:val="20"/>
              </w:rPr>
              <w:t>fon</w:t>
            </w:r>
            <w:r w:rsidRPr="00773794">
              <w:rPr>
                <w:rFonts w:ascii="Times New Roman" w:eastAsia="Times New Roman" w:hAnsi="Times New Roman" w:cs="Times New Roman"/>
                <w:sz w:val="20"/>
                <w:szCs w:val="20"/>
              </w:rPr>
              <w:t>:</w:t>
            </w:r>
          </w:p>
        </w:tc>
        <w:tc>
          <w:tcPr>
            <w:tcW w:w="4504" w:type="dxa"/>
            <w:shd w:val="clear" w:color="auto" w:fill="auto"/>
          </w:tcPr>
          <w:p w:rsidR="00541306" w:rsidRPr="00773794" w:rsidRDefault="00541306" w:rsidP="00666D0A">
            <w:pPr>
              <w:suppressAutoHyphens/>
              <w:spacing w:before="40" w:after="120" w:line="240" w:lineRule="atLeast"/>
              <w:ind w:right="113" w:firstLine="116"/>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 xml:space="preserve">+36 1 79 52 </w:t>
            </w:r>
            <w:r w:rsidR="00666D0A" w:rsidRPr="00773794">
              <w:rPr>
                <w:rFonts w:ascii="Times New Roman" w:eastAsia="Times New Roman" w:hAnsi="Times New Roman" w:cs="Times New Roman"/>
                <w:sz w:val="20"/>
                <w:szCs w:val="20"/>
              </w:rPr>
              <w:t>4</w:t>
            </w:r>
            <w:r w:rsidR="00126E10" w:rsidRPr="00773794">
              <w:rPr>
                <w:rFonts w:ascii="Times New Roman" w:eastAsia="Times New Roman" w:hAnsi="Times New Roman" w:cs="Times New Roman"/>
                <w:sz w:val="20"/>
                <w:szCs w:val="20"/>
              </w:rPr>
              <w:t>42</w:t>
            </w:r>
          </w:p>
        </w:tc>
      </w:tr>
      <w:tr w:rsidR="00541306" w:rsidRPr="00BD5EC6" w:rsidTr="00062A6B">
        <w:tc>
          <w:tcPr>
            <w:tcW w:w="2866" w:type="dxa"/>
            <w:shd w:val="clear" w:color="auto" w:fill="auto"/>
            <w:vAlign w:val="center"/>
          </w:tcPr>
          <w:p w:rsidR="00541306" w:rsidRPr="00773794" w:rsidRDefault="00541306" w:rsidP="00541306">
            <w:pPr>
              <w:suppressAutoHyphens/>
              <w:spacing w:before="40" w:after="120" w:line="240" w:lineRule="atLeast"/>
              <w:ind w:left="11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Fax:</w:t>
            </w:r>
          </w:p>
        </w:tc>
        <w:tc>
          <w:tcPr>
            <w:tcW w:w="4504" w:type="dxa"/>
            <w:shd w:val="clear" w:color="auto" w:fill="auto"/>
          </w:tcPr>
          <w:p w:rsidR="00541306" w:rsidRPr="00773794" w:rsidRDefault="00541306" w:rsidP="00541306">
            <w:pPr>
              <w:suppressAutoHyphens/>
              <w:spacing w:before="40" w:after="120" w:line="240" w:lineRule="atLeast"/>
              <w:ind w:right="113" w:firstLine="116"/>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+36 1 79 50 057</w:t>
            </w:r>
          </w:p>
        </w:tc>
      </w:tr>
      <w:tr w:rsidR="00541306" w:rsidRPr="00BD5EC6" w:rsidTr="00062A6B">
        <w:tc>
          <w:tcPr>
            <w:tcW w:w="2866" w:type="dxa"/>
            <w:shd w:val="clear" w:color="auto" w:fill="auto"/>
            <w:vAlign w:val="center"/>
          </w:tcPr>
          <w:p w:rsidR="00541306" w:rsidRPr="00773794" w:rsidRDefault="00541306" w:rsidP="00541306">
            <w:pPr>
              <w:suppressAutoHyphens/>
              <w:spacing w:before="40" w:after="120" w:line="240" w:lineRule="atLeast"/>
              <w:ind w:left="113"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E-mail:</w:t>
            </w:r>
          </w:p>
        </w:tc>
        <w:tc>
          <w:tcPr>
            <w:tcW w:w="4504" w:type="dxa"/>
            <w:shd w:val="clear" w:color="auto" w:fill="auto"/>
          </w:tcPr>
          <w:p w:rsidR="00541306" w:rsidRPr="00773794" w:rsidRDefault="00666D0A" w:rsidP="00EE4E7C">
            <w:pPr>
              <w:suppressAutoHyphens/>
              <w:spacing w:before="40" w:after="120" w:line="240" w:lineRule="atLeast"/>
              <w:ind w:left="116" w:right="113"/>
              <w:rPr>
                <w:rFonts w:ascii="Times New Roman" w:eastAsia="Times New Roman" w:hAnsi="Times New Roman" w:cs="Times New Roman"/>
                <w:sz w:val="20"/>
                <w:szCs w:val="20"/>
              </w:rPr>
            </w:pPr>
            <w:r w:rsidRPr="00773794">
              <w:rPr>
                <w:rFonts w:ascii="Times New Roman" w:eastAsia="Times New Roman" w:hAnsi="Times New Roman" w:cs="Times New Roman"/>
                <w:sz w:val="20"/>
                <w:szCs w:val="20"/>
              </w:rPr>
              <w:t xml:space="preserve"> </w:t>
            </w:r>
            <w:hyperlink r:id="rId9" w:history="1">
              <w:r w:rsidR="009B4CA1" w:rsidRPr="00773794">
                <w:rPr>
                  <w:rStyle w:val="Hiperhivatkozs"/>
                  <w:rFonts w:ascii="Times New Roman" w:eastAsia="Times New Roman" w:hAnsi="Times New Roman" w:cs="Times New Roman"/>
                  <w:sz w:val="20"/>
                  <w:szCs w:val="20"/>
                </w:rPr>
                <w:t>gyongyi.bejenaru-sramko@fm.gov.hu</w:t>
              </w:r>
            </w:hyperlink>
          </w:p>
        </w:tc>
      </w:tr>
    </w:tbl>
    <w:p w:rsidR="00541306" w:rsidRPr="00773794" w:rsidRDefault="00541306" w:rsidP="00541306">
      <w:pPr>
        <w:suppressAutoHyphens/>
        <w:spacing w:after="0" w:line="240" w:lineRule="atLeast"/>
        <w:rPr>
          <w:rFonts w:ascii="Times New Roman" w:eastAsia="Times New Roman" w:hAnsi="Times New Roman" w:cs="Times New Roman"/>
          <w:sz w:val="20"/>
          <w:szCs w:val="20"/>
        </w:rPr>
      </w:pPr>
    </w:p>
    <w:p w:rsidR="0013083C" w:rsidRPr="00BD5EC6" w:rsidRDefault="0013083C">
      <w:pPr>
        <w:rPr>
          <w:b/>
          <w:sz w:val="20"/>
          <w:szCs w:val="20"/>
        </w:rPr>
      </w:pPr>
      <w:r w:rsidRPr="00BD5EC6">
        <w:rPr>
          <w:b/>
          <w:sz w:val="20"/>
          <w:szCs w:val="20"/>
        </w:rPr>
        <w:br w:type="page"/>
      </w:r>
    </w:p>
    <w:p w:rsidR="00D35333" w:rsidRPr="00BD5EC6" w:rsidRDefault="00D35333" w:rsidP="00861B9C">
      <w:pPr>
        <w:pStyle w:val="Listaszerbekezds"/>
        <w:numPr>
          <w:ilvl w:val="0"/>
          <w:numId w:val="7"/>
        </w:numPr>
        <w:ind w:left="0" w:hanging="426"/>
        <w:rPr>
          <w:b/>
          <w:i/>
          <w:u w:val="single"/>
        </w:rPr>
      </w:pPr>
      <w:r w:rsidRPr="00BD5EC6">
        <w:rPr>
          <w:b/>
          <w:i/>
          <w:u w:val="single"/>
        </w:rPr>
        <w:lastRenderedPageBreak/>
        <w:t>A nemzeti jelentés összeállításának folyamata</w:t>
      </w:r>
    </w:p>
    <w:p w:rsidR="00D35333" w:rsidRPr="00BD5EC6" w:rsidRDefault="00D35333" w:rsidP="000E1CC3">
      <w:pPr>
        <w:jc w:val="both"/>
        <w:rPr>
          <w:i/>
        </w:rPr>
      </w:pPr>
      <w:r w:rsidRPr="00BD5EC6">
        <w:rPr>
          <w:i/>
        </w:rPr>
        <w:t>Írja le röviden a folyamatot, amelynek révén ez a jelentés elkészült, ezen belül, hogy milyen típusú közhatóságokkal történt konzultáció vagy milyen típusú közhatóságok működtek közre a jelentés elkészítésében, hogyan folyt a nyilvánossággal való egyeztetés, és hogyan vették figyelembe ennek eredményeit, valamint hogy milyen anyagokat használtak fel a jelentés elkészítésének alapjául.</w:t>
      </w:r>
    </w:p>
    <w:p w:rsidR="00C41587" w:rsidRPr="00BD5EC6" w:rsidRDefault="00D35333" w:rsidP="009A4498">
      <w:pPr>
        <w:jc w:val="both"/>
      </w:pPr>
      <w:r w:rsidRPr="00BD5EC6">
        <w:t xml:space="preserve">A jelentést a </w:t>
      </w:r>
      <w:r w:rsidR="00666D0A" w:rsidRPr="00BD5EC6">
        <w:t xml:space="preserve">Földművelésügyi </w:t>
      </w:r>
      <w:r w:rsidRPr="00BD5EC6">
        <w:t xml:space="preserve">Minisztérium Környezetmegőrzési Főosztálya készítette a </w:t>
      </w:r>
      <w:r w:rsidR="00666D0A" w:rsidRPr="00BD5EC6">
        <w:t xml:space="preserve">Kormányhivatalok Környezetvédelmi és Természetvédelmi Főosztályainak és a </w:t>
      </w:r>
      <w:r w:rsidR="006E2646" w:rsidRPr="00773794">
        <w:t xml:space="preserve">Belügyminisztérium Országos </w:t>
      </w:r>
      <w:r w:rsidR="00666D0A" w:rsidRPr="00773794">
        <w:t>Katasztrófavédel</w:t>
      </w:r>
      <w:r w:rsidR="006E2646" w:rsidRPr="00773794">
        <w:t>mi Főigazgatóság (BM-OKF)</w:t>
      </w:r>
      <w:r w:rsidR="00666D0A" w:rsidRPr="00773794">
        <w:t xml:space="preserve"> Vízügyi </w:t>
      </w:r>
      <w:r w:rsidR="009B4CA1" w:rsidRPr="00773794">
        <w:t>Hatóságainak</w:t>
      </w:r>
      <w:r w:rsidR="009B4CA1" w:rsidRPr="00BD5EC6">
        <w:t xml:space="preserve"> </w:t>
      </w:r>
      <w:r w:rsidRPr="00BD5EC6">
        <w:t>közreműködésével.</w:t>
      </w:r>
      <w:r w:rsidR="00485827" w:rsidRPr="00BD5EC6">
        <w:t xml:space="preserve"> </w:t>
      </w:r>
      <w:r w:rsidR="009A4498" w:rsidRPr="00BD5EC6">
        <w:t>A</w:t>
      </w:r>
      <w:r w:rsidR="003D5A5A" w:rsidRPr="00BD5EC6">
        <w:t xml:space="preserve"> jelentés elkészítéséhez felhasználtuk az EU Bizottság részére benyújtott 2011. </w:t>
      </w:r>
      <w:r w:rsidR="00666D0A" w:rsidRPr="00BD5EC6">
        <w:t xml:space="preserve">és 2014. </w:t>
      </w:r>
      <w:r w:rsidR="003D5A5A" w:rsidRPr="00BD5EC6">
        <w:t>évi jelentésünket.</w:t>
      </w:r>
      <w:r w:rsidR="00485827" w:rsidRPr="00BD5EC6">
        <w:t xml:space="preserve"> </w:t>
      </w:r>
      <w:r w:rsidR="00974556" w:rsidRPr="00BD5EC6">
        <w:t xml:space="preserve">A jelentés tervezetét </w:t>
      </w:r>
      <w:r w:rsidR="00666D0A" w:rsidRPr="00BD5EC6">
        <w:t xml:space="preserve">feltöltöttük </w:t>
      </w:r>
      <w:r w:rsidR="009A4498" w:rsidRPr="00BD5EC6">
        <w:t xml:space="preserve">a </w:t>
      </w:r>
      <w:r w:rsidR="00666D0A" w:rsidRPr="00BD5EC6">
        <w:t xml:space="preserve">Földművelésügyi </w:t>
      </w:r>
      <w:r w:rsidR="009A4498" w:rsidRPr="00BD5EC6">
        <w:t>Minisztérium honlapjára a dokumentumtárba</w:t>
      </w:r>
      <w:r w:rsidR="00974556" w:rsidRPr="00BD5EC6">
        <w:t xml:space="preserve"> és véleményezés céljából kiküldtük a civil </w:t>
      </w:r>
      <w:r w:rsidR="00A41493" w:rsidRPr="00BD5EC6">
        <w:t>és gazd</w:t>
      </w:r>
      <w:r w:rsidR="0036457A" w:rsidRPr="00BD5EC6">
        <w:t>a</w:t>
      </w:r>
      <w:r w:rsidR="00A41493" w:rsidRPr="00BD5EC6">
        <w:t xml:space="preserve">sági </w:t>
      </w:r>
      <w:r w:rsidR="00974556" w:rsidRPr="00BD5EC6">
        <w:t>szervezetek számára</w:t>
      </w:r>
      <w:r w:rsidR="009A4498" w:rsidRPr="00BD5EC6">
        <w:t>. 201</w:t>
      </w:r>
      <w:r w:rsidR="00666D0A" w:rsidRPr="00BD5EC6">
        <w:t>7</w:t>
      </w:r>
      <w:r w:rsidR="009A4498" w:rsidRPr="00BD5EC6">
        <w:t xml:space="preserve">. </w:t>
      </w:r>
      <w:r w:rsidR="00A41493" w:rsidRPr="00BD5EC6">
        <w:t>augusztus</w:t>
      </w:r>
      <w:r w:rsidR="00DA0248">
        <w:t xml:space="preserve"> 30</w:t>
      </w:r>
      <w:r w:rsidR="00A41493" w:rsidRPr="00BD5EC6">
        <w:t xml:space="preserve"> </w:t>
      </w:r>
      <w:proofErr w:type="spellStart"/>
      <w:r w:rsidR="009A4498" w:rsidRPr="00BD5EC6">
        <w:t>-án</w:t>
      </w:r>
      <w:proofErr w:type="spellEnd"/>
      <w:r w:rsidR="009A4498" w:rsidRPr="00BD5EC6">
        <w:t xml:space="preserve"> civil és gazdasági szervezeteket képviselő</w:t>
      </w:r>
      <w:r w:rsidR="00285B09" w:rsidRPr="00BD5EC6">
        <w:t>inek</w:t>
      </w:r>
      <w:r w:rsidR="009A4498" w:rsidRPr="00BD5EC6">
        <w:t xml:space="preserve"> részvét</w:t>
      </w:r>
      <w:r w:rsidR="00DA0248">
        <w:t>elével PRTR konzultációt tart</w:t>
      </w:r>
      <w:r w:rsidR="009A4498" w:rsidRPr="00BD5EC6">
        <w:t xml:space="preserve">unk a </w:t>
      </w:r>
      <w:r w:rsidR="00C41587" w:rsidRPr="00BD5EC6">
        <w:t>jelentésről és a jövő feladatairól.</w:t>
      </w:r>
      <w:bookmarkStart w:id="0" w:name="_GoBack"/>
      <w:bookmarkEnd w:id="0"/>
    </w:p>
    <w:p w:rsidR="00F07E32" w:rsidRPr="00BD5EC6" w:rsidRDefault="00F07E32" w:rsidP="00541306">
      <w:pPr>
        <w:pStyle w:val="Listaszerbekezds"/>
        <w:numPr>
          <w:ilvl w:val="0"/>
          <w:numId w:val="7"/>
        </w:numPr>
        <w:jc w:val="both"/>
        <w:rPr>
          <w:b/>
          <w:i/>
          <w:u w:val="single"/>
        </w:rPr>
      </w:pPr>
      <w:r w:rsidRPr="00BD5EC6">
        <w:rPr>
          <w:b/>
          <w:i/>
          <w:u w:val="single"/>
        </w:rPr>
        <w:t>Előzmények</w:t>
      </w:r>
      <w:r w:rsidR="00CF74F1" w:rsidRPr="00BD5EC6">
        <w:rPr>
          <w:b/>
          <w:i/>
          <w:u w:val="single"/>
        </w:rPr>
        <w:t>, változások</w:t>
      </w:r>
    </w:p>
    <w:p w:rsidR="00EE0531" w:rsidRPr="00BD5EC6" w:rsidRDefault="00EE0531" w:rsidP="008C336E">
      <w:pPr>
        <w:spacing w:after="0"/>
        <w:jc w:val="both"/>
      </w:pPr>
    </w:p>
    <w:p w:rsidR="00B24C57" w:rsidRPr="00BD5EC6" w:rsidRDefault="0066223D" w:rsidP="008C336E">
      <w:pPr>
        <w:spacing w:after="0"/>
        <w:jc w:val="both"/>
      </w:pPr>
      <w:r w:rsidRPr="00BD5EC6">
        <w:t xml:space="preserve">Magyarország 1998. december 18-án aláírta az </w:t>
      </w:r>
      <w:proofErr w:type="spellStart"/>
      <w:r w:rsidRPr="00BD5EC6">
        <w:t>Aarhusi</w:t>
      </w:r>
      <w:proofErr w:type="spellEnd"/>
      <w:r w:rsidRPr="00BD5EC6">
        <w:t xml:space="preserve"> Egyezményt és a 2001. évi LXXXI. törvényben hirdette ki. Az EU 2000. július 17-i 2000/479/EK EPER határozatával létrehozta saját Európai Szennyezőanyag Kibocsátási Nyilvántartását (EPER). Bár 2001-ben még nem voltunk tagjai az Uniónak, ennek ellenére 2003-ban önkéntes alapon teljesítettük az EPER adatszolgáltatást</w:t>
      </w:r>
      <w:r w:rsidR="00C41587" w:rsidRPr="00BD5EC6">
        <w:t>.</w:t>
      </w:r>
      <w:r w:rsidRPr="00BD5EC6">
        <w:t xml:space="preserve"> A következő jelentést 2006-ban már EU tagként kötelezően teljesítettük az EU Bizottság részére. Eközben 2003-ban Magyarország több országgal együtt Kijevben aláírta a PRTR (</w:t>
      </w:r>
      <w:proofErr w:type="spellStart"/>
      <w:r w:rsidRPr="00BD5EC6">
        <w:t>PollutionRelease</w:t>
      </w:r>
      <w:proofErr w:type="spellEnd"/>
      <w:r w:rsidRPr="00BD5EC6">
        <w:t xml:space="preserve"> a</w:t>
      </w:r>
      <w:r w:rsidR="005E2DC0" w:rsidRPr="00BD5EC6">
        <w:t xml:space="preserve">nd </w:t>
      </w:r>
      <w:proofErr w:type="spellStart"/>
      <w:r w:rsidR="005E2DC0" w:rsidRPr="00BD5EC6">
        <w:t>TransferRegister</w:t>
      </w:r>
      <w:proofErr w:type="spellEnd"/>
      <w:r w:rsidR="005E2DC0" w:rsidRPr="00BD5EC6">
        <w:t>) J</w:t>
      </w:r>
      <w:r w:rsidR="00766795" w:rsidRPr="00BD5EC6">
        <w:t>egyzőkönyvet</w:t>
      </w:r>
      <w:r w:rsidR="0003085B" w:rsidRPr="00BD5EC6">
        <w:t xml:space="preserve"> (továbbiakban JK)</w:t>
      </w:r>
      <w:r w:rsidRPr="00BD5EC6">
        <w:t xml:space="preserve">. 2006. január 18-án az Európai Parlament és Tanács elfogadta az Európai Szennyezőanyag-kibocsátási és </w:t>
      </w:r>
      <w:proofErr w:type="spellStart"/>
      <w:r w:rsidRPr="00BD5EC6">
        <w:t>-szállítási</w:t>
      </w:r>
      <w:proofErr w:type="spellEnd"/>
      <w:r w:rsidRPr="00BD5EC6">
        <w:t xml:space="preserve"> Nyilvántartás (E-PRTR) létrehozásáról, valamint a 91/689/EGK és a 96/61/EK tanácsi irányelv módosításáról szóló 166/2006/EK rendeletet (E-PRTR rendelet). A rendelet 2006. február 24-én lépett hatályba és az </w:t>
      </w:r>
      <w:proofErr w:type="spellStart"/>
      <w:r w:rsidRPr="00BD5EC6">
        <w:t>Aarhusi</w:t>
      </w:r>
      <w:proofErr w:type="spellEnd"/>
      <w:r w:rsidRPr="00BD5EC6">
        <w:t xml:space="preserve"> Egyezmén</w:t>
      </w:r>
      <w:r w:rsidR="005E2DC0" w:rsidRPr="00BD5EC6">
        <w:t xml:space="preserve">yhez kapcsolódó PRTR </w:t>
      </w:r>
      <w:proofErr w:type="spellStart"/>
      <w:r w:rsidR="005E2DC0" w:rsidRPr="00BD5EC6">
        <w:t>JK-</w:t>
      </w:r>
      <w:r w:rsidRPr="00BD5EC6">
        <w:t>nek</w:t>
      </w:r>
      <w:proofErr w:type="spellEnd"/>
      <w:r w:rsidRPr="00BD5EC6">
        <w:t xml:space="preserve"> (vagy más néven Kijevi J</w:t>
      </w:r>
      <w:r w:rsidR="005E2DC0" w:rsidRPr="00BD5EC6">
        <w:t>K</w:t>
      </w:r>
      <w:r w:rsidRPr="00BD5EC6">
        <w:t xml:space="preserve">) való Európai Uniós megfelelést célozta. Ezzel az aktussal az E-PRTR nyilvántartás az Európai Szennyezőanyag Kibocsátási Nyilvántartás (EPER) helyébe lépett. Tekintettel arra, hogy az EU a </w:t>
      </w:r>
      <w:proofErr w:type="spellStart"/>
      <w:r w:rsidR="00EB0917" w:rsidRPr="00BD5EC6">
        <w:t>J</w:t>
      </w:r>
      <w:r w:rsidR="005E2DC0" w:rsidRPr="00BD5EC6">
        <w:t>K-</w:t>
      </w:r>
      <w:r w:rsidR="00EB0917" w:rsidRPr="00BD5EC6">
        <w:t>et</w:t>
      </w:r>
      <w:proofErr w:type="spellEnd"/>
      <w:r w:rsidR="00EB0917" w:rsidRPr="00BD5EC6">
        <w:t xml:space="preserve"> </w:t>
      </w:r>
      <w:r w:rsidRPr="00BD5EC6">
        <w:t xml:space="preserve">ratifikálta és az E-PRTR rendelet létrehozásakor a </w:t>
      </w:r>
      <w:r w:rsidR="00EB0917" w:rsidRPr="00BD5EC6">
        <w:t>J</w:t>
      </w:r>
      <w:r w:rsidR="005E2DC0" w:rsidRPr="00BD5EC6">
        <w:t>K</w:t>
      </w:r>
      <w:r w:rsidRPr="00BD5EC6">
        <w:t xml:space="preserve"> előírásait maximálisan figyelembe vette, valamint az E-PRTR rendelet Magyarországon közvetlenül hatályos</w:t>
      </w:r>
      <w:r w:rsidR="00C41587" w:rsidRPr="00BD5EC6">
        <w:t xml:space="preserve">, teljesítve a rendelet előírásait, </w:t>
      </w:r>
      <w:r w:rsidR="003738CB" w:rsidRPr="00BD5EC6">
        <w:t xml:space="preserve">Magyarország a PRTR </w:t>
      </w:r>
      <w:proofErr w:type="spellStart"/>
      <w:r w:rsidR="003738CB" w:rsidRPr="00BD5EC6">
        <w:t>J</w:t>
      </w:r>
      <w:r w:rsidR="005E2DC0" w:rsidRPr="00BD5EC6">
        <w:t>K-et</w:t>
      </w:r>
      <w:proofErr w:type="spellEnd"/>
      <w:r w:rsidR="003738CB" w:rsidRPr="00BD5EC6">
        <w:t xml:space="preserve"> 2009. június 8-án </w:t>
      </w:r>
      <w:r w:rsidR="00012557" w:rsidRPr="00BD5EC6">
        <w:t>17. részes félként ratifikálta.</w:t>
      </w:r>
      <w:r w:rsidR="003738CB" w:rsidRPr="00BD5EC6">
        <w:t xml:space="preserve"> A J</w:t>
      </w:r>
      <w:r w:rsidR="005E2DC0" w:rsidRPr="00BD5EC6">
        <w:t>K</w:t>
      </w:r>
      <w:r w:rsidR="003738CB" w:rsidRPr="00BD5EC6">
        <w:t xml:space="preserve"> a 16. ratifikációt követően 2009. október 8-án lépett hatályba. </w:t>
      </w:r>
    </w:p>
    <w:p w:rsidR="002A7C31" w:rsidRPr="00BD5EC6" w:rsidRDefault="002A7C31" w:rsidP="002A7C31">
      <w:pPr>
        <w:autoSpaceDE w:val="0"/>
        <w:autoSpaceDN w:val="0"/>
        <w:adjustRightInd w:val="0"/>
        <w:spacing w:after="0" w:line="240" w:lineRule="auto"/>
        <w:jc w:val="both"/>
        <w:rPr>
          <w:rFonts w:eastAsia="Times New Roman" w:cs="Times New Roman"/>
        </w:rPr>
      </w:pPr>
    </w:p>
    <w:p w:rsidR="00B24C57" w:rsidRPr="00BD5EC6" w:rsidRDefault="00B24C57" w:rsidP="008E5AF1">
      <w:pPr>
        <w:pStyle w:val="Listaszerbekezds"/>
        <w:spacing w:after="0"/>
        <w:ind w:left="0"/>
        <w:jc w:val="both"/>
        <w:rPr>
          <w:b/>
          <w:u w:val="single"/>
        </w:rPr>
      </w:pPr>
      <w:r w:rsidRPr="00BD5EC6">
        <w:rPr>
          <w:b/>
          <w:u w:val="single"/>
        </w:rPr>
        <w:t>2014</w:t>
      </w:r>
      <w:r w:rsidR="005E14C3" w:rsidRPr="00BD5EC6">
        <w:rPr>
          <w:b/>
          <w:u w:val="single"/>
        </w:rPr>
        <w:t>.</w:t>
      </w:r>
      <w:r w:rsidRPr="00BD5EC6">
        <w:rPr>
          <w:b/>
          <w:u w:val="single"/>
        </w:rPr>
        <w:t xml:space="preserve"> és 2016</w:t>
      </w:r>
      <w:r w:rsidR="005E14C3" w:rsidRPr="00BD5EC6">
        <w:rPr>
          <w:b/>
          <w:u w:val="single"/>
        </w:rPr>
        <w:t>.</w:t>
      </w:r>
      <w:r w:rsidR="002B7CB2" w:rsidRPr="00BD5EC6">
        <w:rPr>
          <w:b/>
          <w:u w:val="single"/>
        </w:rPr>
        <w:t xml:space="preserve"> között történt</w:t>
      </w:r>
      <w:r w:rsidRPr="00BD5EC6">
        <w:rPr>
          <w:b/>
          <w:u w:val="single"/>
        </w:rPr>
        <w:t xml:space="preserve"> jelentős változások bemutatása</w:t>
      </w:r>
      <w:r w:rsidR="005E14C3" w:rsidRPr="00BD5EC6">
        <w:rPr>
          <w:b/>
          <w:u w:val="single"/>
        </w:rPr>
        <w:t>:</w:t>
      </w:r>
      <w:r w:rsidRPr="00BD5EC6">
        <w:rPr>
          <w:b/>
          <w:u w:val="single"/>
        </w:rPr>
        <w:t xml:space="preserve"> </w:t>
      </w:r>
    </w:p>
    <w:p w:rsidR="00B24C57" w:rsidRPr="00BD5EC6" w:rsidRDefault="00B24C57" w:rsidP="00062A6B">
      <w:pPr>
        <w:jc w:val="both"/>
      </w:pPr>
    </w:p>
    <w:p w:rsidR="00062A6B" w:rsidRPr="00BD5EC6" w:rsidRDefault="00062A6B" w:rsidP="008E5AF1">
      <w:pPr>
        <w:pStyle w:val="Listaszerbekezds"/>
        <w:numPr>
          <w:ilvl w:val="0"/>
          <w:numId w:val="23"/>
        </w:numPr>
        <w:ind w:left="0"/>
        <w:jc w:val="both"/>
        <w:rPr>
          <w:b/>
        </w:rPr>
      </w:pPr>
      <w:r w:rsidRPr="00BD5EC6">
        <w:rPr>
          <w:b/>
        </w:rPr>
        <w:t>Az előző jelentésekhez képest jelentős változásnak te</w:t>
      </w:r>
      <w:r w:rsidR="005E14C3" w:rsidRPr="00BD5EC6">
        <w:rPr>
          <w:b/>
        </w:rPr>
        <w:t>kinthető az adatszolgáltatás</w:t>
      </w:r>
      <w:r w:rsidRPr="00BD5EC6">
        <w:rPr>
          <w:b/>
        </w:rPr>
        <w:t xml:space="preserve"> elektronikussá tétele.</w:t>
      </w:r>
    </w:p>
    <w:p w:rsidR="00062A6B" w:rsidRPr="00BD5EC6" w:rsidRDefault="00062A6B" w:rsidP="00062A6B">
      <w:pPr>
        <w:jc w:val="both"/>
        <w:rPr>
          <w:rFonts w:eastAsia="Times New Roman" w:cs="Times New Roman"/>
          <w:bCs/>
        </w:rPr>
      </w:pPr>
      <w:r w:rsidRPr="00BD5EC6">
        <w:rPr>
          <w:rFonts w:eastAsia="Times New Roman" w:cs="Times New Roman"/>
          <w:bCs/>
        </w:rPr>
        <w:t xml:space="preserve">2015. január 1-től az Országos Környezetvédelmi </w:t>
      </w:r>
      <w:r w:rsidR="006A4600" w:rsidRPr="00BD5EC6">
        <w:rPr>
          <w:rFonts w:eastAsia="Times New Roman" w:cs="Times New Roman"/>
          <w:bCs/>
        </w:rPr>
        <w:t xml:space="preserve">Információs </w:t>
      </w:r>
      <w:r w:rsidRPr="00BD5EC6">
        <w:rPr>
          <w:rFonts w:eastAsia="Times New Roman" w:cs="Times New Roman"/>
          <w:bCs/>
        </w:rPr>
        <w:t xml:space="preserve">Rendszer </w:t>
      </w:r>
      <w:r w:rsidR="006A4600" w:rsidRPr="00BD5EC6">
        <w:rPr>
          <w:rFonts w:eastAsia="Times New Roman" w:cs="Times New Roman"/>
          <w:bCs/>
        </w:rPr>
        <w:t xml:space="preserve">(továbbiakban: OKIR) </w:t>
      </w:r>
      <w:r w:rsidRPr="00BD5EC6">
        <w:rPr>
          <w:rFonts w:eastAsia="Times New Roman" w:cs="Times New Roman"/>
          <w:bCs/>
        </w:rPr>
        <w:t>továbbfejlesztése révén a környezetvédelmi adatszolgáltatások (beleértve a PRTR rendelethez tartozóakat is) kizárólagosan elektronikusan teljesíthetők.</w:t>
      </w:r>
    </w:p>
    <w:p w:rsidR="00B2303A" w:rsidRPr="00BD5EC6" w:rsidRDefault="006A4600" w:rsidP="00062A6B">
      <w:pPr>
        <w:spacing w:after="0" w:line="240" w:lineRule="auto"/>
        <w:jc w:val="both"/>
        <w:rPr>
          <w:rFonts w:eastAsia="Times New Roman" w:cs="Times New Roman"/>
          <w:bCs/>
        </w:rPr>
      </w:pPr>
      <w:r w:rsidRPr="00BD5EC6">
        <w:rPr>
          <w:rFonts w:eastAsia="Times New Roman" w:cs="Times New Roman"/>
          <w:bCs/>
        </w:rPr>
        <w:lastRenderedPageBreak/>
        <w:t xml:space="preserve">A Földművelésügyi Minisztérium által működtetett OKIR végzi a környezet állapotának és használatának figyelemmel kísérését, igénybevételi és terhelési adatainak gyűjtését, feldolgozását, nyilvántartását, az érintett felhasználók (beleértve a nyilvánosságot is) környezetre vonatkozó információkkal történő ellátását. </w:t>
      </w:r>
      <w:r w:rsidR="00006C3C" w:rsidRPr="00BD5EC6">
        <w:rPr>
          <w:rFonts w:eastAsia="Times New Roman" w:cs="Times New Roman"/>
        </w:rPr>
        <w:t>Az OKIR</w:t>
      </w:r>
      <w:r w:rsidR="00B2303A" w:rsidRPr="00BD5EC6">
        <w:rPr>
          <w:rFonts w:eastAsia="Times New Roman" w:cs="Times New Roman"/>
        </w:rPr>
        <w:t xml:space="preserve"> fejlesztése biztosítja, hogy a környezetvédelmi szakterül</w:t>
      </w:r>
      <w:r w:rsidR="00006C3C" w:rsidRPr="00BD5EC6">
        <w:rPr>
          <w:rFonts w:eastAsia="Times New Roman" w:cs="Times New Roman"/>
        </w:rPr>
        <w:t>eti adatszolgáltatások</w:t>
      </w:r>
      <w:r w:rsidR="00B2303A" w:rsidRPr="00BD5EC6">
        <w:rPr>
          <w:rFonts w:eastAsia="Times New Roman" w:cs="Times New Roman"/>
        </w:rPr>
        <w:t xml:space="preserve"> elektronikus úton,</w:t>
      </w:r>
      <w:r w:rsidR="00126E10" w:rsidRPr="00BD5EC6">
        <w:rPr>
          <w:rFonts w:eastAsia="Times New Roman" w:cs="Times New Roman"/>
        </w:rPr>
        <w:t xml:space="preserve"> az </w:t>
      </w:r>
      <w:r w:rsidR="00B2303A" w:rsidRPr="00BD5EC6">
        <w:rPr>
          <w:rFonts w:eastAsia="Times New Roman" w:cs="Times New Roman"/>
        </w:rPr>
        <w:t>Által</w:t>
      </w:r>
      <w:r w:rsidR="00126E10" w:rsidRPr="00BD5EC6">
        <w:rPr>
          <w:rFonts w:eastAsia="Times New Roman" w:cs="Times New Roman"/>
        </w:rPr>
        <w:t>ános Nyomtatványkitöltő (ÁNYK) Keretprogrammal,</w:t>
      </w:r>
      <w:r w:rsidR="00B2303A" w:rsidRPr="00BD5EC6">
        <w:rPr>
          <w:rFonts w:eastAsia="Times New Roman" w:cs="Times New Roman"/>
        </w:rPr>
        <w:t xml:space="preserve"> Ügyfélkapun keresztül kerülhessenek benyújtásra. Az új rendszer lehetővé tesz</w:t>
      </w:r>
      <w:r w:rsidR="0036457A" w:rsidRPr="00BD5EC6">
        <w:rPr>
          <w:rFonts w:eastAsia="Times New Roman" w:cs="Times New Roman"/>
        </w:rPr>
        <w:t>i</w:t>
      </w:r>
      <w:r w:rsidR="00B2303A" w:rsidRPr="00BD5EC6">
        <w:rPr>
          <w:rFonts w:eastAsia="Times New Roman" w:cs="Times New Roman"/>
        </w:rPr>
        <w:t xml:space="preserve"> az egyes adatszolgáltatások</w:t>
      </w:r>
      <w:r w:rsidR="007E5456" w:rsidRPr="00BD5EC6">
        <w:rPr>
          <w:rFonts w:eastAsia="Times New Roman" w:cs="Times New Roman"/>
        </w:rPr>
        <w:t xml:space="preserve"> többszintű</w:t>
      </w:r>
      <w:r w:rsidR="00B2303A" w:rsidRPr="00BD5EC6">
        <w:rPr>
          <w:rFonts w:eastAsia="Times New Roman" w:cs="Times New Roman"/>
        </w:rPr>
        <w:t xml:space="preserve"> </w:t>
      </w:r>
      <w:r w:rsidR="00006C3C" w:rsidRPr="00BD5EC6">
        <w:rPr>
          <w:rFonts w:eastAsia="Times New Roman" w:cs="Times New Roman"/>
        </w:rPr>
        <w:t xml:space="preserve">ellenőrzését, </w:t>
      </w:r>
      <w:r w:rsidR="007E5456" w:rsidRPr="00BD5EC6">
        <w:rPr>
          <w:rFonts w:eastAsia="Times New Roman" w:cs="Times New Roman"/>
        </w:rPr>
        <w:t xml:space="preserve">beépített automatizmusokkal </w:t>
      </w:r>
      <w:r w:rsidR="00006C3C" w:rsidRPr="00BD5EC6">
        <w:rPr>
          <w:rFonts w:eastAsia="Times New Roman" w:cs="Times New Roman"/>
        </w:rPr>
        <w:t xml:space="preserve">segítve </w:t>
      </w:r>
      <w:r w:rsidR="00B2303A" w:rsidRPr="00BD5EC6">
        <w:rPr>
          <w:rFonts w:eastAsia="Times New Roman" w:cs="Times New Roman"/>
        </w:rPr>
        <w:t>a hatóság munkáját.</w:t>
      </w:r>
    </w:p>
    <w:p w:rsidR="00062A6B" w:rsidRPr="00BD5EC6" w:rsidRDefault="00422231" w:rsidP="00062A6B">
      <w:pPr>
        <w:spacing w:after="0" w:line="240" w:lineRule="auto"/>
        <w:jc w:val="both"/>
        <w:rPr>
          <w:rFonts w:eastAsia="Times New Roman" w:cs="Times New Roman"/>
          <w:bCs/>
        </w:rPr>
      </w:pPr>
      <w:r w:rsidRPr="00BD5EC6">
        <w:rPr>
          <w:rFonts w:eastAsia="Times New Roman" w:cs="Times New Roman"/>
          <w:bCs/>
        </w:rPr>
        <w:t>2014-ben a fejlesztések</w:t>
      </w:r>
      <w:r w:rsidR="006E2646" w:rsidRPr="00BD5EC6">
        <w:rPr>
          <w:rFonts w:eastAsia="Times New Roman" w:cs="Times New Roman"/>
          <w:bCs/>
        </w:rPr>
        <w:t>nek köszönhetően</w:t>
      </w:r>
      <w:r w:rsidRPr="00BD5EC6">
        <w:rPr>
          <w:rFonts w:eastAsia="Times New Roman" w:cs="Times New Roman"/>
          <w:bCs/>
        </w:rPr>
        <w:t xml:space="preserve"> a </w:t>
      </w:r>
      <w:r w:rsidR="00062A6B" w:rsidRPr="00BD5EC6">
        <w:rPr>
          <w:rFonts w:eastAsia="Times New Roman" w:cs="Times New Roman"/>
          <w:bCs/>
        </w:rPr>
        <w:t xml:space="preserve">környezeti adatgyűjtési rendszer és ezzel párhuzamosan a környezettel kapcsolatos adatok, információk publikálásának korszerű, az elektronikus közigazgatási szolgáltatások rendszerébe illeszkedő átalakítása történt </w:t>
      </w:r>
      <w:r w:rsidRPr="00BD5EC6">
        <w:rPr>
          <w:rFonts w:eastAsia="Times New Roman" w:cs="Times New Roman"/>
          <w:bCs/>
        </w:rPr>
        <w:t>meg.</w:t>
      </w:r>
    </w:p>
    <w:p w:rsidR="00062A6B" w:rsidRPr="00BD5EC6" w:rsidRDefault="00062A6B" w:rsidP="00062A6B">
      <w:pPr>
        <w:spacing w:after="0" w:line="240" w:lineRule="auto"/>
        <w:jc w:val="both"/>
        <w:rPr>
          <w:rFonts w:eastAsia="Times New Roman" w:cs="Times New Roman"/>
          <w:bCs/>
        </w:rPr>
      </w:pPr>
    </w:p>
    <w:p w:rsidR="00062A6B" w:rsidRPr="00BD5EC6" w:rsidRDefault="0008439D" w:rsidP="00062A6B">
      <w:pPr>
        <w:spacing w:after="0" w:line="240" w:lineRule="auto"/>
        <w:jc w:val="both"/>
        <w:rPr>
          <w:rFonts w:eastAsia="Times New Roman" w:cs="Times New Roman"/>
          <w:bCs/>
        </w:rPr>
      </w:pPr>
      <w:r w:rsidRPr="00BD5EC6">
        <w:rPr>
          <w:rFonts w:eastAsia="Times New Roman" w:cs="Times New Roman"/>
          <w:bCs/>
        </w:rPr>
        <w:t>A</w:t>
      </w:r>
      <w:r w:rsidR="00062A6B" w:rsidRPr="00BD5EC6">
        <w:rPr>
          <w:rFonts w:eastAsia="Times New Roman" w:cs="Times New Roman"/>
          <w:bCs/>
        </w:rPr>
        <w:t xml:space="preserve"> környezethasználók adatszolgáltatásának elektronikussá tételével a papíra</w:t>
      </w:r>
      <w:r w:rsidR="00006C3C" w:rsidRPr="00BD5EC6">
        <w:rPr>
          <w:rFonts w:eastAsia="Times New Roman" w:cs="Times New Roman"/>
          <w:bCs/>
        </w:rPr>
        <w:t>lapú adatszolgáltatást felváltotta</w:t>
      </w:r>
      <w:r w:rsidR="00062A6B" w:rsidRPr="00BD5EC6">
        <w:rPr>
          <w:rFonts w:eastAsia="Times New Roman" w:cs="Times New Roman"/>
          <w:bCs/>
        </w:rPr>
        <w:t xml:space="preserve"> az ügyfélkapus adatszolg</w:t>
      </w:r>
      <w:r w:rsidR="00006C3C" w:rsidRPr="00BD5EC6">
        <w:rPr>
          <w:rFonts w:eastAsia="Times New Roman" w:cs="Times New Roman"/>
          <w:bCs/>
        </w:rPr>
        <w:t>áltatási rendszer</w:t>
      </w:r>
      <w:r w:rsidRPr="00BD5EC6">
        <w:rPr>
          <w:rFonts w:eastAsia="Times New Roman" w:cs="Times New Roman"/>
          <w:bCs/>
        </w:rPr>
        <w:t xml:space="preserve">. </w:t>
      </w:r>
      <w:r w:rsidR="00062A6B" w:rsidRPr="00BD5EC6">
        <w:rPr>
          <w:rFonts w:eastAsia="Times New Roman" w:cs="Times New Roman"/>
          <w:bCs/>
        </w:rPr>
        <w:t>A fejlesztés eredményeképpen létrejött a</w:t>
      </w:r>
      <w:r w:rsidR="005E14C3" w:rsidRPr="00BD5EC6">
        <w:rPr>
          <w:rFonts w:eastAsia="Times New Roman" w:cs="Times New Roman"/>
          <w:bCs/>
        </w:rPr>
        <w:t xml:space="preserve"> megúju</w:t>
      </w:r>
      <w:r w:rsidR="00062A6B" w:rsidRPr="00BD5EC6">
        <w:rPr>
          <w:rFonts w:eastAsia="Times New Roman" w:cs="Times New Roman"/>
          <w:bCs/>
        </w:rPr>
        <w:t>lt OKIR nyilvánosság tájékoztatásához szükséges publikus, internetes felülete</w:t>
      </w:r>
      <w:r w:rsidR="007E5456" w:rsidRPr="00BD5EC6">
        <w:rPr>
          <w:rFonts w:eastAsia="Times New Roman" w:cs="Times New Roman"/>
          <w:bCs/>
        </w:rPr>
        <w:t xml:space="preserve"> (web.okir.hu)</w:t>
      </w:r>
      <w:r w:rsidR="00062A6B" w:rsidRPr="00BD5EC6">
        <w:rPr>
          <w:rFonts w:eastAsia="Times New Roman" w:cs="Times New Roman"/>
          <w:bCs/>
        </w:rPr>
        <w:t xml:space="preserve">. Az internetes honlapon megjelenő környezeti információk tekintetében az ún. </w:t>
      </w:r>
      <w:proofErr w:type="gramStart"/>
      <w:r w:rsidR="00062A6B" w:rsidRPr="00BD5EC6">
        <w:rPr>
          <w:rFonts w:eastAsia="Times New Roman" w:cs="Times New Roman"/>
          <w:bCs/>
        </w:rPr>
        <w:t>nyilvánosságra</w:t>
      </w:r>
      <w:proofErr w:type="gramEnd"/>
      <w:r w:rsidR="00062A6B" w:rsidRPr="00BD5EC6">
        <w:rPr>
          <w:rFonts w:eastAsia="Times New Roman" w:cs="Times New Roman"/>
          <w:bCs/>
        </w:rPr>
        <w:t xml:space="preserve"> hozandó közérdekű adatok ingyen elérhetők.</w:t>
      </w:r>
    </w:p>
    <w:p w:rsidR="00062A6B" w:rsidRPr="00BD5EC6" w:rsidRDefault="005E14C3" w:rsidP="00A41C01">
      <w:pPr>
        <w:spacing w:after="0" w:line="240" w:lineRule="auto"/>
        <w:jc w:val="both"/>
        <w:rPr>
          <w:rFonts w:eastAsia="Times New Roman" w:cs="Times New Roman"/>
          <w:bCs/>
        </w:rPr>
      </w:pPr>
      <w:r w:rsidRPr="00BD5EC6">
        <w:rPr>
          <w:rFonts w:eastAsia="Times New Roman" w:cs="Times New Roman"/>
          <w:bCs/>
        </w:rPr>
        <w:t>Az e</w:t>
      </w:r>
      <w:r w:rsidR="00062A6B" w:rsidRPr="00BD5EC6">
        <w:rPr>
          <w:rFonts w:eastAsia="Times New Roman" w:cs="Times New Roman"/>
          <w:bCs/>
        </w:rPr>
        <w:t xml:space="preserve">gyes szakrendszerek közötti </w:t>
      </w:r>
      <w:r w:rsidR="00A41C01" w:rsidRPr="00BD5EC6">
        <w:rPr>
          <w:rFonts w:eastAsia="Times New Roman" w:cs="Times New Roman"/>
          <w:bCs/>
        </w:rPr>
        <w:t xml:space="preserve">informatikai kapcsolatokat is fejlesztették, nőtt az átjárhatóság a szakrendszerek és az </w:t>
      </w:r>
      <w:proofErr w:type="spellStart"/>
      <w:r w:rsidR="00A41C01" w:rsidRPr="00BD5EC6">
        <w:rPr>
          <w:rFonts w:eastAsia="Times New Roman" w:cs="Times New Roman"/>
          <w:bCs/>
        </w:rPr>
        <w:t>OKIR-on</w:t>
      </w:r>
      <w:proofErr w:type="spellEnd"/>
      <w:r w:rsidR="00A41C01" w:rsidRPr="00BD5EC6">
        <w:rPr>
          <w:rFonts w:eastAsia="Times New Roman" w:cs="Times New Roman"/>
          <w:bCs/>
        </w:rPr>
        <w:t xml:space="preserve"> kívüli ren</w:t>
      </w:r>
      <w:r w:rsidRPr="00BD5EC6">
        <w:rPr>
          <w:rFonts w:eastAsia="Times New Roman" w:cs="Times New Roman"/>
          <w:bCs/>
        </w:rPr>
        <w:t>d</w:t>
      </w:r>
      <w:r w:rsidR="00A41C01" w:rsidRPr="00BD5EC6">
        <w:rPr>
          <w:rFonts w:eastAsia="Times New Roman" w:cs="Times New Roman"/>
          <w:bCs/>
        </w:rPr>
        <w:t xml:space="preserve">szerek között. Az egyes szakterületi adatok, a másik szakrendszerben is megjeleníthetők lettek, így elkerülhető a </w:t>
      </w:r>
      <w:proofErr w:type="spellStart"/>
      <w:r w:rsidR="00A41C01" w:rsidRPr="00BD5EC6">
        <w:rPr>
          <w:rFonts w:eastAsia="Times New Roman" w:cs="Times New Roman"/>
          <w:bCs/>
        </w:rPr>
        <w:t>duplikáció</w:t>
      </w:r>
      <w:proofErr w:type="spellEnd"/>
      <w:r w:rsidR="00A41C01" w:rsidRPr="00BD5EC6">
        <w:rPr>
          <w:rFonts w:eastAsia="Times New Roman" w:cs="Times New Roman"/>
          <w:bCs/>
        </w:rPr>
        <w:t>, és</w:t>
      </w:r>
      <w:r w:rsidRPr="00BD5EC6">
        <w:rPr>
          <w:rFonts w:eastAsia="Times New Roman" w:cs="Times New Roman"/>
          <w:bCs/>
        </w:rPr>
        <w:t xml:space="preserve"> ez által </w:t>
      </w:r>
      <w:r w:rsidR="00A41C01" w:rsidRPr="00BD5EC6">
        <w:rPr>
          <w:rFonts w:eastAsia="Times New Roman" w:cs="Times New Roman"/>
          <w:bCs/>
        </w:rPr>
        <w:t>csökkentek az ügyfel</w:t>
      </w:r>
      <w:r w:rsidR="00A36754" w:rsidRPr="00BD5EC6">
        <w:rPr>
          <w:rFonts w:eastAsia="Times New Roman" w:cs="Times New Roman"/>
          <w:bCs/>
        </w:rPr>
        <w:t>ek admi</w:t>
      </w:r>
      <w:r w:rsidRPr="00BD5EC6">
        <w:rPr>
          <w:rFonts w:eastAsia="Times New Roman" w:cs="Times New Roman"/>
          <w:bCs/>
        </w:rPr>
        <w:t>n</w:t>
      </w:r>
      <w:r w:rsidR="00A36754" w:rsidRPr="00BD5EC6">
        <w:rPr>
          <w:rFonts w:eastAsia="Times New Roman" w:cs="Times New Roman"/>
          <w:bCs/>
        </w:rPr>
        <w:t>isztrációs terhei.</w:t>
      </w:r>
    </w:p>
    <w:p w:rsidR="00062A6B" w:rsidRPr="00BD5EC6" w:rsidRDefault="00062A6B" w:rsidP="00062A6B">
      <w:pPr>
        <w:spacing w:after="0" w:line="240" w:lineRule="auto"/>
        <w:jc w:val="both"/>
        <w:rPr>
          <w:rFonts w:eastAsia="Times New Roman" w:cs="CG Times"/>
        </w:rPr>
      </w:pPr>
      <w:r w:rsidRPr="00BD5EC6">
        <w:rPr>
          <w:rFonts w:eastAsia="Times New Roman" w:cs="CG Times"/>
        </w:rPr>
        <w:t xml:space="preserve">A rendszer </w:t>
      </w:r>
      <w:r w:rsidR="00006C3C" w:rsidRPr="00BD5EC6">
        <w:rPr>
          <w:rFonts w:eastAsia="Times New Roman" w:cs="CG Times"/>
        </w:rPr>
        <w:t xml:space="preserve">alapja a </w:t>
      </w:r>
      <w:r w:rsidRPr="00BD5EC6">
        <w:rPr>
          <w:rFonts w:eastAsia="Times New Roman" w:cs="CG Times"/>
        </w:rPr>
        <w:t>környezetvédelem területén tevékenységet végző ügyfelek és objektumok alapadatait nyilvántartó Környezetvédelmi Alapnyilvántartó rendszer (</w:t>
      </w:r>
      <w:r w:rsidRPr="00BD5EC6">
        <w:rPr>
          <w:rFonts w:eastAsia="Times New Roman" w:cs="CG Times"/>
          <w:b/>
        </w:rPr>
        <w:t>KAR</w:t>
      </w:r>
      <w:r w:rsidR="00006C3C" w:rsidRPr="00BD5EC6">
        <w:rPr>
          <w:rFonts w:eastAsia="Times New Roman" w:cs="CG Times"/>
        </w:rPr>
        <w:t>)</w:t>
      </w:r>
      <w:r w:rsidRPr="00BD5EC6">
        <w:rPr>
          <w:rFonts w:eastAsia="Times New Roman" w:cs="CG Times"/>
        </w:rPr>
        <w:t xml:space="preserve">. Az OKIR része továbbá </w:t>
      </w:r>
      <w:r w:rsidR="00006C3C" w:rsidRPr="00BD5EC6">
        <w:rPr>
          <w:rFonts w:eastAsia="Times New Roman" w:cs="CG Times"/>
        </w:rPr>
        <w:t>a Hatósági Nyilvántartó Rendszer (</w:t>
      </w:r>
      <w:r w:rsidR="00006C3C" w:rsidRPr="00BD5EC6">
        <w:rPr>
          <w:rFonts w:eastAsia="Times New Roman" w:cs="CG Times"/>
          <w:b/>
        </w:rPr>
        <w:t>HNYR</w:t>
      </w:r>
      <w:r w:rsidR="00006C3C" w:rsidRPr="00BD5EC6">
        <w:rPr>
          <w:rFonts w:eastAsia="Times New Roman" w:cs="CG Times"/>
        </w:rPr>
        <w:t xml:space="preserve">), </w:t>
      </w:r>
      <w:r w:rsidRPr="00BD5EC6">
        <w:rPr>
          <w:rFonts w:eastAsia="Times New Roman" w:cs="CG Times"/>
        </w:rPr>
        <w:t>a Létesítmény Nyilvántartó Rendszer (</w:t>
      </w:r>
      <w:r w:rsidRPr="00BD5EC6">
        <w:rPr>
          <w:rFonts w:eastAsia="Times New Roman" w:cs="CG Times"/>
          <w:b/>
        </w:rPr>
        <w:t>LNYR</w:t>
      </w:r>
      <w:r w:rsidRPr="00BD5EC6">
        <w:rPr>
          <w:rFonts w:eastAsia="Times New Roman" w:cs="CG Times"/>
        </w:rPr>
        <w:t>), a</w:t>
      </w:r>
      <w:r w:rsidR="0036457A" w:rsidRPr="00BD5EC6">
        <w:rPr>
          <w:rFonts w:eastAsia="Times New Roman" w:cs="CG Times"/>
        </w:rPr>
        <w:t>z</w:t>
      </w:r>
      <w:r w:rsidRPr="00BD5EC6">
        <w:rPr>
          <w:rFonts w:eastAsia="Times New Roman" w:cs="CG Times"/>
        </w:rPr>
        <w:t xml:space="preserve"> </w:t>
      </w:r>
      <w:r w:rsidR="004D1146" w:rsidRPr="00BD5EC6">
        <w:rPr>
          <w:rFonts w:eastAsia="Times New Roman" w:cs="CG Times"/>
        </w:rPr>
        <w:t xml:space="preserve">Egységes </w:t>
      </w:r>
      <w:r w:rsidRPr="00BD5EC6">
        <w:rPr>
          <w:rFonts w:eastAsia="Times New Roman" w:cs="CG Times"/>
        </w:rPr>
        <w:t>Hulladékgazdálkodási Információs Rendszer (</w:t>
      </w:r>
      <w:r w:rsidR="004D1146" w:rsidRPr="00BD5EC6">
        <w:rPr>
          <w:rFonts w:eastAsia="Times New Roman" w:cs="CG Times"/>
        </w:rPr>
        <w:t>E</w:t>
      </w:r>
      <w:r w:rsidRPr="00BD5EC6">
        <w:rPr>
          <w:rFonts w:eastAsia="Times New Roman" w:cs="CG Times"/>
          <w:b/>
        </w:rPr>
        <w:t>HIR</w:t>
      </w:r>
      <w:r w:rsidRPr="00BD5EC6">
        <w:rPr>
          <w:rFonts w:eastAsia="Times New Roman" w:cs="CG Times"/>
        </w:rPr>
        <w:t>), a Felszín alatti víz és földtani közeg környezetvédelmi nyilvántartási rendszere (</w:t>
      </w:r>
      <w:r w:rsidRPr="00BD5EC6">
        <w:rPr>
          <w:rFonts w:eastAsia="Times New Roman" w:cs="CG Times"/>
          <w:b/>
        </w:rPr>
        <w:t>FAVI</w:t>
      </w:r>
      <w:r w:rsidRPr="00BD5EC6">
        <w:rPr>
          <w:rFonts w:eastAsia="Times New Roman" w:cs="CG Times"/>
        </w:rPr>
        <w:t>), a Felszíni vízminőség nyilvántartási rendszere (</w:t>
      </w:r>
      <w:r w:rsidRPr="00BD5EC6">
        <w:rPr>
          <w:rFonts w:eastAsia="Times New Roman" w:cs="CG Times"/>
          <w:b/>
        </w:rPr>
        <w:t>FEVI</w:t>
      </w:r>
      <w:r w:rsidRPr="00BD5EC6">
        <w:rPr>
          <w:rFonts w:eastAsia="Times New Roman" w:cs="CG Times"/>
        </w:rPr>
        <w:t>), a Levegőtisztaság-védelmi Információs rendszer (</w:t>
      </w:r>
      <w:r w:rsidRPr="00BD5EC6">
        <w:rPr>
          <w:rFonts w:eastAsia="Times New Roman" w:cs="CG Times"/>
          <w:b/>
        </w:rPr>
        <w:t>LAIR</w:t>
      </w:r>
      <w:r w:rsidRPr="00BD5EC6">
        <w:rPr>
          <w:rFonts w:eastAsia="Times New Roman" w:cs="CG Times"/>
        </w:rPr>
        <w:t>), valamint a Vízminőség-védelmi Alap- és Éves bejelentő Lapok adatrögzítő rendszere (</w:t>
      </w:r>
      <w:r w:rsidRPr="00BD5EC6">
        <w:rPr>
          <w:rFonts w:eastAsia="Times New Roman" w:cs="CG Times"/>
          <w:b/>
        </w:rPr>
        <w:t>VAL-VÉL</w:t>
      </w:r>
      <w:r w:rsidRPr="00BD5EC6">
        <w:rPr>
          <w:rFonts w:eastAsia="Times New Roman" w:cs="CG Times"/>
        </w:rPr>
        <w:t xml:space="preserve">). </w:t>
      </w:r>
    </w:p>
    <w:p w:rsidR="00126E10" w:rsidRPr="00BD5EC6" w:rsidRDefault="00126E10" w:rsidP="00062A6B">
      <w:pPr>
        <w:spacing w:after="0" w:line="240" w:lineRule="auto"/>
        <w:jc w:val="both"/>
        <w:rPr>
          <w:rFonts w:eastAsia="Times New Roman" w:cs="CG Times"/>
        </w:rPr>
      </w:pPr>
      <w:r w:rsidRPr="00BD5EC6">
        <w:rPr>
          <w:rFonts w:eastAsia="Times New Roman" w:cs="CG Times"/>
        </w:rPr>
        <w:t xml:space="preserve">A különböző szakterületek környezeti adatai </w:t>
      </w:r>
      <w:r w:rsidR="006B48BE" w:rsidRPr="00BD5EC6">
        <w:rPr>
          <w:rFonts w:eastAsia="Times New Roman" w:cs="CG Times"/>
        </w:rPr>
        <w:t xml:space="preserve">az </w:t>
      </w:r>
      <w:r w:rsidRPr="00BD5EC6">
        <w:rPr>
          <w:rFonts w:eastAsia="Times New Roman" w:cs="CG Times"/>
        </w:rPr>
        <w:t>erre a célra kifejlesztett adatlapokon nyújtható</w:t>
      </w:r>
      <w:r w:rsidR="006E2646" w:rsidRPr="00BD5EC6">
        <w:rPr>
          <w:rFonts w:eastAsia="Times New Roman" w:cs="CG Times"/>
        </w:rPr>
        <w:t>k</w:t>
      </w:r>
      <w:r w:rsidRPr="00BD5EC6">
        <w:rPr>
          <w:rFonts w:eastAsia="Times New Roman" w:cs="CG Times"/>
        </w:rPr>
        <w:t xml:space="preserve"> be a kitöltő program segítségével.</w:t>
      </w:r>
    </w:p>
    <w:p w:rsidR="003733B0" w:rsidRPr="00BD5EC6" w:rsidRDefault="003733B0" w:rsidP="00062A6B">
      <w:pPr>
        <w:spacing w:after="0" w:line="240" w:lineRule="auto"/>
        <w:jc w:val="both"/>
        <w:rPr>
          <w:rFonts w:eastAsia="Times New Roman" w:cs="Times New Roman"/>
          <w:color w:val="000000"/>
          <w:lang w:eastAsia="x-none"/>
        </w:rPr>
      </w:pPr>
    </w:p>
    <w:p w:rsidR="00D55E30" w:rsidRPr="00773794" w:rsidRDefault="00D55E30" w:rsidP="008E5AF1">
      <w:pPr>
        <w:pStyle w:val="Listaszerbekezds"/>
        <w:numPr>
          <w:ilvl w:val="0"/>
          <w:numId w:val="23"/>
        </w:numPr>
        <w:ind w:left="0"/>
        <w:jc w:val="both"/>
        <w:rPr>
          <w:b/>
          <w:bCs/>
          <w:u w:val="single"/>
        </w:rPr>
      </w:pPr>
      <w:r w:rsidRPr="00773794">
        <w:rPr>
          <w:b/>
          <w:bCs/>
          <w:u w:val="single"/>
        </w:rPr>
        <w:t xml:space="preserve">A környezet és természetvédelmi szervezetrendszer átalakulása </w:t>
      </w:r>
      <w:r w:rsidR="00446791" w:rsidRPr="00773794">
        <w:rPr>
          <w:b/>
          <w:bCs/>
          <w:u w:val="single"/>
        </w:rPr>
        <w:t>2015. április 1-</w:t>
      </w:r>
      <w:proofErr w:type="gramStart"/>
      <w:r w:rsidR="00446791" w:rsidRPr="00773794">
        <w:rPr>
          <w:b/>
          <w:bCs/>
          <w:u w:val="single"/>
        </w:rPr>
        <w:t>.jétől</w:t>
      </w:r>
      <w:proofErr w:type="gramEnd"/>
    </w:p>
    <w:p w:rsidR="00D55E30" w:rsidRPr="00BD5EC6" w:rsidRDefault="00D55E30" w:rsidP="00D55E30">
      <w:pPr>
        <w:jc w:val="both"/>
        <w:rPr>
          <w:iCs/>
        </w:rPr>
      </w:pPr>
      <w:r w:rsidRPr="00BD5EC6">
        <w:rPr>
          <w:iCs/>
        </w:rPr>
        <w:t>Az egyes közigazgatási tárgyú törvények módosításáról szóló 2015. évi VI. törvény, valamint a területi államigazgatási szervezetrendszer átalakításával összefüggő egyes törvények módosításáról szóló 2015. évi VIII. törvény rendelkezései szerint 2015. április 1-i hatállyal a korábban önálló szervként működő környezetvédelmi és természetvédelmi felügyelőségek</w:t>
      </w:r>
      <w:r w:rsidRPr="00BD5EC6">
        <w:rPr>
          <w:rFonts w:eastAsia="Calibri"/>
        </w:rPr>
        <w:t xml:space="preserve"> a </w:t>
      </w:r>
      <w:r w:rsidRPr="00BD5EC6">
        <w:rPr>
          <w:iCs/>
        </w:rPr>
        <w:t>fővárosi és megyei kormányhivatalokba integrálódtak</w:t>
      </w:r>
      <w:r w:rsidR="00084D9A" w:rsidRPr="00BD5EC6">
        <w:rPr>
          <w:iCs/>
        </w:rPr>
        <w:t xml:space="preserve"> (</w:t>
      </w:r>
      <w:r w:rsidR="00F02C07" w:rsidRPr="00BD5EC6">
        <w:rPr>
          <w:iCs/>
        </w:rPr>
        <w:t xml:space="preserve">továbbiakban: </w:t>
      </w:r>
      <w:r w:rsidR="00084D9A" w:rsidRPr="00BD5EC6">
        <w:rPr>
          <w:iCs/>
        </w:rPr>
        <w:t xml:space="preserve">területi környezetvédelmi hatóság). </w:t>
      </w:r>
      <w:r w:rsidRPr="00BD5EC6">
        <w:rPr>
          <w:iCs/>
        </w:rPr>
        <w:t>A kormányhivatalokat a kormánymegbízott vezeti.</w:t>
      </w:r>
    </w:p>
    <w:p w:rsidR="000B0694" w:rsidRPr="00BD5EC6" w:rsidRDefault="000B0694" w:rsidP="00D55E30">
      <w:pPr>
        <w:jc w:val="both"/>
        <w:rPr>
          <w:bCs/>
          <w:color w:val="474747"/>
        </w:rPr>
      </w:pPr>
      <w:r w:rsidRPr="00BD5EC6">
        <w:t xml:space="preserve">A környezetvédelmi és természetvédelmi hatósági és igazgatási feladatokat ellátó szervek kijelöléséről szóló 71/2015. (III. 30.) Korm. rendelet szerint a </w:t>
      </w:r>
      <w:r w:rsidRPr="00BD5EC6">
        <w:rPr>
          <w:iCs/>
        </w:rPr>
        <w:t>fővárosi és megyei Kormányhivatal</w:t>
      </w:r>
      <w:r w:rsidR="00B8435D" w:rsidRPr="00BD5EC6">
        <w:rPr>
          <w:iCs/>
        </w:rPr>
        <w:t>ok</w:t>
      </w:r>
      <w:r w:rsidRPr="00BD5EC6">
        <w:rPr>
          <w:iCs/>
        </w:rPr>
        <w:t xml:space="preserve"> Környezetvédelmi és Természetvédelmi Főosztályai látják el a PRTR adatszolgáltatással kapcsolatos feladatokat.</w:t>
      </w:r>
    </w:p>
    <w:p w:rsidR="00D55E30" w:rsidRPr="00BD5EC6" w:rsidRDefault="00D55E30" w:rsidP="00D55E30">
      <w:pPr>
        <w:jc w:val="both"/>
        <w:rPr>
          <w:bCs/>
          <w:color w:val="474747"/>
        </w:rPr>
      </w:pPr>
      <w:r w:rsidRPr="00BD5EC6">
        <w:rPr>
          <w:rFonts w:eastAsia="Calibri"/>
        </w:rPr>
        <w:t>A hivatkozott törvénymódosítási javaslatok kidolgozását széles körű szakmai előkészítő munka és hosszú vita előzte meg. A területi államigazgatás szervezeti átalakításáról készült koncepció megtárgyalása keretében az Államreform Bizottság külön albizottsága foglalkozott az integrált kormányhivatali szervezetrendszer kialakításával kapcsolatos kérdésekkel. A jogszabály-előkészítő munka során – a környezet védelmének általános szabályairól szóló 1995. évi LIII. törvény (a továbbiakban: Ktv.) 45. §</w:t>
      </w:r>
      <w:proofErr w:type="spellStart"/>
      <w:r w:rsidRPr="00BD5EC6">
        <w:rPr>
          <w:rFonts w:eastAsia="Calibri"/>
        </w:rPr>
        <w:t>-ában</w:t>
      </w:r>
      <w:proofErr w:type="spellEnd"/>
      <w:r w:rsidRPr="00BD5EC6">
        <w:rPr>
          <w:rFonts w:eastAsia="Calibri"/>
        </w:rPr>
        <w:t xml:space="preserve"> foglaltakra figyelemmel – bevonásra került a Kormány környezetvédelmi javaslattevő, tanácsadó, véleményező szerve az Országos Környezetvédelmi Tanács.</w:t>
      </w:r>
    </w:p>
    <w:p w:rsidR="00D55E30" w:rsidRPr="00773794" w:rsidRDefault="00D55E30" w:rsidP="00EE4E7C">
      <w:pPr>
        <w:tabs>
          <w:tab w:val="left" w:pos="1808"/>
        </w:tabs>
        <w:jc w:val="both"/>
        <w:rPr>
          <w:bCs/>
        </w:rPr>
      </w:pPr>
      <w:r w:rsidRPr="00773794">
        <w:rPr>
          <w:bCs/>
        </w:rPr>
        <w:t>Az új szervezeti rendszer alapvető vonásai az alábbiak szerint foglalhatók össze:</w:t>
      </w:r>
    </w:p>
    <w:p w:rsidR="00D55E30" w:rsidRPr="00BD5EC6" w:rsidRDefault="00D55E30" w:rsidP="00D55E30">
      <w:pPr>
        <w:pStyle w:val="Listaszerbekezds"/>
        <w:numPr>
          <w:ilvl w:val="0"/>
          <w:numId w:val="17"/>
        </w:numPr>
        <w:tabs>
          <w:tab w:val="left" w:pos="0"/>
        </w:tabs>
        <w:autoSpaceDE w:val="0"/>
        <w:autoSpaceDN w:val="0"/>
        <w:adjustRightInd w:val="0"/>
        <w:spacing w:after="0" w:line="240" w:lineRule="auto"/>
        <w:jc w:val="both"/>
      </w:pPr>
      <w:r w:rsidRPr="00BD5EC6">
        <w:t>az alapvető garanciákat az – egyébként változatlan tartalmú – anyagi jogi jogszabályi rendelkezések, vagyis a törvényi keretek, illetve a rendeleti szintű részletszabályok jelentik;</w:t>
      </w:r>
    </w:p>
    <w:p w:rsidR="00D55E30" w:rsidRPr="00BD5EC6" w:rsidRDefault="00D55E30" w:rsidP="00D55E30">
      <w:pPr>
        <w:pStyle w:val="Listaszerbekezds"/>
        <w:numPr>
          <w:ilvl w:val="0"/>
          <w:numId w:val="17"/>
        </w:numPr>
        <w:tabs>
          <w:tab w:val="left" w:pos="0"/>
        </w:tabs>
        <w:autoSpaceDE w:val="0"/>
        <w:autoSpaceDN w:val="0"/>
        <w:adjustRightInd w:val="0"/>
        <w:spacing w:after="0" w:line="240" w:lineRule="auto"/>
        <w:jc w:val="both"/>
      </w:pPr>
      <w:r w:rsidRPr="00BD5EC6">
        <w:t>az integrált feladat- és hatáskörében eljáró kormánymegbízott kötelessége és felelőssége a döntések jogszerűségének biztosítása, illetve az adott eljárásban valamennyi ágazati szakmai érdek érvényre juttatása a jogszabályok által kijelölt keretek között;</w:t>
      </w:r>
    </w:p>
    <w:p w:rsidR="00D55E30" w:rsidRPr="00BD5EC6" w:rsidRDefault="00D55E30" w:rsidP="00D55E30">
      <w:pPr>
        <w:pStyle w:val="Listaszerbekezds"/>
        <w:numPr>
          <w:ilvl w:val="0"/>
          <w:numId w:val="17"/>
        </w:numPr>
        <w:tabs>
          <w:tab w:val="left" w:pos="0"/>
        </w:tabs>
        <w:autoSpaceDE w:val="0"/>
        <w:autoSpaceDN w:val="0"/>
        <w:adjustRightInd w:val="0"/>
        <w:spacing w:after="0" w:line="240" w:lineRule="auto"/>
        <w:jc w:val="both"/>
      </w:pPr>
      <w:r w:rsidRPr="00BD5EC6">
        <w:t>a különböző engedélyezési eljárásokban korábban szakhatóságként közreműködő környezet-, illetve természetvédelmi hatóság</w:t>
      </w:r>
      <w:r w:rsidR="00084D9A" w:rsidRPr="00BD5EC6">
        <w:t xml:space="preserve"> (területi környezetvédelmi hatóság) a kormányhivatal feladatkörébe tartozó engedélyezés esetén szakkérdésként, egyéb hatóság engedélyezése esetén szakhatóságként vizsgálja a környezetvédelmi, természetvédelmi kérdéseket. S</w:t>
      </w:r>
      <w:r w:rsidRPr="00BD5EC6">
        <w:t>zakértőként történő jogszabályi kijelölésére és bevonására – kormányrendeletben meghatározott esetekben – kizárólag a rendes jogorvoslati szak</w:t>
      </w:r>
      <w:r w:rsidR="00B8435D" w:rsidRPr="00BD5EC6">
        <w:t>asz</w:t>
      </w:r>
      <w:r w:rsidRPr="00BD5EC6">
        <w:t>ban kerül sor: a fellebbezés elbírálására jogosult hatóság az elsőfokú döntés felülvizsgálata során az Országos Környezetvédelmi és Természetvédelmi Főfelügyelőség (OKTF) szakértői véleményének beszerzésével tesz eleget a tényállás-tisztázási kötelezettségének;</w:t>
      </w:r>
    </w:p>
    <w:p w:rsidR="00D55E30" w:rsidRPr="00BD5EC6" w:rsidRDefault="00D55E30" w:rsidP="00D55E30">
      <w:pPr>
        <w:pStyle w:val="Listaszerbekezds"/>
        <w:numPr>
          <w:ilvl w:val="0"/>
          <w:numId w:val="17"/>
        </w:numPr>
        <w:tabs>
          <w:tab w:val="left" w:pos="0"/>
        </w:tabs>
        <w:autoSpaceDE w:val="0"/>
        <w:autoSpaceDN w:val="0"/>
        <w:adjustRightInd w:val="0"/>
        <w:spacing w:after="0" w:line="240" w:lineRule="auto"/>
        <w:jc w:val="both"/>
      </w:pPr>
      <w:r w:rsidRPr="00BD5EC6">
        <w:t>a felügyeleti szerv a döntéseket hivatalból felülvizsgálhatja és az esetleges jogsértéseket – felügyeleti jogkörében eljárva – orvosolhatja;</w:t>
      </w:r>
    </w:p>
    <w:p w:rsidR="00D55E30" w:rsidRPr="00BD5EC6" w:rsidRDefault="00D55E30" w:rsidP="00D55E30">
      <w:pPr>
        <w:pStyle w:val="Listaszerbekezds"/>
        <w:numPr>
          <w:ilvl w:val="0"/>
          <w:numId w:val="17"/>
        </w:numPr>
        <w:tabs>
          <w:tab w:val="left" w:pos="0"/>
        </w:tabs>
        <w:autoSpaceDE w:val="0"/>
        <w:autoSpaceDN w:val="0"/>
        <w:adjustRightInd w:val="0"/>
        <w:spacing w:after="0" w:line="240" w:lineRule="auto"/>
        <w:jc w:val="both"/>
      </w:pPr>
      <w:r w:rsidRPr="00BD5EC6">
        <w:t>a szakmai irányító átfogó-, téma- és célvizsgálatok keretében ellenőrizheti az ágazati szakmai érdekek megfelelő érvényre juttatását és szükség szerint intézkedést tehet;</w:t>
      </w:r>
    </w:p>
    <w:p w:rsidR="00D55E30" w:rsidRPr="00BD5EC6" w:rsidRDefault="00D55E30" w:rsidP="00773794">
      <w:pPr>
        <w:pStyle w:val="Listaszerbekezds"/>
        <w:numPr>
          <w:ilvl w:val="0"/>
          <w:numId w:val="17"/>
        </w:numPr>
        <w:tabs>
          <w:tab w:val="left" w:pos="0"/>
        </w:tabs>
        <w:autoSpaceDE w:val="0"/>
        <w:autoSpaceDN w:val="0"/>
        <w:adjustRightInd w:val="0"/>
        <w:spacing w:after="0" w:line="240" w:lineRule="auto"/>
        <w:jc w:val="both"/>
      </w:pPr>
      <w:r w:rsidRPr="00BD5EC6">
        <w:t>mind a törvényi szintű, mind az ezen alapuló kormány- és miniszteri rendeletek megalkotása során – az eljárások egyszerűsítése, a szervezet átláthatóbbá, és költséghatékonyabbá tétele, a bürokratikus terhek csökkentése mellett – olyan szabályozás került kialakítására, amely a meglévő anyagi jogi keretek között megtartja az alapvető garanciákat, ugyanakkor rugalmasabb, a napi hatósági feladatok ellátásához, illetve a változó körülményekhez eredményesebben alkalmazkodni képes területi államigazgatási szervezetrendszert hozott létre.</w:t>
      </w:r>
    </w:p>
    <w:p w:rsidR="006E2646" w:rsidRPr="00BD5EC6" w:rsidRDefault="006E2646" w:rsidP="00773794">
      <w:pPr>
        <w:tabs>
          <w:tab w:val="left" w:pos="0"/>
        </w:tabs>
        <w:autoSpaceDE w:val="0"/>
        <w:autoSpaceDN w:val="0"/>
        <w:adjustRightInd w:val="0"/>
        <w:spacing w:after="0" w:line="240" w:lineRule="auto"/>
        <w:ind w:left="-360"/>
        <w:jc w:val="both"/>
      </w:pPr>
    </w:p>
    <w:p w:rsidR="00632229" w:rsidRPr="00773794" w:rsidRDefault="00632229" w:rsidP="006E2646">
      <w:pPr>
        <w:pStyle w:val="Listaszerbekezds"/>
        <w:numPr>
          <w:ilvl w:val="0"/>
          <w:numId w:val="23"/>
        </w:numPr>
        <w:spacing w:after="0" w:line="280" w:lineRule="exact"/>
        <w:ind w:left="0"/>
        <w:jc w:val="both"/>
        <w:rPr>
          <w:rFonts w:eastAsia="Times New Roman" w:cs="Times New Roman"/>
          <w:b/>
        </w:rPr>
      </w:pPr>
      <w:r w:rsidRPr="00773794">
        <w:rPr>
          <w:rFonts w:eastAsia="Times New Roman" w:cs="Times New Roman"/>
          <w:b/>
        </w:rPr>
        <w:t>201</w:t>
      </w:r>
      <w:r w:rsidR="006E2646" w:rsidRPr="00773794">
        <w:rPr>
          <w:rFonts w:eastAsia="Times New Roman" w:cs="Times New Roman"/>
          <w:b/>
        </w:rPr>
        <w:t>4</w:t>
      </w:r>
      <w:r w:rsidRPr="00773794">
        <w:rPr>
          <w:rFonts w:eastAsia="Times New Roman" w:cs="Times New Roman"/>
          <w:b/>
        </w:rPr>
        <w:t xml:space="preserve">. év során a vízügyi </w:t>
      </w:r>
      <w:r w:rsidR="00923884" w:rsidRPr="00773794">
        <w:rPr>
          <w:rFonts w:eastAsia="Times New Roman" w:cs="Times New Roman"/>
          <w:b/>
        </w:rPr>
        <w:t>hatósági rendszer is átalakult</w:t>
      </w:r>
      <w:r w:rsidRPr="00773794">
        <w:rPr>
          <w:rFonts w:eastAsia="Times New Roman" w:cs="Times New Roman"/>
          <w:b/>
        </w:rPr>
        <w:t xml:space="preserve">. </w:t>
      </w:r>
    </w:p>
    <w:p w:rsidR="00923884" w:rsidRPr="00BD5EC6" w:rsidRDefault="00923884" w:rsidP="00923884">
      <w:pPr>
        <w:spacing w:after="0" w:line="280" w:lineRule="exact"/>
        <w:jc w:val="both"/>
        <w:rPr>
          <w:rFonts w:eastAsia="Times New Roman" w:cs="Times New Roman"/>
        </w:rPr>
      </w:pPr>
    </w:p>
    <w:p w:rsidR="00632229" w:rsidRPr="00BD5EC6" w:rsidRDefault="00F02C07" w:rsidP="00632229">
      <w:pPr>
        <w:spacing w:after="0" w:line="280" w:lineRule="exact"/>
        <w:jc w:val="both"/>
        <w:rPr>
          <w:rFonts w:eastAsia="Times New Roman" w:cs="Times New Roman"/>
        </w:rPr>
      </w:pPr>
      <w:r w:rsidRPr="00BD5EC6">
        <w:t>2014. szeptember 10-től a</w:t>
      </w:r>
      <w:r w:rsidR="00173F21" w:rsidRPr="00BD5EC6">
        <w:rPr>
          <w:rFonts w:eastAsia="Times New Roman" w:cs="Times New Roman"/>
        </w:rPr>
        <w:t xml:space="preserve">z OKIR </w:t>
      </w:r>
      <w:r w:rsidR="00632229" w:rsidRPr="00BD5EC6">
        <w:rPr>
          <w:rFonts w:eastAsia="Times New Roman" w:cs="Times New Roman"/>
        </w:rPr>
        <w:t xml:space="preserve">alrendszereként működtetett </w:t>
      </w:r>
      <w:r w:rsidR="00173F21" w:rsidRPr="00BD5EC6">
        <w:rPr>
          <w:rFonts w:eastAsia="Times New Roman" w:cs="Times New Roman"/>
        </w:rPr>
        <w:t>felszín alatti víz és a földtani közeg környezetvédelmi nyilvántartási rendszere (</w:t>
      </w:r>
      <w:r w:rsidR="00632229" w:rsidRPr="00BD5EC6">
        <w:rPr>
          <w:rFonts w:eastAsia="Times New Roman" w:cs="Times New Roman"/>
        </w:rPr>
        <w:t>FAVI</w:t>
      </w:r>
      <w:r w:rsidR="002B7CB2" w:rsidRPr="00BD5EC6">
        <w:rPr>
          <w:rFonts w:eastAsia="Times New Roman" w:cs="Times New Roman"/>
        </w:rPr>
        <w:t xml:space="preserve">), </w:t>
      </w:r>
      <w:r w:rsidR="00173F21" w:rsidRPr="00BD5EC6">
        <w:rPr>
          <w:rFonts w:eastAsia="Times New Roman" w:cs="CG Times"/>
        </w:rPr>
        <w:t>a Felszíni vízminőség nyilvántartási rendszere (</w:t>
      </w:r>
      <w:r w:rsidR="00173F21" w:rsidRPr="00BD5EC6">
        <w:rPr>
          <w:rFonts w:eastAsia="Times New Roman" w:cs="CG Times"/>
          <w:b/>
        </w:rPr>
        <w:t>FEVI</w:t>
      </w:r>
      <w:r w:rsidR="00173F21" w:rsidRPr="00BD5EC6">
        <w:rPr>
          <w:rFonts w:eastAsia="Times New Roman" w:cs="CG Times"/>
        </w:rPr>
        <w:t>)</w:t>
      </w:r>
      <w:r w:rsidR="00613CD3" w:rsidRPr="00BD5EC6">
        <w:rPr>
          <w:rFonts w:eastAsia="Times New Roman" w:cs="Times New Roman"/>
        </w:rPr>
        <w:t xml:space="preserve">, valamint a </w:t>
      </w:r>
      <w:r w:rsidR="00613CD3" w:rsidRPr="00BD5EC6">
        <w:rPr>
          <w:rFonts w:eastAsia="Times New Roman" w:cs="CG Times"/>
        </w:rPr>
        <w:t>Vízminőség-védelmi Alap- és Éves bejelentő Lapok adatrögzítő rendszere (</w:t>
      </w:r>
      <w:r w:rsidR="00613CD3" w:rsidRPr="00BD5EC6">
        <w:rPr>
          <w:rFonts w:eastAsia="Times New Roman" w:cs="CG Times"/>
          <w:b/>
        </w:rPr>
        <w:t>VAL-VÉL</w:t>
      </w:r>
      <w:r w:rsidR="00613CD3" w:rsidRPr="00BD5EC6">
        <w:rPr>
          <w:rFonts w:eastAsia="Times New Roman" w:cs="CG Times"/>
        </w:rPr>
        <w:t xml:space="preserve">) </w:t>
      </w:r>
      <w:r w:rsidR="00632229" w:rsidRPr="00BD5EC6">
        <w:rPr>
          <w:rFonts w:eastAsia="Times New Roman" w:cs="Times New Roman"/>
        </w:rPr>
        <w:t xml:space="preserve">a </w:t>
      </w:r>
      <w:r w:rsidR="00173F21" w:rsidRPr="00BD5EC6">
        <w:rPr>
          <w:rFonts w:eastAsia="Times New Roman" w:cs="Times New Roman"/>
        </w:rPr>
        <w:t>vízvédelemért felelős Belügym</w:t>
      </w:r>
      <w:r w:rsidR="00632229" w:rsidRPr="00BD5EC6">
        <w:rPr>
          <w:rFonts w:eastAsia="Times New Roman" w:cs="Times New Roman"/>
        </w:rPr>
        <w:t>in</w:t>
      </w:r>
      <w:r w:rsidR="00173F21" w:rsidRPr="00BD5EC6">
        <w:rPr>
          <w:rFonts w:eastAsia="Times New Roman" w:cs="Times New Roman"/>
        </w:rPr>
        <w:t>isztérium feladatkörébe került.</w:t>
      </w:r>
      <w:r w:rsidR="00181097" w:rsidRPr="00BD5EC6">
        <w:t xml:space="preserve"> </w:t>
      </w:r>
      <w:r w:rsidRPr="00BD5EC6">
        <w:t>A</w:t>
      </w:r>
      <w:r w:rsidR="00181097" w:rsidRPr="00BD5EC6">
        <w:t xml:space="preserve"> vízügyi igazgatási és a vízügyi, valamint a vízvédelmi hatósági feladatokat ellátó szervek kijelöléséről szóló 223/2014. (IX. 4.) Korm. rendelet alapján a vízvédelmi hatóság</w:t>
      </w:r>
      <w:r w:rsidRPr="00BD5EC6">
        <w:t xml:space="preserve">ok </w:t>
      </w:r>
      <w:r w:rsidR="00181097" w:rsidRPr="00BD5EC6">
        <w:t>a területi katasztrófavédelmi igazgatóság</w:t>
      </w:r>
      <w:r w:rsidRPr="00BD5EC6">
        <w:t>okba integrálódtak be.</w:t>
      </w:r>
    </w:p>
    <w:p w:rsidR="0066223D" w:rsidRPr="00BD5EC6" w:rsidRDefault="0066223D" w:rsidP="008C336E">
      <w:pPr>
        <w:spacing w:after="0"/>
        <w:jc w:val="both"/>
        <w:rPr>
          <w:color w:val="00B050"/>
        </w:rPr>
      </w:pPr>
    </w:p>
    <w:p w:rsidR="00D35333" w:rsidRPr="00BD5EC6" w:rsidRDefault="00D35333" w:rsidP="00E929D4">
      <w:pPr>
        <w:pStyle w:val="Listaszerbekezds"/>
        <w:numPr>
          <w:ilvl w:val="0"/>
          <w:numId w:val="7"/>
        </w:numPr>
        <w:spacing w:after="0"/>
        <w:ind w:left="0" w:hanging="426"/>
        <w:jc w:val="both"/>
        <w:rPr>
          <w:b/>
          <w:i/>
          <w:u w:val="single"/>
        </w:rPr>
      </w:pPr>
      <w:r w:rsidRPr="00BD5EC6">
        <w:rPr>
          <w:b/>
          <w:i/>
          <w:u w:val="single"/>
        </w:rPr>
        <w:t>3</w:t>
      </w:r>
      <w:r w:rsidR="00C040BD" w:rsidRPr="00BD5EC6">
        <w:rPr>
          <w:b/>
          <w:i/>
          <w:u w:val="single"/>
        </w:rPr>
        <w:t xml:space="preserve"> cikk általános rendelkezések</w:t>
      </w:r>
      <w:r w:rsidRPr="00BD5EC6">
        <w:rPr>
          <w:b/>
          <w:i/>
          <w:u w:val="single"/>
        </w:rPr>
        <w:t>,4</w:t>
      </w:r>
      <w:r w:rsidR="00C040BD" w:rsidRPr="00BD5EC6">
        <w:rPr>
          <w:b/>
          <w:i/>
          <w:u w:val="single"/>
        </w:rPr>
        <w:t xml:space="preserve"> cikk a szennyezőanyag-kibocsátási és –szállítási nyilvántartási rendszer alapvető elemei,</w:t>
      </w:r>
      <w:r w:rsidRPr="00BD5EC6">
        <w:rPr>
          <w:b/>
          <w:i/>
          <w:u w:val="single"/>
        </w:rPr>
        <w:t xml:space="preserve"> 5</w:t>
      </w:r>
      <w:r w:rsidR="00C040BD" w:rsidRPr="00BD5EC6">
        <w:rPr>
          <w:b/>
          <w:i/>
          <w:u w:val="single"/>
        </w:rPr>
        <w:t xml:space="preserve"> cikk a tervezés és felépítés</w:t>
      </w:r>
      <w:r w:rsidRPr="00BD5EC6">
        <w:rPr>
          <w:b/>
          <w:i/>
          <w:u w:val="single"/>
        </w:rPr>
        <w:t xml:space="preserve">,6 </w:t>
      </w:r>
      <w:r w:rsidR="00937933" w:rsidRPr="00BD5EC6">
        <w:rPr>
          <w:b/>
          <w:i/>
          <w:u w:val="single"/>
        </w:rPr>
        <w:t>cikk</w:t>
      </w:r>
      <w:r w:rsidR="00C040BD" w:rsidRPr="00BD5EC6">
        <w:rPr>
          <w:b/>
          <w:i/>
          <w:u w:val="single"/>
        </w:rPr>
        <w:t xml:space="preserve"> a nyilvántartás hatóköre</w:t>
      </w:r>
    </w:p>
    <w:p w:rsidR="00E929D4" w:rsidRPr="00BD5EC6" w:rsidRDefault="00E929D4" w:rsidP="00E929D4">
      <w:pPr>
        <w:spacing w:after="0"/>
        <w:jc w:val="both"/>
      </w:pPr>
    </w:p>
    <w:p w:rsidR="00D35333" w:rsidRPr="00BD5EC6" w:rsidRDefault="00D35333" w:rsidP="000E1CC3">
      <w:pPr>
        <w:jc w:val="both"/>
        <w:rPr>
          <w:i/>
        </w:rPr>
      </w:pPr>
      <w:r w:rsidRPr="00BD5EC6">
        <w:rPr>
          <w:i/>
        </w:rPr>
        <w:t xml:space="preserve">Sorolja fel a 3. cikkben (Általános rendelkezések), a 4. cikkben (A szennyezőanyag-kibocsátási </w:t>
      </w:r>
      <w:proofErr w:type="gramStart"/>
      <w:r w:rsidRPr="00BD5EC6">
        <w:rPr>
          <w:i/>
        </w:rPr>
        <w:t>és  szállítási</w:t>
      </w:r>
      <w:proofErr w:type="gramEnd"/>
      <w:r w:rsidRPr="00BD5EC6">
        <w:rPr>
          <w:i/>
        </w:rPr>
        <w:t xml:space="preserve"> nyilvántartási rendszer (PRTR) alapvető elemei) és az 5. cikkben (Tervezés és felépítés) foglalt általános rendelkezéseket végrehajtó jogalkotási, szabályozási vagy egyéb intézkedéseket.</w:t>
      </w:r>
    </w:p>
    <w:p w:rsidR="00F07E32" w:rsidRPr="00BD5EC6" w:rsidRDefault="00F07E32" w:rsidP="00541306">
      <w:pPr>
        <w:pStyle w:val="Listaszerbekezds"/>
        <w:numPr>
          <w:ilvl w:val="0"/>
          <w:numId w:val="7"/>
        </w:numPr>
        <w:jc w:val="both"/>
        <w:rPr>
          <w:b/>
          <w:i/>
          <w:u w:val="single"/>
        </w:rPr>
      </w:pPr>
      <w:r w:rsidRPr="00BD5EC6">
        <w:rPr>
          <w:b/>
          <w:i/>
          <w:u w:val="single"/>
        </w:rPr>
        <w:t>A Nemzeti PRTR nyilvántartást létrehozó hazai törvényi, rendeleti és más intézkedések</w:t>
      </w:r>
    </w:p>
    <w:p w:rsidR="000A6EDC" w:rsidRPr="00BD5EC6" w:rsidRDefault="0066223D" w:rsidP="000A6EDC">
      <w:pPr>
        <w:spacing w:after="0"/>
        <w:jc w:val="both"/>
      </w:pPr>
      <w:r w:rsidRPr="00BD5EC6">
        <w:t>Ahhoz hogy, Magyarország a JK által támasztott követelményeknek megfeleljen, 2006 és 2007. év folyamán felülvizsgálta a JK szempontjából releváns magyar jogszabályokat és adatszolgáltatási eljárásokat. Tekintettel arra, hogy a környezetvédelmi szakterületi adatszolgáltatásokban az előírások döntő része már a korábbiakban is szerepelt, a PRTR rendszer létrehozásához elegendő volt a meglévő környezetvédelmi jogszabályok jelentési kötelezettségeket előíró részeinek nem jelentős módosítása.</w:t>
      </w:r>
    </w:p>
    <w:p w:rsidR="000A6EDC" w:rsidRPr="00BD5EC6" w:rsidRDefault="000A6EDC" w:rsidP="000A6EDC">
      <w:pPr>
        <w:spacing w:after="0"/>
        <w:jc w:val="both"/>
      </w:pPr>
      <w:r w:rsidRPr="00BD5EC6">
        <w:t>A felülvizsgálat az alábbi kormányrendeletek és miniszteri rendeletek módosítását és a kapcsolódó adatszolgáltatási eljárásokhoz szükséges adatbejelentő lapok és kitöltési útmutatók módosítását, valamint új adatbejelentő lapok kialakítását érintette:</w:t>
      </w:r>
    </w:p>
    <w:p w:rsidR="000A6EDC" w:rsidRPr="00BD5EC6" w:rsidRDefault="000A6EDC" w:rsidP="000A6EDC">
      <w:pPr>
        <w:spacing w:after="0"/>
        <w:jc w:val="both"/>
      </w:pPr>
    </w:p>
    <w:p w:rsidR="000A6EDC" w:rsidRPr="00BD5EC6" w:rsidRDefault="000A6EDC" w:rsidP="000A6EDC">
      <w:pPr>
        <w:spacing w:after="0"/>
        <w:ind w:left="567" w:hanging="283"/>
        <w:jc w:val="both"/>
      </w:pPr>
      <w:r w:rsidRPr="00BD5EC6">
        <w:t>•</w:t>
      </w:r>
      <w:r w:rsidRPr="00BD5EC6">
        <w:tab/>
      </w:r>
      <w:proofErr w:type="gramStart"/>
      <w:r w:rsidRPr="00BD5EC6">
        <w:t>a</w:t>
      </w:r>
      <w:proofErr w:type="gramEnd"/>
      <w:r w:rsidRPr="00BD5EC6">
        <w:t xml:space="preserve"> felszín alatti vizek védelméről szóló 219/2004. (VII. 21.) </w:t>
      </w:r>
      <w:proofErr w:type="gramStart"/>
      <w:r w:rsidRPr="00BD5EC6">
        <w:t>Kormány rendelet</w:t>
      </w:r>
      <w:proofErr w:type="gramEnd"/>
      <w:r w:rsidRPr="00BD5EC6">
        <w:t>,</w:t>
      </w:r>
    </w:p>
    <w:p w:rsidR="000A6EDC" w:rsidRPr="00BD5EC6" w:rsidRDefault="000A6EDC" w:rsidP="000A6EDC">
      <w:pPr>
        <w:spacing w:after="0"/>
        <w:ind w:left="567" w:hanging="283"/>
        <w:jc w:val="both"/>
      </w:pPr>
      <w:r w:rsidRPr="00BD5EC6">
        <w:t>•</w:t>
      </w:r>
      <w:r w:rsidRPr="00BD5EC6">
        <w:tab/>
      </w:r>
      <w:proofErr w:type="gramStart"/>
      <w:r w:rsidRPr="00BD5EC6">
        <w:t>a</w:t>
      </w:r>
      <w:proofErr w:type="gramEnd"/>
      <w:r w:rsidRPr="00BD5EC6">
        <w:t xml:space="preserve"> felszíni vizek védelméről szóló 220/2004. (VII. 21.) </w:t>
      </w:r>
      <w:proofErr w:type="gramStart"/>
      <w:r w:rsidRPr="00BD5EC6">
        <w:t>Kormány rendelet</w:t>
      </w:r>
      <w:proofErr w:type="gramEnd"/>
      <w:r w:rsidRPr="00BD5EC6">
        <w:t>,</w:t>
      </w:r>
    </w:p>
    <w:p w:rsidR="000A6EDC" w:rsidRPr="00BD5EC6" w:rsidRDefault="000A6EDC" w:rsidP="000A6EDC">
      <w:pPr>
        <w:spacing w:after="0"/>
        <w:ind w:left="567" w:hanging="283"/>
        <w:jc w:val="both"/>
      </w:pPr>
      <w:r w:rsidRPr="00BD5EC6">
        <w:t>•</w:t>
      </w:r>
      <w:r w:rsidRPr="00BD5EC6">
        <w:tab/>
      </w:r>
      <w:proofErr w:type="gramStart"/>
      <w:r w:rsidRPr="00BD5EC6">
        <w:t>a</w:t>
      </w:r>
      <w:proofErr w:type="gramEnd"/>
      <w:r w:rsidRPr="00BD5EC6">
        <w:t xml:space="preserve"> levegő védelmével kapcsolatos egyes szabályokról szóló 21/2001. (II. 14.) </w:t>
      </w:r>
      <w:proofErr w:type="gramStart"/>
      <w:r w:rsidRPr="00BD5EC6">
        <w:t>Kormány rendelet</w:t>
      </w:r>
      <w:proofErr w:type="gramEnd"/>
      <w:r w:rsidRPr="00BD5EC6">
        <w:t>, (2011. január 15-től a levegő védelméről szóló 306/</w:t>
      </w:r>
      <w:r w:rsidR="00B27FA4" w:rsidRPr="00BD5EC6">
        <w:t>2010</w:t>
      </w:r>
      <w:r w:rsidRPr="00BD5EC6">
        <w:t>. (</w:t>
      </w:r>
      <w:r w:rsidR="00B27FA4" w:rsidRPr="00BD5EC6">
        <w:t>XII.23.</w:t>
      </w:r>
      <w:r w:rsidR="006E2646" w:rsidRPr="00BD5EC6">
        <w:t>)</w:t>
      </w:r>
      <w:r w:rsidRPr="00BD5EC6">
        <w:t xml:space="preserve"> </w:t>
      </w:r>
      <w:proofErr w:type="gramStart"/>
      <w:r w:rsidRPr="00BD5EC6">
        <w:t>Kormány rendelet</w:t>
      </w:r>
      <w:proofErr w:type="gramEnd"/>
      <w:r w:rsidRPr="00BD5EC6">
        <w:t>),</w:t>
      </w:r>
    </w:p>
    <w:p w:rsidR="000A6EDC" w:rsidRPr="00BD5EC6" w:rsidRDefault="000A6EDC" w:rsidP="000A6EDC">
      <w:pPr>
        <w:spacing w:after="0"/>
        <w:ind w:left="567" w:hanging="283"/>
        <w:jc w:val="both"/>
      </w:pPr>
      <w:r w:rsidRPr="00BD5EC6">
        <w:t>•</w:t>
      </w:r>
      <w:r w:rsidRPr="00BD5EC6">
        <w:tab/>
      </w:r>
      <w:proofErr w:type="gramStart"/>
      <w:r w:rsidRPr="00BD5EC6">
        <w:t>a</w:t>
      </w:r>
      <w:proofErr w:type="gramEnd"/>
      <w:r w:rsidRPr="00BD5EC6">
        <w:t xml:space="preserve"> hulladékkal kapcsolatos nyilvántartási és adatszolgáltatási kötelezettségekről szóló 164/2003. (X. 18.) </w:t>
      </w:r>
      <w:proofErr w:type="gramStart"/>
      <w:r w:rsidRPr="00BD5EC6">
        <w:t>Kormány rendelet</w:t>
      </w:r>
      <w:proofErr w:type="gramEnd"/>
      <w:r w:rsidRPr="00BD5EC6">
        <w:t xml:space="preserve">, (2013. január 1-től a 440/2012. (XII.29.) </w:t>
      </w:r>
      <w:proofErr w:type="gramStart"/>
      <w:r w:rsidRPr="00BD5EC6">
        <w:t>Kormány rendelet</w:t>
      </w:r>
      <w:proofErr w:type="gramEnd"/>
      <w:r w:rsidRPr="00BD5EC6">
        <w:t xml:space="preserve"> (a rendelet tartalmazza az adatszolgáltatáshoz szükséges adatlapot).</w:t>
      </w:r>
    </w:p>
    <w:p w:rsidR="000A6EDC" w:rsidRPr="00BD5EC6" w:rsidRDefault="000A6EDC" w:rsidP="000A6EDC">
      <w:pPr>
        <w:spacing w:after="0"/>
        <w:ind w:left="567" w:hanging="283"/>
        <w:jc w:val="both"/>
      </w:pPr>
      <w:r w:rsidRPr="00BD5EC6">
        <w:t>•</w:t>
      </w:r>
      <w:r w:rsidRPr="00BD5EC6">
        <w:tab/>
      </w:r>
      <w:proofErr w:type="gramStart"/>
      <w:r w:rsidRPr="00BD5EC6">
        <w:t>a</w:t>
      </w:r>
      <w:proofErr w:type="gramEnd"/>
      <w:r w:rsidRPr="00BD5EC6">
        <w:t xml:space="preserve"> használt és szennyvizek kibocsátásának ellenőrzésére vonatkozó részletes szabályokról szóló 27/2005. (XII.6.) </w:t>
      </w:r>
      <w:proofErr w:type="spellStart"/>
      <w:r w:rsidRPr="00BD5EC6">
        <w:t>KvVM</w:t>
      </w:r>
      <w:proofErr w:type="spellEnd"/>
      <w:r w:rsidRPr="00BD5EC6">
        <w:t xml:space="preserve"> rendelet (a rendelet tartalmazza az adatszolgáltatáshoz szükséges adatlapot), valamint,</w:t>
      </w:r>
    </w:p>
    <w:p w:rsidR="00BD5EC6" w:rsidRPr="00BD5EC6" w:rsidRDefault="000A6EDC">
      <w:pPr>
        <w:spacing w:after="0"/>
        <w:ind w:left="567" w:hanging="283"/>
        <w:jc w:val="both"/>
      </w:pPr>
      <w:r w:rsidRPr="00BD5EC6">
        <w:t>•</w:t>
      </w:r>
      <w:r w:rsidRPr="00BD5EC6">
        <w:tab/>
      </w:r>
      <w:proofErr w:type="gramStart"/>
      <w:r w:rsidRPr="00BD5EC6">
        <w:t>a</w:t>
      </w:r>
      <w:proofErr w:type="gramEnd"/>
      <w:r w:rsidRPr="00BD5EC6">
        <w:t xml:space="preserve"> felszín alatti víz és a földtani közeg környezetvédelmi nyilvántartási rendszer (FAVI) adatszolgáltatásáról szóló 18/2007. (V.10.) </w:t>
      </w:r>
      <w:proofErr w:type="spellStart"/>
      <w:r w:rsidRPr="00BD5EC6">
        <w:t>KvVM</w:t>
      </w:r>
      <w:proofErr w:type="spellEnd"/>
      <w:r w:rsidRPr="00BD5EC6">
        <w:t xml:space="preserve"> rendelet (a rendelet tartalmazza az adatszolgáltatáshoz szükséges adatlapot).</w:t>
      </w:r>
    </w:p>
    <w:p w:rsidR="000A6EDC" w:rsidRPr="00BD5EC6" w:rsidRDefault="000A6EDC" w:rsidP="000A6EDC">
      <w:pPr>
        <w:spacing w:after="0"/>
        <w:jc w:val="both"/>
        <w:rPr>
          <w:color w:val="00B050"/>
        </w:rPr>
      </w:pPr>
    </w:p>
    <w:p w:rsidR="000A6EDC" w:rsidRPr="00BD5EC6" w:rsidRDefault="000A6EDC" w:rsidP="00F07E32">
      <w:pPr>
        <w:pStyle w:val="Listaszerbekezds"/>
        <w:numPr>
          <w:ilvl w:val="0"/>
          <w:numId w:val="7"/>
        </w:numPr>
        <w:spacing w:after="0"/>
        <w:jc w:val="both"/>
        <w:rPr>
          <w:b/>
          <w:i/>
          <w:u w:val="single"/>
        </w:rPr>
      </w:pPr>
      <w:r w:rsidRPr="00BD5EC6">
        <w:rPr>
          <w:b/>
          <w:i/>
          <w:u w:val="single"/>
        </w:rPr>
        <w:t xml:space="preserve">A Nemzeti PRTR </w:t>
      </w:r>
      <w:r w:rsidR="003738CB" w:rsidRPr="00BD5EC6">
        <w:rPr>
          <w:b/>
          <w:i/>
          <w:u w:val="single"/>
        </w:rPr>
        <w:t>nyilvántartást</w:t>
      </w:r>
      <w:r w:rsidRPr="00BD5EC6">
        <w:rPr>
          <w:b/>
          <w:i/>
          <w:u w:val="single"/>
        </w:rPr>
        <w:t xml:space="preserve"> létrehozó módosításokat tartalmazó új jogszabályok</w:t>
      </w:r>
    </w:p>
    <w:p w:rsidR="000A6EDC" w:rsidRPr="00BD5EC6" w:rsidRDefault="000A6EDC" w:rsidP="000A6EDC">
      <w:pPr>
        <w:spacing w:after="0"/>
        <w:jc w:val="both"/>
      </w:pPr>
    </w:p>
    <w:p w:rsidR="000A6EDC" w:rsidRPr="00BD5EC6" w:rsidRDefault="000A6EDC" w:rsidP="000A6EDC">
      <w:pPr>
        <w:spacing w:after="0"/>
        <w:jc w:val="both"/>
      </w:pPr>
      <w:r w:rsidRPr="00BD5EC6">
        <w:t xml:space="preserve">Jogtechnikai szempontból egyszerűbb volt a fenti kormányrendeletek módosításait egy kormányrendeletben megjelentetni, valamint a miniszteri rendeletek módosításait szintén egy közös miniszteri rendeletben kezelni. Ennek eredményeként született meg az alábbi kormány és miniszteri rendelet, valamint a PRTR hazai implementációjának lezárásaként a PRTR </w:t>
      </w:r>
      <w:r w:rsidR="005E2DC0" w:rsidRPr="00BD5EC6">
        <w:t>JK</w:t>
      </w:r>
      <w:r w:rsidRPr="00BD5EC6">
        <w:t xml:space="preserve"> ratifikációját kihirdető törvény.</w:t>
      </w:r>
    </w:p>
    <w:p w:rsidR="000A6EDC" w:rsidRPr="00BD5EC6" w:rsidRDefault="000A6EDC" w:rsidP="000A6EDC">
      <w:pPr>
        <w:spacing w:after="0"/>
        <w:jc w:val="both"/>
      </w:pPr>
    </w:p>
    <w:p w:rsidR="000A6EDC" w:rsidRPr="00BD5EC6" w:rsidRDefault="000A6EDC" w:rsidP="003D5A5A">
      <w:pPr>
        <w:spacing w:after="0"/>
        <w:jc w:val="both"/>
      </w:pPr>
      <w:r w:rsidRPr="00BD5EC6">
        <w:t xml:space="preserve">A használt és szennyvizek kibocsátásának ellenőrzésére vonatkozó részletes szabályokról szóló 27/2005. (XII. 6.) </w:t>
      </w:r>
      <w:proofErr w:type="spellStart"/>
      <w:r w:rsidRPr="00BD5EC6">
        <w:t>KvVM</w:t>
      </w:r>
      <w:proofErr w:type="spellEnd"/>
      <w:r w:rsidRPr="00BD5EC6">
        <w:t xml:space="preserve"> rendelet, valamint a felszín alatti víz és a földtani közeg környezetvédelmi nyilvántartási rendszer (FAVI) adatszolgáltatásáról szóló 18/2007. (V. 10.) </w:t>
      </w:r>
      <w:proofErr w:type="spellStart"/>
      <w:r w:rsidRPr="00BD5EC6">
        <w:t>KvVM</w:t>
      </w:r>
      <w:proofErr w:type="spellEnd"/>
      <w:r w:rsidRPr="00BD5EC6">
        <w:t xml:space="preserve"> rendelet módosításáról szóló 25/2007. (VII. 30.) </w:t>
      </w:r>
      <w:proofErr w:type="spellStart"/>
      <w:r w:rsidRPr="00BD5EC6">
        <w:t>KvVM</w:t>
      </w:r>
      <w:proofErr w:type="spellEnd"/>
      <w:r w:rsidRPr="00BD5EC6">
        <w:t xml:space="preserve"> rendelet 2007. július 30-án lépett hatályba. Majd ezután a </w:t>
      </w:r>
      <w:proofErr w:type="spellStart"/>
      <w:r w:rsidR="0066223D" w:rsidRPr="00BD5EC6">
        <w:t>J</w:t>
      </w:r>
      <w:r w:rsidR="005E2DC0" w:rsidRPr="00BD5EC6">
        <w:t>K-</w:t>
      </w:r>
      <w:r w:rsidRPr="00BD5EC6">
        <w:t>höz</w:t>
      </w:r>
      <w:proofErr w:type="spellEnd"/>
      <w:r w:rsidRPr="00BD5EC6">
        <w:t xml:space="preserve"> kapcsolódó fenti rendeletek módosításáról szóló 194/2007. (VII. 25.) Korm. rendelet, amely 2007. augusztus 2-án lépett hatályba. Ezeket követte a PRTR </w:t>
      </w:r>
      <w:r w:rsidR="005E2DC0" w:rsidRPr="00BD5EC6">
        <w:t>JK</w:t>
      </w:r>
      <w:r w:rsidR="00012557" w:rsidRPr="00BD5EC6">
        <w:t xml:space="preserve">2009. június 8-i </w:t>
      </w:r>
      <w:r w:rsidRPr="00BD5EC6">
        <w:t>ratifikációja</w:t>
      </w:r>
      <w:r w:rsidR="00012557" w:rsidRPr="00BD5EC6">
        <w:t>,</w:t>
      </w:r>
      <w:r w:rsidR="009C765D" w:rsidRPr="00BD5EC6">
        <w:t xml:space="preserve"> </w:t>
      </w:r>
      <w:r w:rsidR="00012557" w:rsidRPr="00BD5EC6">
        <w:t xml:space="preserve">amelyet az Országgyűlés az </w:t>
      </w:r>
      <w:proofErr w:type="spellStart"/>
      <w:r w:rsidR="00012557" w:rsidRPr="00BD5EC6">
        <w:t>Aarhusi</w:t>
      </w:r>
      <w:proofErr w:type="spellEnd"/>
      <w:r w:rsidR="00012557" w:rsidRPr="00BD5EC6">
        <w:t xml:space="preserve"> Egyezményhez kapcsolódó szennyezőanyag-kibocsátási és </w:t>
      </w:r>
      <w:proofErr w:type="spellStart"/>
      <w:r w:rsidR="00012557" w:rsidRPr="00BD5EC6">
        <w:t>-szállítási</w:t>
      </w:r>
      <w:proofErr w:type="spellEnd"/>
      <w:r w:rsidR="00012557" w:rsidRPr="00BD5EC6">
        <w:t xml:space="preserve"> nyilvántartásról szóló 2009.évi LIII. törvényben hirdette ki. A törvény 2009. június 24-től hatályos.</w:t>
      </w:r>
    </w:p>
    <w:p w:rsidR="000A6EDC" w:rsidRPr="00BD5EC6" w:rsidRDefault="000A6EDC" w:rsidP="003D5A5A">
      <w:pPr>
        <w:spacing w:after="0"/>
        <w:jc w:val="both"/>
      </w:pPr>
    </w:p>
    <w:p w:rsidR="00E929D4" w:rsidRPr="00BD5EC6" w:rsidRDefault="003E5358" w:rsidP="002B7CB2">
      <w:pPr>
        <w:tabs>
          <w:tab w:val="left" w:pos="2127"/>
        </w:tabs>
        <w:jc w:val="both"/>
      </w:pPr>
      <w:r w:rsidRPr="00BD5EC6">
        <w:t>Tekintettel a</w:t>
      </w:r>
      <w:r w:rsidR="000A6EDC" w:rsidRPr="00BD5EC6">
        <w:t xml:space="preserve"> fent említett jogszabályok módosításá</w:t>
      </w:r>
      <w:r w:rsidRPr="00BD5EC6">
        <w:t>ra</w:t>
      </w:r>
      <w:r w:rsidR="000A6EDC" w:rsidRPr="00BD5EC6">
        <w:t xml:space="preserve">, illetve </w:t>
      </w:r>
      <w:r w:rsidR="0068572C" w:rsidRPr="00BD5EC6">
        <w:t xml:space="preserve">az </w:t>
      </w:r>
      <w:r w:rsidR="00012557" w:rsidRPr="00BD5EC6">
        <w:t xml:space="preserve">új jogszabályok </w:t>
      </w:r>
      <w:r w:rsidR="000A6EDC" w:rsidRPr="00BD5EC6">
        <w:t>kihirdetésé</w:t>
      </w:r>
      <w:r w:rsidRPr="00BD5EC6">
        <w:t xml:space="preserve">re, a szükséges PRTR adatszolgáltatási kötelezettségek megteremtésére, Magyarország a </w:t>
      </w:r>
      <w:r w:rsidR="005E2DC0" w:rsidRPr="00BD5EC6">
        <w:t>JK</w:t>
      </w:r>
      <w:r w:rsidRPr="00BD5EC6">
        <w:t xml:space="preserve"> által előírt </w:t>
      </w:r>
      <w:r w:rsidR="004F69D8" w:rsidRPr="00BD5EC6">
        <w:t xml:space="preserve">Nemzeti Szennyezőanyag-kibocsátási és </w:t>
      </w:r>
      <w:proofErr w:type="spellStart"/>
      <w:r w:rsidR="004F69D8" w:rsidRPr="00BD5EC6">
        <w:t>-szállítási</w:t>
      </w:r>
      <w:proofErr w:type="spellEnd"/>
      <w:r w:rsidR="004F69D8" w:rsidRPr="00BD5EC6">
        <w:t xml:space="preserve"> Nyilvántartás létrehozására vállalt kötelezettségét </w:t>
      </w:r>
      <w:r w:rsidR="00012557" w:rsidRPr="00BD5EC6">
        <w:t>teljesít</w:t>
      </w:r>
      <w:r w:rsidRPr="00BD5EC6">
        <w:t>ette. A</w:t>
      </w:r>
      <w:r w:rsidR="009C765D" w:rsidRPr="00BD5EC6">
        <w:t xml:space="preserve"> </w:t>
      </w:r>
      <w:r w:rsidR="004F69D8" w:rsidRPr="00BD5EC6">
        <w:t xml:space="preserve">Nemzeti PRTR nyilvántartást az </w:t>
      </w:r>
      <w:r w:rsidR="00012557" w:rsidRPr="00BD5EC6">
        <w:t>E-PRTR nyilvántartással azonosnak tekinti.</w:t>
      </w:r>
    </w:p>
    <w:p w:rsidR="00446791" w:rsidRPr="00BD5EC6" w:rsidRDefault="00832F15" w:rsidP="00EE4E7C">
      <w:pPr>
        <w:spacing w:after="0"/>
        <w:jc w:val="both"/>
        <w:rPr>
          <w:b/>
        </w:rPr>
      </w:pPr>
      <w:r w:rsidRPr="00BD5EC6">
        <w:rPr>
          <w:b/>
        </w:rPr>
        <w:t>Az elektronikus adatszolgáltatásra való áttérés miatt az alábbi jogszabályok módosultak vagy léptek életbe 2015. január 1.-jétől, melyek tartalmazzák az adatlapokat, illetve a jelentéstételhez szükséges információkat, jogi feltételeket, felhatalmazásokat.</w:t>
      </w:r>
    </w:p>
    <w:p w:rsidR="00832F15" w:rsidRPr="00BD5EC6" w:rsidRDefault="00832F15" w:rsidP="00EE4E7C">
      <w:pPr>
        <w:spacing w:after="0"/>
        <w:jc w:val="both"/>
      </w:pPr>
    </w:p>
    <w:p w:rsidR="00446791" w:rsidRPr="00BD5EC6" w:rsidRDefault="00446791" w:rsidP="00446791">
      <w:pPr>
        <w:spacing w:after="0" w:line="240" w:lineRule="auto"/>
        <w:jc w:val="both"/>
        <w:rPr>
          <w:rFonts w:eastAsia="Times New Roman" w:cs="Times New Roman"/>
          <w:b/>
        </w:rPr>
      </w:pPr>
      <w:r w:rsidRPr="00BD5EC6">
        <w:rPr>
          <w:rFonts w:eastAsia="Times New Roman" w:cs="Times New Roman"/>
          <w:b/>
        </w:rPr>
        <w:t>Törvények</w:t>
      </w:r>
    </w:p>
    <w:p w:rsidR="00446791" w:rsidRPr="00BD5EC6" w:rsidRDefault="00446791" w:rsidP="00EE4E7C">
      <w:pPr>
        <w:pStyle w:val="Listaszerbekezds"/>
        <w:numPr>
          <w:ilvl w:val="0"/>
          <w:numId w:val="18"/>
        </w:numPr>
        <w:spacing w:after="0" w:line="240" w:lineRule="auto"/>
        <w:ind w:left="426" w:firstLine="0"/>
        <w:jc w:val="both"/>
        <w:rPr>
          <w:rFonts w:eastAsia="Times New Roman" w:cs="Times New Roman"/>
        </w:rPr>
      </w:pPr>
      <w:r w:rsidRPr="00BD5EC6">
        <w:rPr>
          <w:rFonts w:eastAsia="Times New Roman" w:cs="Times New Roman"/>
        </w:rPr>
        <w:t>A környezet védelmének általános szabályairól szóló 1995. évi LIII. törvény módosítása;</w:t>
      </w:r>
    </w:p>
    <w:p w:rsidR="00446791" w:rsidRPr="00BD5EC6" w:rsidRDefault="00446791" w:rsidP="00EE4E7C">
      <w:pPr>
        <w:pStyle w:val="Listaszerbekezds"/>
        <w:numPr>
          <w:ilvl w:val="0"/>
          <w:numId w:val="18"/>
        </w:numPr>
        <w:spacing w:after="0" w:line="240" w:lineRule="auto"/>
        <w:ind w:left="426" w:firstLine="0"/>
        <w:jc w:val="both"/>
        <w:rPr>
          <w:rFonts w:eastAsia="Times New Roman" w:cs="Times New Roman"/>
        </w:rPr>
      </w:pPr>
      <w:r w:rsidRPr="00BD5EC6">
        <w:rPr>
          <w:rFonts w:eastAsia="Times New Roman" w:cs="Times New Roman"/>
        </w:rPr>
        <w:t>A hulladékról szóló 2012. évi CLXXXV. törvény módosítása;</w:t>
      </w:r>
    </w:p>
    <w:p w:rsidR="00446791" w:rsidRPr="00BD5EC6" w:rsidRDefault="00446791" w:rsidP="00A66821">
      <w:pPr>
        <w:spacing w:after="0"/>
        <w:ind w:left="426"/>
        <w:jc w:val="both"/>
      </w:pPr>
    </w:p>
    <w:p w:rsidR="00446791" w:rsidRPr="00BD5EC6" w:rsidRDefault="00446791" w:rsidP="00446791">
      <w:pPr>
        <w:spacing w:after="0"/>
        <w:jc w:val="both"/>
      </w:pPr>
      <w:r w:rsidRPr="00BD5EC6">
        <w:t>Az adatszolgáltatáshoz szükséges adatlapok leírása, a jelentéstételhez szükséges info</w:t>
      </w:r>
      <w:r w:rsidR="00A66821" w:rsidRPr="00BD5EC6">
        <w:t>r</w:t>
      </w:r>
      <w:r w:rsidRPr="00BD5EC6">
        <w:t>mációk az alábbi módosított vagy új kormányrendeletekben találhatók</w:t>
      </w:r>
      <w:r w:rsidR="00A66821" w:rsidRPr="00BD5EC6">
        <w:t xml:space="preserve"> meg.</w:t>
      </w:r>
    </w:p>
    <w:p w:rsidR="00A66821" w:rsidRPr="00BD5EC6" w:rsidRDefault="00A66821" w:rsidP="00446791">
      <w:pPr>
        <w:spacing w:after="0"/>
        <w:jc w:val="both"/>
      </w:pPr>
    </w:p>
    <w:p w:rsidR="00446791" w:rsidRPr="00BD5EC6" w:rsidRDefault="00446791" w:rsidP="00446791">
      <w:pPr>
        <w:spacing w:after="0"/>
        <w:jc w:val="both"/>
        <w:rPr>
          <w:b/>
        </w:rPr>
      </w:pPr>
      <w:r w:rsidRPr="00BD5EC6">
        <w:rPr>
          <w:b/>
        </w:rPr>
        <w:t>Kormányrendeletek</w:t>
      </w:r>
      <w:r w:rsidR="00832F15" w:rsidRPr="00BD5EC6">
        <w:rPr>
          <w:b/>
        </w:rPr>
        <w:t>:</w:t>
      </w:r>
    </w:p>
    <w:p w:rsidR="00446791" w:rsidRPr="00BD5EC6" w:rsidRDefault="00832F15" w:rsidP="00446791">
      <w:pPr>
        <w:pStyle w:val="Cmsor1"/>
        <w:numPr>
          <w:ilvl w:val="0"/>
          <w:numId w:val="15"/>
        </w:numPr>
        <w:spacing w:after="0"/>
        <w:jc w:val="both"/>
        <w:rPr>
          <w:rFonts w:asciiTheme="minorHAnsi" w:hAnsiTheme="minorHAnsi"/>
          <w:b w:val="0"/>
          <w:sz w:val="22"/>
          <w:szCs w:val="22"/>
        </w:rPr>
      </w:pPr>
      <w:r w:rsidRPr="00BD5EC6">
        <w:rPr>
          <w:rFonts w:asciiTheme="minorHAnsi" w:hAnsiTheme="minorHAnsi"/>
          <w:b w:val="0"/>
          <w:bCs w:val="0"/>
          <w:sz w:val="22"/>
          <w:szCs w:val="22"/>
        </w:rPr>
        <w:t>A</w:t>
      </w:r>
      <w:r w:rsidR="00446791" w:rsidRPr="00BD5EC6">
        <w:rPr>
          <w:rFonts w:asciiTheme="minorHAnsi" w:hAnsiTheme="minorHAnsi"/>
          <w:b w:val="0"/>
          <w:bCs w:val="0"/>
          <w:sz w:val="22"/>
          <w:szCs w:val="22"/>
        </w:rPr>
        <w:t xml:space="preserve"> környezeti alapnyilvántartásról szóló 78/2007. (IV. 24.) Korm. rendelet</w:t>
      </w:r>
      <w:r w:rsidRPr="00BD5EC6">
        <w:rPr>
          <w:rFonts w:asciiTheme="minorHAnsi" w:hAnsiTheme="minorHAnsi"/>
          <w:b w:val="0"/>
          <w:bCs w:val="0"/>
          <w:sz w:val="22"/>
          <w:szCs w:val="22"/>
        </w:rPr>
        <w:t>;</w:t>
      </w:r>
    </w:p>
    <w:p w:rsidR="00446791" w:rsidRPr="00BD5EC6" w:rsidRDefault="00446791" w:rsidP="00446791">
      <w:pPr>
        <w:pStyle w:val="Cmsor1"/>
        <w:numPr>
          <w:ilvl w:val="0"/>
          <w:numId w:val="15"/>
        </w:numPr>
        <w:spacing w:after="0"/>
        <w:jc w:val="both"/>
        <w:rPr>
          <w:rFonts w:asciiTheme="minorHAnsi" w:hAnsiTheme="minorHAnsi"/>
          <w:sz w:val="22"/>
          <w:szCs w:val="22"/>
        </w:rPr>
      </w:pPr>
      <w:r w:rsidRPr="00BD5EC6">
        <w:rPr>
          <w:rFonts w:asciiTheme="minorHAnsi" w:eastAsia="Calibri" w:hAnsiTheme="minorHAnsi"/>
          <w:b w:val="0"/>
          <w:sz w:val="22"/>
          <w:szCs w:val="22"/>
        </w:rPr>
        <w:t>A hulladékkal kapcsolatos nyilvántartási és adatszolgáltatási kötelezettségekről szóló 440/2012. (XII. 29.) Korm. rendelet</w:t>
      </w:r>
      <w:r w:rsidRPr="00BD5EC6">
        <w:rPr>
          <w:rFonts w:asciiTheme="minorHAnsi" w:hAnsiTheme="minorHAnsi" w:cs="CG Times"/>
          <w:b w:val="0"/>
          <w:sz w:val="22"/>
          <w:szCs w:val="22"/>
        </w:rPr>
        <w:t xml:space="preserve"> helyébe a </w:t>
      </w:r>
      <w:r w:rsidRPr="00BD5EC6">
        <w:rPr>
          <w:rFonts w:asciiTheme="minorHAnsi" w:hAnsiTheme="minorHAnsi"/>
          <w:b w:val="0"/>
          <w:sz w:val="22"/>
          <w:szCs w:val="22"/>
        </w:rPr>
        <w:t xml:space="preserve">309/2014. (XII. 11.) Korm. rendelet </w:t>
      </w:r>
      <w:r w:rsidR="00832F15" w:rsidRPr="00BD5EC6">
        <w:rPr>
          <w:rFonts w:asciiTheme="minorHAnsi" w:hAnsiTheme="minorHAnsi"/>
          <w:b w:val="0"/>
          <w:sz w:val="22"/>
          <w:szCs w:val="22"/>
        </w:rPr>
        <w:t>lépett hatályba;</w:t>
      </w:r>
      <w:r w:rsidRPr="00BD5EC6">
        <w:rPr>
          <w:rFonts w:asciiTheme="minorHAnsi" w:hAnsiTheme="minorHAnsi"/>
          <w:b w:val="0"/>
          <w:sz w:val="22"/>
          <w:szCs w:val="22"/>
        </w:rPr>
        <w:t xml:space="preserve"> </w:t>
      </w:r>
    </w:p>
    <w:p w:rsidR="00446791" w:rsidRPr="00BD5EC6" w:rsidRDefault="00446791" w:rsidP="00446791">
      <w:pPr>
        <w:pStyle w:val="Listaszerbekezds"/>
        <w:numPr>
          <w:ilvl w:val="0"/>
          <w:numId w:val="15"/>
        </w:numPr>
        <w:spacing w:after="0" w:line="240" w:lineRule="auto"/>
        <w:jc w:val="both"/>
        <w:rPr>
          <w:rFonts w:eastAsia="Times New Roman" w:cs="Times New Roman"/>
        </w:rPr>
      </w:pPr>
      <w:r w:rsidRPr="00BD5EC6">
        <w:rPr>
          <w:rFonts w:eastAsia="Times New Roman" w:cs="Times New Roman"/>
        </w:rPr>
        <w:t>A levegő védelméről szóló 306/2010.(XII.23.) Korm. rendelet;</w:t>
      </w:r>
    </w:p>
    <w:p w:rsidR="00446791" w:rsidRPr="00BD5EC6" w:rsidRDefault="00446791" w:rsidP="00446791">
      <w:pPr>
        <w:pStyle w:val="Listaszerbekezds"/>
        <w:numPr>
          <w:ilvl w:val="0"/>
          <w:numId w:val="15"/>
        </w:numPr>
        <w:spacing w:after="0" w:line="240" w:lineRule="auto"/>
        <w:jc w:val="both"/>
        <w:rPr>
          <w:rFonts w:eastAsia="Times New Roman" w:cs="Times New Roman"/>
        </w:rPr>
      </w:pPr>
      <w:r w:rsidRPr="00BD5EC6">
        <w:rPr>
          <w:rFonts w:eastAsia="Times New Roman" w:cs="Times New Roman"/>
        </w:rPr>
        <w:t xml:space="preserve">A felszíni alatti vizek védelméről szóló 219/2004. (VII.21.) Korm. rendelet; </w:t>
      </w:r>
    </w:p>
    <w:p w:rsidR="00446791" w:rsidRPr="00BD5EC6" w:rsidRDefault="00446791" w:rsidP="00446791">
      <w:pPr>
        <w:pStyle w:val="Listaszerbekezds"/>
        <w:numPr>
          <w:ilvl w:val="0"/>
          <w:numId w:val="15"/>
        </w:numPr>
        <w:spacing w:after="0" w:line="240" w:lineRule="auto"/>
        <w:jc w:val="both"/>
        <w:rPr>
          <w:rFonts w:eastAsia="Times New Roman" w:cs="Times New Roman"/>
        </w:rPr>
      </w:pPr>
      <w:r w:rsidRPr="00BD5EC6">
        <w:rPr>
          <w:rFonts w:eastAsia="Times New Roman" w:cs="Times New Roman"/>
        </w:rPr>
        <w:t>A felszíni vizek minősége védelmének szabályairól szóló 220/2004. (VII. 21.) Korm. rendelet.</w:t>
      </w:r>
    </w:p>
    <w:p w:rsidR="00446791" w:rsidRPr="00BD5EC6" w:rsidRDefault="00446791" w:rsidP="00446791">
      <w:pPr>
        <w:pStyle w:val="Listaszerbekezds"/>
        <w:numPr>
          <w:ilvl w:val="0"/>
          <w:numId w:val="15"/>
        </w:numPr>
        <w:spacing w:after="0" w:line="240" w:lineRule="auto"/>
        <w:jc w:val="both"/>
        <w:rPr>
          <w:rFonts w:eastAsia="Times New Roman" w:cs="Times New Roman"/>
        </w:rPr>
      </w:pPr>
      <w:r w:rsidRPr="00BD5EC6">
        <w:rPr>
          <w:rFonts w:eastAsia="Times New Roman" w:cs="Times New Roman"/>
        </w:rPr>
        <w:t xml:space="preserve">A használt és szennyvizek kibocsátásának ellenőrzésére vonatkozó részletes szabályokról szóló 27/2005. (XII. 6.) </w:t>
      </w:r>
      <w:proofErr w:type="spellStart"/>
      <w:r w:rsidRPr="00BD5EC6">
        <w:rPr>
          <w:rFonts w:eastAsia="Times New Roman" w:cs="Times New Roman"/>
        </w:rPr>
        <w:t>KvVM</w:t>
      </w:r>
      <w:proofErr w:type="spellEnd"/>
      <w:r w:rsidRPr="00BD5EC6">
        <w:rPr>
          <w:rFonts w:eastAsia="Times New Roman" w:cs="Times New Roman"/>
        </w:rPr>
        <w:t xml:space="preserve"> rendelet;</w:t>
      </w:r>
    </w:p>
    <w:p w:rsidR="00446791" w:rsidRPr="00BD5EC6" w:rsidRDefault="00446791" w:rsidP="00446791">
      <w:pPr>
        <w:pStyle w:val="Listaszerbekezds"/>
        <w:numPr>
          <w:ilvl w:val="0"/>
          <w:numId w:val="15"/>
        </w:numPr>
        <w:spacing w:after="0" w:line="240" w:lineRule="auto"/>
        <w:jc w:val="both"/>
        <w:rPr>
          <w:rFonts w:eastAsia="Times New Roman" w:cs="Times New Roman"/>
        </w:rPr>
      </w:pPr>
      <w:r w:rsidRPr="00BD5EC6">
        <w:rPr>
          <w:rFonts w:eastAsia="Times New Roman" w:cs="Times New Roman"/>
        </w:rPr>
        <w:t xml:space="preserve">A vízszennyező anyagok kibocsátásaira vonatkozó határértékekről és alkalmazásuk egyes szabályairól szóló 28/2004. (XII. 25.) </w:t>
      </w:r>
      <w:proofErr w:type="spellStart"/>
      <w:r w:rsidRPr="00BD5EC6">
        <w:rPr>
          <w:rFonts w:eastAsia="Times New Roman" w:cs="Times New Roman"/>
        </w:rPr>
        <w:t>KvVM</w:t>
      </w:r>
      <w:proofErr w:type="spellEnd"/>
      <w:r w:rsidRPr="00BD5EC6">
        <w:rPr>
          <w:rFonts w:eastAsia="Times New Roman" w:cs="Times New Roman"/>
        </w:rPr>
        <w:t xml:space="preserve"> rendelet;</w:t>
      </w:r>
    </w:p>
    <w:p w:rsidR="00446791" w:rsidRPr="00BD5EC6" w:rsidRDefault="00446791" w:rsidP="00446791">
      <w:pPr>
        <w:pStyle w:val="Listaszerbekezds"/>
        <w:numPr>
          <w:ilvl w:val="0"/>
          <w:numId w:val="15"/>
        </w:numPr>
        <w:spacing w:after="0" w:line="240" w:lineRule="auto"/>
        <w:jc w:val="both"/>
        <w:rPr>
          <w:rFonts w:eastAsia="Times New Roman" w:cs="Times New Roman"/>
        </w:rPr>
      </w:pPr>
      <w:r w:rsidRPr="00BD5EC6">
        <w:rPr>
          <w:rFonts w:eastAsia="Times New Roman" w:cs="Times New Roman"/>
        </w:rPr>
        <w:t xml:space="preserve">A felszíni vizek megfigyelésének és állapotértékelésének egyes szabályairól; szóló 31/2004. (XII. 30.) </w:t>
      </w:r>
      <w:proofErr w:type="spellStart"/>
      <w:r w:rsidRPr="00BD5EC6">
        <w:rPr>
          <w:rFonts w:eastAsia="Times New Roman" w:cs="Times New Roman"/>
        </w:rPr>
        <w:t>KvVM</w:t>
      </w:r>
      <w:proofErr w:type="spellEnd"/>
      <w:r w:rsidRPr="00BD5EC6">
        <w:rPr>
          <w:rFonts w:eastAsia="Times New Roman" w:cs="Times New Roman"/>
        </w:rPr>
        <w:t xml:space="preserve"> rendelet;</w:t>
      </w:r>
    </w:p>
    <w:p w:rsidR="00446791" w:rsidRPr="00BD5EC6" w:rsidRDefault="00446791" w:rsidP="00446791">
      <w:pPr>
        <w:pStyle w:val="Listaszerbekezds"/>
        <w:numPr>
          <w:ilvl w:val="0"/>
          <w:numId w:val="15"/>
        </w:numPr>
        <w:spacing w:after="0" w:line="240" w:lineRule="auto"/>
        <w:jc w:val="both"/>
        <w:rPr>
          <w:rFonts w:eastAsia="Times New Roman" w:cs="Times New Roman"/>
        </w:rPr>
      </w:pPr>
      <w:r w:rsidRPr="00BD5EC6">
        <w:rPr>
          <w:rFonts w:eastAsia="Times New Roman" w:cs="Times New Roman"/>
        </w:rPr>
        <w:t xml:space="preserve">A </w:t>
      </w:r>
      <w:r w:rsidRPr="00BD5EC6">
        <w:rPr>
          <w:rFonts w:eastAsia="Times New Roman" w:cs="CG Times"/>
        </w:rPr>
        <w:t xml:space="preserve">felszín alatti víz és a földtani közeg környezetvédelmi nyilvántartási rendszer (FAVI) adatszolgáltatásáról szóló 18/2007. (V. 10.) </w:t>
      </w:r>
      <w:proofErr w:type="spellStart"/>
      <w:r w:rsidRPr="00BD5EC6">
        <w:rPr>
          <w:rFonts w:eastAsia="Times New Roman" w:cs="CG Times"/>
        </w:rPr>
        <w:t>KvVM</w:t>
      </w:r>
      <w:proofErr w:type="spellEnd"/>
      <w:r w:rsidRPr="00BD5EC6">
        <w:rPr>
          <w:rFonts w:eastAsia="Times New Roman" w:cs="CG Times"/>
        </w:rPr>
        <w:t xml:space="preserve"> rendelet.</w:t>
      </w:r>
    </w:p>
    <w:p w:rsidR="000A532E" w:rsidRPr="00BD5EC6" w:rsidRDefault="000A532E" w:rsidP="00EE4E7C">
      <w:pPr>
        <w:pStyle w:val="Listaszerbekezds"/>
        <w:spacing w:after="0" w:line="240" w:lineRule="auto"/>
        <w:ind w:left="1004"/>
        <w:jc w:val="both"/>
        <w:rPr>
          <w:rFonts w:eastAsia="Times New Roman" w:cs="Times New Roman"/>
        </w:rPr>
      </w:pPr>
    </w:p>
    <w:p w:rsidR="00D35333" w:rsidRPr="00BD5EC6" w:rsidRDefault="00541306" w:rsidP="007E5272">
      <w:pPr>
        <w:ind w:hanging="426"/>
        <w:jc w:val="both"/>
        <w:rPr>
          <w:b/>
          <w:i/>
          <w:u w:val="single"/>
        </w:rPr>
      </w:pPr>
      <w:r w:rsidRPr="00BD5EC6">
        <w:rPr>
          <w:b/>
          <w:i/>
        </w:rPr>
        <w:t>6</w:t>
      </w:r>
      <w:r w:rsidR="007E5272" w:rsidRPr="00BD5EC6">
        <w:rPr>
          <w:b/>
          <w:i/>
        </w:rPr>
        <w:t>.</w:t>
      </w:r>
      <w:r w:rsidR="007E5272" w:rsidRPr="00BD5EC6">
        <w:rPr>
          <w:b/>
          <w:i/>
        </w:rPr>
        <w:tab/>
      </w:r>
      <w:r w:rsidR="00D35333" w:rsidRPr="00BD5EC6">
        <w:rPr>
          <w:b/>
          <w:i/>
          <w:u w:val="single"/>
        </w:rPr>
        <w:t>Ismertesse különösen az alábbiakat:</w:t>
      </w:r>
    </w:p>
    <w:p w:rsidR="00466D97" w:rsidRPr="00BD5EC6" w:rsidRDefault="00861B9C" w:rsidP="007E5272">
      <w:pPr>
        <w:jc w:val="both"/>
        <w:rPr>
          <w:i/>
        </w:rPr>
      </w:pPr>
      <w:r w:rsidRPr="00BD5EC6">
        <w:rPr>
          <w:i/>
        </w:rPr>
        <w:t>(a)</w:t>
      </w:r>
      <w:r w:rsidRPr="00BD5EC6">
        <w:rPr>
          <w:i/>
        </w:rPr>
        <w:tab/>
      </w:r>
      <w:proofErr w:type="spellStart"/>
      <w:proofErr w:type="gramStart"/>
      <w:r w:rsidR="00D35333" w:rsidRPr="00BD5EC6">
        <w:rPr>
          <w:i/>
        </w:rPr>
        <w:t>A</w:t>
      </w:r>
      <w:proofErr w:type="spellEnd"/>
      <w:proofErr w:type="gramEnd"/>
      <w:r w:rsidR="00D35333" w:rsidRPr="00BD5EC6">
        <w:rPr>
          <w:i/>
        </w:rPr>
        <w:t xml:space="preserve"> 3. cikk 1. bekezdése tekintetében: olyan intézkedések – ezen belül végrehajtási intézkedések –, amelyeket a </w:t>
      </w:r>
      <w:r w:rsidR="005E2DC0" w:rsidRPr="00BD5EC6">
        <w:rPr>
          <w:i/>
        </w:rPr>
        <w:t>JK</w:t>
      </w:r>
      <w:r w:rsidR="00D35333" w:rsidRPr="00BD5EC6">
        <w:rPr>
          <w:i/>
        </w:rPr>
        <w:t xml:space="preserve"> rendelkezéseinek megvalósítása céljából hoztak;</w:t>
      </w:r>
    </w:p>
    <w:p w:rsidR="00EE0531" w:rsidRPr="00BD5EC6" w:rsidRDefault="00DD5BA9" w:rsidP="007E5272">
      <w:pPr>
        <w:jc w:val="both"/>
      </w:pPr>
      <w:r w:rsidRPr="00BD5EC6">
        <w:t>L</w:t>
      </w:r>
      <w:r w:rsidR="00EE0531" w:rsidRPr="00BD5EC6">
        <w:t>ásd 3</w:t>
      </w:r>
      <w:proofErr w:type="gramStart"/>
      <w:r w:rsidR="00EE0531" w:rsidRPr="00BD5EC6">
        <w:t>.,</w:t>
      </w:r>
      <w:proofErr w:type="gramEnd"/>
      <w:r w:rsidR="00EE0531" w:rsidRPr="00BD5EC6">
        <w:t xml:space="preserve"> 4. pont alatt felsorolt jogszabályok és intézkedéseket</w:t>
      </w:r>
      <w:r w:rsidRPr="00BD5EC6">
        <w:t>.</w:t>
      </w:r>
    </w:p>
    <w:p w:rsidR="00466D97" w:rsidRPr="00BD5EC6" w:rsidRDefault="00151B68" w:rsidP="000E1CC3">
      <w:pPr>
        <w:jc w:val="both"/>
        <w:rPr>
          <w:i/>
        </w:rPr>
      </w:pPr>
      <w:r w:rsidRPr="00BD5EC6">
        <w:rPr>
          <w:i/>
        </w:rPr>
        <w:t>(b)</w:t>
      </w:r>
      <w:r w:rsidRPr="00BD5EC6">
        <w:rPr>
          <w:i/>
        </w:rPr>
        <w:tab/>
      </w:r>
      <w:proofErr w:type="gramStart"/>
      <w:r w:rsidR="00D35333" w:rsidRPr="00BD5EC6">
        <w:rPr>
          <w:i/>
        </w:rPr>
        <w:t>A</w:t>
      </w:r>
      <w:proofErr w:type="gramEnd"/>
      <w:r w:rsidR="00D35333" w:rsidRPr="00BD5EC6">
        <w:rPr>
          <w:i/>
        </w:rPr>
        <w:t xml:space="preserve"> 3. cikk 2. bekezdése tekintetében: olyan intézkedések, amelyeket a </w:t>
      </w:r>
      <w:r w:rsidR="005E2DC0" w:rsidRPr="00BD5EC6">
        <w:rPr>
          <w:i/>
        </w:rPr>
        <w:t>JK</w:t>
      </w:r>
      <w:r w:rsidR="00D35333" w:rsidRPr="00BD5EC6">
        <w:rPr>
          <w:i/>
        </w:rPr>
        <w:t xml:space="preserve"> által megköveteltnél átfogóbb és a nyilvánosság számára jobban hozzáférhető PRTR bevezetésének céljából hoztak;</w:t>
      </w:r>
    </w:p>
    <w:p w:rsidR="00D35333" w:rsidRPr="00BD5EC6" w:rsidRDefault="00151B68" w:rsidP="000E1CC3">
      <w:pPr>
        <w:jc w:val="both"/>
      </w:pPr>
      <w:r w:rsidRPr="00BD5EC6">
        <w:t>A nyilvántartás bevezetésekor és j</w:t>
      </w:r>
      <w:r w:rsidR="00466D97" w:rsidRPr="00BD5EC6">
        <w:t xml:space="preserve">elenleg </w:t>
      </w:r>
      <w:r w:rsidRPr="00BD5EC6">
        <w:t>s</w:t>
      </w:r>
      <w:r w:rsidR="00466D97" w:rsidRPr="00BD5EC6">
        <w:t>em tervez</w:t>
      </w:r>
      <w:r w:rsidR="004F69D8" w:rsidRPr="00BD5EC6">
        <w:t>ünk</w:t>
      </w:r>
      <w:r w:rsidR="00466D97" w:rsidRPr="00BD5EC6">
        <w:t xml:space="preserve"> olyan intézkedések</w:t>
      </w:r>
      <w:r w:rsidR="004F69D8" w:rsidRPr="00BD5EC6">
        <w:t>et</w:t>
      </w:r>
      <w:r w:rsidR="00466D97" w:rsidRPr="00BD5EC6">
        <w:t xml:space="preserve">, amely a </w:t>
      </w:r>
      <w:r w:rsidR="005E2DC0" w:rsidRPr="00BD5EC6">
        <w:t>JK</w:t>
      </w:r>
      <w:r w:rsidR="00466D97" w:rsidRPr="00BD5EC6">
        <w:t xml:space="preserve"> által megköveteltnél átfogóbb és a nyilvánosság számára jobban hozzáférhető PRTR nyilvántartás bevezetését célozná. A továbbfejlesztés lehetőségét nem zárjuk ki, de megvárjuk a </w:t>
      </w:r>
      <w:r w:rsidR="005E2DC0" w:rsidRPr="00BD5EC6">
        <w:t>JK</w:t>
      </w:r>
      <w:r w:rsidR="009C765D" w:rsidRPr="00BD5EC6">
        <w:t xml:space="preserve"> </w:t>
      </w:r>
      <w:r w:rsidR="00466D97" w:rsidRPr="00BD5EC6">
        <w:t>részes feleinek konferenciáján várható döntéseket.</w:t>
      </w:r>
    </w:p>
    <w:p w:rsidR="00466D97" w:rsidRPr="00BD5EC6" w:rsidRDefault="00D35333" w:rsidP="000E1CC3">
      <w:pPr>
        <w:jc w:val="both"/>
        <w:rPr>
          <w:i/>
        </w:rPr>
      </w:pPr>
      <w:r w:rsidRPr="00BD5EC6">
        <w:rPr>
          <w:i/>
        </w:rPr>
        <w:t>(c)</w:t>
      </w:r>
      <w:r w:rsidRPr="00BD5EC6">
        <w:rPr>
          <w:i/>
        </w:rPr>
        <w:tab/>
      </w:r>
      <w:proofErr w:type="gramStart"/>
      <w:r w:rsidRPr="00BD5EC6">
        <w:rPr>
          <w:i/>
        </w:rPr>
        <w:t>A</w:t>
      </w:r>
      <w:proofErr w:type="gramEnd"/>
      <w:r w:rsidRPr="00BD5EC6">
        <w:rPr>
          <w:i/>
        </w:rPr>
        <w:t xml:space="preserve"> 3. cikk 3. bekezdése tekintetében: olyan intézkedések, amelyeket annak megkövetelése érdekében hoztak, hogy ha egy üzem alkalmazottai vagy a nyilvánosság tagjai bejelentik a közhatóságoknak, hog</w:t>
      </w:r>
      <w:r w:rsidR="005E2DC0" w:rsidRPr="00BD5EC6">
        <w:rPr>
          <w:i/>
        </w:rPr>
        <w:t xml:space="preserve">y egy üzem megszegi a </w:t>
      </w:r>
      <w:proofErr w:type="spellStart"/>
      <w:r w:rsidR="005E2DC0" w:rsidRPr="00BD5EC6">
        <w:rPr>
          <w:i/>
        </w:rPr>
        <w:t>JK-</w:t>
      </w:r>
      <w:r w:rsidRPr="00BD5EC6">
        <w:rPr>
          <w:i/>
        </w:rPr>
        <w:t>et</w:t>
      </w:r>
      <w:proofErr w:type="spellEnd"/>
      <w:r w:rsidRPr="00BD5EC6">
        <w:rPr>
          <w:i/>
        </w:rPr>
        <w:t xml:space="preserve"> végrehajtó nemzeti jogszabályokat, akkor ne sújtsák büntetéssel, ne </w:t>
      </w:r>
      <w:r w:rsidR="009C765D" w:rsidRPr="00BD5EC6">
        <w:rPr>
          <w:i/>
        </w:rPr>
        <w:t>háborgassák,</w:t>
      </w:r>
      <w:r w:rsidRPr="00BD5EC6">
        <w:rPr>
          <w:i/>
        </w:rPr>
        <w:t xml:space="preserve"> és ne zaklassák őket a jogsértés bejelentésére irányuló cselekedeteik miatt;</w:t>
      </w:r>
    </w:p>
    <w:p w:rsidR="00D35333" w:rsidRPr="00BD5EC6" w:rsidRDefault="00466D97" w:rsidP="000E1CC3">
      <w:pPr>
        <w:jc w:val="both"/>
      </w:pPr>
      <w:r w:rsidRPr="00BD5EC6">
        <w:t>A 3. cikk 3. bekezdése tekintetében a 2009. évi LIII. törvényben előírt</w:t>
      </w:r>
      <w:r w:rsidR="004F69D8" w:rsidRPr="00BD5EC6">
        <w:t xml:space="preserve"> intézkedés</w:t>
      </w:r>
      <w:r w:rsidRPr="00BD5EC6">
        <w:t xml:space="preserve"> az irányadó, amely szerint, ha egy üzem alkalmazottai vagy a nyilvánosság tagjai bejelentik a közhatóságoknak, hogy egy üzem megszegi a </w:t>
      </w:r>
      <w:proofErr w:type="spellStart"/>
      <w:r w:rsidR="0066223D" w:rsidRPr="00BD5EC6">
        <w:t>J</w:t>
      </w:r>
      <w:r w:rsidR="005E2DC0" w:rsidRPr="00BD5EC6">
        <w:t>K-</w:t>
      </w:r>
      <w:r w:rsidR="0066223D" w:rsidRPr="00BD5EC6">
        <w:t>et</w:t>
      </w:r>
      <w:proofErr w:type="spellEnd"/>
      <w:r w:rsidRPr="00BD5EC6">
        <w:t xml:space="preserve"> végrehajtó nemzeti jogszabályokat, akkor nem sújthatják őket büntetéssel és nem zaklathatják őket a jogsértés bejelentésére irányuló cselekedeteik miatt.</w:t>
      </w:r>
    </w:p>
    <w:p w:rsidR="00691246" w:rsidRPr="00BD5EC6" w:rsidRDefault="00D35333" w:rsidP="00691246">
      <w:pPr>
        <w:jc w:val="both"/>
        <w:rPr>
          <w:i/>
        </w:rPr>
      </w:pPr>
      <w:r w:rsidRPr="00BD5EC6">
        <w:rPr>
          <w:i/>
        </w:rPr>
        <w:t>(d)</w:t>
      </w:r>
      <w:r w:rsidRPr="00BD5EC6">
        <w:rPr>
          <w:i/>
        </w:rPr>
        <w:tab/>
      </w:r>
      <w:proofErr w:type="gramStart"/>
      <w:r w:rsidRPr="00BD5EC6">
        <w:rPr>
          <w:i/>
        </w:rPr>
        <w:t>A</w:t>
      </w:r>
      <w:proofErr w:type="gramEnd"/>
      <w:r w:rsidRPr="00BD5EC6">
        <w:rPr>
          <w:i/>
        </w:rPr>
        <w:t xml:space="preserve"> 3. cikk 5. bekezdése tekintetében: vajon integrálták-e a PRTR rendszert más bejelentési mechanizmusokba, és ha történt ilyen integráció, akkor mely rendszerekbe. Megszüntette-e az integráció a jelentéstételek ismétlődését? Tapasztaltak-e valamilyen speciális kihívást vagy megbirkóztak-e ilyennel az integrálás során, és hogyan</w:t>
      </w:r>
      <w:r w:rsidR="00691246" w:rsidRPr="00BD5EC6">
        <w:rPr>
          <w:i/>
        </w:rPr>
        <w:t>?</w:t>
      </w:r>
    </w:p>
    <w:p w:rsidR="00691246" w:rsidRPr="00BD5EC6" w:rsidRDefault="00691246" w:rsidP="00691246">
      <w:pPr>
        <w:jc w:val="both"/>
      </w:pPr>
      <w:r w:rsidRPr="00BD5EC6">
        <w:t xml:space="preserve">A kétszeres jelentéstétel csökkentése érdekében a szennyező anyagok kibocsátására és szállítására vonatkozó adatszolgáltatási rendszert integráltuk a már meglévő </w:t>
      </w:r>
      <w:r w:rsidR="001108B5" w:rsidRPr="00BD5EC6">
        <w:t xml:space="preserve">– </w:t>
      </w:r>
      <w:r w:rsidR="005206BB" w:rsidRPr="00BD5EC6">
        <w:t xml:space="preserve">a 4. és 5. pontban </w:t>
      </w:r>
      <w:r w:rsidR="001108B5" w:rsidRPr="00BD5EC6">
        <w:t xml:space="preserve">említett - </w:t>
      </w:r>
      <w:r w:rsidRPr="00BD5EC6">
        <w:t xml:space="preserve">jogszabályok által előírt szakterületi adatszolgáltatási kötelezettségeinkbe, valamint az engedélyekhez tartozóan a víz, a levegő, talaj és a hulladékos adatszolgáltatási, jelentéstételi mechanizmusokba. Az integráció során megszüntettük az összes jelentéstétel ismétlődését. Az állattartó telepek diffúz kibocsátásainak beintegrálása </w:t>
      </w:r>
      <w:r w:rsidR="00CE668B" w:rsidRPr="00BD5EC6">
        <w:t>kisebb</w:t>
      </w:r>
      <w:r w:rsidRPr="00BD5EC6">
        <w:t xml:space="preserve"> nehézséget jelentett, egyrészt a számítási módszer kidolgozása, másrészt a jelentéstétel mechanizmusának kidolgozása </w:t>
      </w:r>
      <w:r w:rsidR="001108B5" w:rsidRPr="00BD5EC6">
        <w:t>miatt</w:t>
      </w:r>
      <w:r w:rsidRPr="00BD5EC6">
        <w:t>.</w:t>
      </w:r>
    </w:p>
    <w:p w:rsidR="00D35333" w:rsidRPr="00BD5EC6" w:rsidRDefault="00D35333" w:rsidP="000E1CC3">
      <w:pPr>
        <w:jc w:val="both"/>
      </w:pPr>
    </w:p>
    <w:p w:rsidR="00D35333" w:rsidRPr="00BD5EC6" w:rsidRDefault="00D35333" w:rsidP="000E1CC3">
      <w:pPr>
        <w:jc w:val="both"/>
        <w:rPr>
          <w:i/>
        </w:rPr>
      </w:pPr>
      <w:r w:rsidRPr="00BD5EC6">
        <w:rPr>
          <w:i/>
        </w:rPr>
        <w:t>(e)</w:t>
      </w:r>
      <w:r w:rsidRPr="00BD5EC6">
        <w:rPr>
          <w:i/>
        </w:rPr>
        <w:tab/>
        <w:t xml:space="preserve">Az 5. cikk 1. bekezdése tekintetében: </w:t>
      </w:r>
      <w:r w:rsidR="008C71C3" w:rsidRPr="00BD5EC6">
        <w:rPr>
          <w:i/>
        </w:rPr>
        <w:t>Milyen</w:t>
      </w:r>
      <w:r w:rsidRPr="00BD5EC6">
        <w:rPr>
          <w:i/>
        </w:rPr>
        <w:t xml:space="preserve"> kibocsátások és szállítások kereshetők vissza és azonosíthatók be az a)</w:t>
      </w:r>
      <w:proofErr w:type="spellStart"/>
      <w:r w:rsidRPr="00BD5EC6">
        <w:rPr>
          <w:i/>
        </w:rPr>
        <w:t>-tól</w:t>
      </w:r>
      <w:proofErr w:type="spellEnd"/>
      <w:r w:rsidRPr="00BD5EC6">
        <w:rPr>
          <w:i/>
        </w:rPr>
        <w:t xml:space="preserve"> f) </w:t>
      </w:r>
      <w:proofErr w:type="spellStart"/>
      <w:r w:rsidRPr="00BD5EC6">
        <w:rPr>
          <w:i/>
        </w:rPr>
        <w:t>albekezdésekben</w:t>
      </w:r>
      <w:proofErr w:type="spellEnd"/>
      <w:r w:rsidRPr="00BD5EC6">
        <w:rPr>
          <w:i/>
        </w:rPr>
        <w:t xml:space="preserve"> felsorolt paraméterek szerint;</w:t>
      </w:r>
    </w:p>
    <w:p w:rsidR="00D35333" w:rsidRPr="00BD5EC6" w:rsidRDefault="00D35333" w:rsidP="00A67F52">
      <w:pPr>
        <w:spacing w:after="0"/>
        <w:rPr>
          <w:u w:val="single"/>
        </w:rPr>
      </w:pPr>
      <w:r w:rsidRPr="00BD5EC6">
        <w:rPr>
          <w:u w:val="single"/>
        </w:rPr>
        <w:t>A PRTR nyilvántartás telephelyenként és év</w:t>
      </w:r>
      <w:r w:rsidR="00F62820" w:rsidRPr="00BD5EC6">
        <w:rPr>
          <w:u w:val="single"/>
        </w:rPr>
        <w:t>enként</w:t>
      </w:r>
      <w:r w:rsidRPr="00BD5EC6">
        <w:rPr>
          <w:u w:val="single"/>
        </w:rPr>
        <w:t xml:space="preserve"> az alábbi adatokat tartalmazza</w:t>
      </w:r>
      <w:r w:rsidR="008C71C3" w:rsidRPr="00BD5EC6">
        <w:rPr>
          <w:u w:val="single"/>
        </w:rPr>
        <w:t xml:space="preserve">, </w:t>
      </w:r>
    </w:p>
    <w:p w:rsidR="00EE0531" w:rsidRPr="00BD5EC6" w:rsidRDefault="00EE0531" w:rsidP="00A67F52">
      <w:pPr>
        <w:spacing w:after="0"/>
      </w:pPr>
    </w:p>
    <w:p w:rsidR="00F62820" w:rsidRPr="00BD5EC6" w:rsidRDefault="00F62820" w:rsidP="00EE0531">
      <w:pPr>
        <w:pStyle w:val="Listaszerbekezds"/>
        <w:numPr>
          <w:ilvl w:val="0"/>
          <w:numId w:val="10"/>
        </w:numPr>
        <w:spacing w:after="0"/>
      </w:pPr>
      <w:r w:rsidRPr="00BD5EC6">
        <w:t>az ország nevét;</w:t>
      </w:r>
    </w:p>
    <w:p w:rsidR="009A0588" w:rsidRPr="00BD5EC6" w:rsidRDefault="009A0588" w:rsidP="00EE0531">
      <w:pPr>
        <w:pStyle w:val="Listaszerbekezds"/>
        <w:numPr>
          <w:ilvl w:val="0"/>
          <w:numId w:val="10"/>
        </w:numPr>
        <w:spacing w:after="0"/>
      </w:pPr>
      <w:r w:rsidRPr="00BD5EC6">
        <w:t>az adatszolgáltatásra vonatkozó évet;</w:t>
      </w:r>
    </w:p>
    <w:p w:rsidR="00D35333" w:rsidRPr="00BD5EC6" w:rsidRDefault="00F62820" w:rsidP="00EE0531">
      <w:pPr>
        <w:pStyle w:val="Listaszerbekezds"/>
        <w:numPr>
          <w:ilvl w:val="0"/>
          <w:numId w:val="10"/>
        </w:numPr>
        <w:spacing w:after="0"/>
      </w:pPr>
      <w:r w:rsidRPr="00BD5EC6">
        <w:t>a</w:t>
      </w:r>
      <w:r w:rsidR="00AD28D9" w:rsidRPr="00BD5EC6">
        <w:t xml:space="preserve"> telephely (</w:t>
      </w:r>
      <w:r w:rsidRPr="00BD5EC6">
        <w:t>üzem</w:t>
      </w:r>
      <w:r w:rsidR="00AD28D9" w:rsidRPr="00BD5EC6">
        <w:t>)</w:t>
      </w:r>
      <w:r w:rsidRPr="00BD5EC6">
        <w:t xml:space="preserve"> nemzeti azonosítószámát;</w:t>
      </w:r>
    </w:p>
    <w:p w:rsidR="00F62820" w:rsidRPr="00BD5EC6" w:rsidRDefault="00F62820" w:rsidP="00EE0531">
      <w:pPr>
        <w:pStyle w:val="Listaszerbekezds"/>
        <w:numPr>
          <w:ilvl w:val="0"/>
          <w:numId w:val="10"/>
        </w:numPr>
        <w:spacing w:after="0"/>
      </w:pPr>
      <w:r w:rsidRPr="00BD5EC6">
        <w:t xml:space="preserve">a </w:t>
      </w:r>
      <w:r w:rsidR="00AD28D9" w:rsidRPr="00BD5EC6">
        <w:t>telephely</w:t>
      </w:r>
      <w:r w:rsidRPr="00BD5EC6">
        <w:t xml:space="preserve"> anyavállalatának (tulajdonosának) és üzemeltetőjének nevét;</w:t>
      </w:r>
    </w:p>
    <w:p w:rsidR="00F62820" w:rsidRPr="00BD5EC6" w:rsidRDefault="00F62820" w:rsidP="00EE0531">
      <w:pPr>
        <w:pStyle w:val="Listaszerbekezds"/>
        <w:numPr>
          <w:ilvl w:val="0"/>
          <w:numId w:val="10"/>
        </w:numPr>
        <w:spacing w:after="0"/>
      </w:pPr>
      <w:r w:rsidRPr="00BD5EC6">
        <w:t xml:space="preserve">a </w:t>
      </w:r>
      <w:r w:rsidR="00AD28D9" w:rsidRPr="00BD5EC6">
        <w:t>telephely</w:t>
      </w:r>
      <w:r w:rsidRPr="00BD5EC6">
        <w:t xml:space="preserve"> címét (irányítószám, település, utca, házszám,</w:t>
      </w:r>
      <w:r w:rsidR="009A0588" w:rsidRPr="00BD5EC6">
        <w:t xml:space="preserve"> stb.)</w:t>
      </w:r>
      <w:r w:rsidRPr="00BD5EC6">
        <w:t>;</w:t>
      </w:r>
    </w:p>
    <w:p w:rsidR="00D35333" w:rsidRPr="00BD5EC6" w:rsidRDefault="00F62820" w:rsidP="00EE0531">
      <w:pPr>
        <w:pStyle w:val="Listaszerbekezds"/>
        <w:numPr>
          <w:ilvl w:val="0"/>
          <w:numId w:val="10"/>
        </w:numPr>
        <w:spacing w:after="0"/>
      </w:pPr>
      <w:r w:rsidRPr="00BD5EC6">
        <w:t>a telephely földrajzi koordinátáit</w:t>
      </w:r>
      <w:r w:rsidR="009A0588" w:rsidRPr="00BD5EC6">
        <w:t xml:space="preserve"> (a WGS84 </w:t>
      </w:r>
      <w:r w:rsidR="00280D77" w:rsidRPr="00BD5EC6">
        <w:t xml:space="preserve">szabvány koordinátarendszer </w:t>
      </w:r>
      <w:r w:rsidR="009A0588" w:rsidRPr="00BD5EC6">
        <w:t>szerint)</w:t>
      </w:r>
      <w:r w:rsidRPr="00BD5EC6">
        <w:t>;</w:t>
      </w:r>
    </w:p>
    <w:p w:rsidR="009A0588" w:rsidRPr="00BD5EC6" w:rsidRDefault="00D35333" w:rsidP="00EE0531">
      <w:pPr>
        <w:pStyle w:val="Listaszerbekezds"/>
        <w:numPr>
          <w:ilvl w:val="0"/>
          <w:numId w:val="10"/>
        </w:numPr>
        <w:spacing w:after="0"/>
      </w:pPr>
      <w:r w:rsidRPr="00BD5EC6">
        <w:t xml:space="preserve">a </w:t>
      </w:r>
      <w:r w:rsidR="00AD28D9" w:rsidRPr="00BD5EC6">
        <w:t xml:space="preserve">telephely </w:t>
      </w:r>
      <w:r w:rsidRPr="00BD5EC6">
        <w:t xml:space="preserve">nemzetközi </w:t>
      </w:r>
      <w:r w:rsidR="00A67F52" w:rsidRPr="00BD5EC6">
        <w:t>(</w:t>
      </w:r>
      <w:r w:rsidR="00280D77" w:rsidRPr="00BD5EC6">
        <w:t xml:space="preserve">TEÁOR 08’ - </w:t>
      </w:r>
      <w:r w:rsidR="00A67F52" w:rsidRPr="00BD5EC6">
        <w:t xml:space="preserve">NACE kód) </w:t>
      </w:r>
      <w:r w:rsidRPr="00BD5EC6">
        <w:t>besorolásnak megfelelő fő tevékenységét</w:t>
      </w:r>
      <w:r w:rsidR="009A0588" w:rsidRPr="00BD5EC6">
        <w:t>;</w:t>
      </w:r>
    </w:p>
    <w:p w:rsidR="00D35333" w:rsidRPr="00BD5EC6" w:rsidRDefault="00D35333" w:rsidP="00EE0531">
      <w:pPr>
        <w:pStyle w:val="Listaszerbekezds"/>
        <w:numPr>
          <w:ilvl w:val="0"/>
          <w:numId w:val="10"/>
        </w:numPr>
        <w:spacing w:after="0"/>
      </w:pPr>
      <w:r w:rsidRPr="00BD5EC6">
        <w:t>a</w:t>
      </w:r>
      <w:r w:rsidR="00157541" w:rsidRPr="00BD5EC6">
        <w:t xml:space="preserve"> </w:t>
      </w:r>
      <w:r w:rsidR="00AD28D9" w:rsidRPr="00BD5EC6">
        <w:t>telephely</w:t>
      </w:r>
      <w:r w:rsidR="009A0588" w:rsidRPr="00BD5EC6">
        <w:t xml:space="preserve"> összes</w:t>
      </w:r>
      <w:r w:rsidRPr="00BD5EC6">
        <w:t xml:space="preserve"> PRTR </w:t>
      </w:r>
      <w:r w:rsidR="009A0588" w:rsidRPr="00BD5EC6">
        <w:t>tevékenység besorolás</w:t>
      </w:r>
      <w:r w:rsidR="00A67F52" w:rsidRPr="00BD5EC6">
        <w:t xml:space="preserve"> szerinti</w:t>
      </w:r>
      <w:r w:rsidRPr="00BD5EC6">
        <w:t xml:space="preserve"> </w:t>
      </w:r>
      <w:r w:rsidR="009C765D" w:rsidRPr="00BD5EC6">
        <w:t>tevékenységeit (</w:t>
      </w:r>
      <w:r w:rsidR="00AD28D9" w:rsidRPr="00BD5EC6">
        <w:t xml:space="preserve">az I. mellékletnek megfelelően), </w:t>
      </w:r>
      <w:r w:rsidR="009A0588" w:rsidRPr="00BD5EC6">
        <w:t>első helyen megjelölve a fő PRTR tevékenységkódot</w:t>
      </w:r>
      <w:r w:rsidRPr="00BD5EC6">
        <w:t>;</w:t>
      </w:r>
    </w:p>
    <w:p w:rsidR="009A0588" w:rsidRPr="00BD5EC6" w:rsidRDefault="009A0588" w:rsidP="00EE0531">
      <w:pPr>
        <w:pStyle w:val="Listaszerbekezds"/>
        <w:numPr>
          <w:ilvl w:val="0"/>
          <w:numId w:val="10"/>
        </w:numPr>
        <w:spacing w:after="0"/>
      </w:pPr>
      <w:r w:rsidRPr="00BD5EC6">
        <w:t>a vízgyűjtő kerület kódját;</w:t>
      </w:r>
    </w:p>
    <w:p w:rsidR="00D35333" w:rsidRPr="00BD5EC6" w:rsidRDefault="009A0588" w:rsidP="00EE0531">
      <w:pPr>
        <w:pStyle w:val="Listaszerbekezds"/>
        <w:numPr>
          <w:ilvl w:val="0"/>
          <w:numId w:val="10"/>
        </w:numPr>
        <w:spacing w:after="0"/>
      </w:pPr>
      <w:r w:rsidRPr="00BD5EC6">
        <w:t xml:space="preserve">a </w:t>
      </w:r>
      <w:r w:rsidR="00AD28D9" w:rsidRPr="00BD5EC6">
        <w:t>telephely</w:t>
      </w:r>
      <w:r w:rsidRPr="00BD5EC6">
        <w:t>re vonatkozóan az egyes szennyező anyagok küszöbértékét meghaladó, levegőbetörténő kibocsátásának adatai</w:t>
      </w:r>
      <w:r w:rsidR="00AD28D9" w:rsidRPr="00BD5EC6">
        <w:t>t</w:t>
      </w:r>
      <w:r w:rsidRPr="00BD5EC6">
        <w:t xml:space="preserve"> (a II. mellékletnek megfelelően);</w:t>
      </w:r>
    </w:p>
    <w:p w:rsidR="009A0588" w:rsidRPr="00BD5EC6" w:rsidRDefault="00AD28D9" w:rsidP="00EE0531">
      <w:pPr>
        <w:pStyle w:val="Listaszerbekezds"/>
        <w:numPr>
          <w:ilvl w:val="0"/>
          <w:numId w:val="10"/>
        </w:numPr>
        <w:spacing w:after="0"/>
      </w:pPr>
      <w:r w:rsidRPr="00BD5EC6">
        <w:t>a telephelyre vonatkozóan az egyes szennyező anyagok küszöbértékét meghaladó</w:t>
      </w:r>
      <w:r w:rsidR="009C765D" w:rsidRPr="00BD5EC6">
        <w:t>, vízbe</w:t>
      </w:r>
      <w:r w:rsidRPr="00BD5EC6">
        <w:t xml:space="preserve"> történő kibocsátásának adatait (a II. mellékletnek megfelelően);</w:t>
      </w:r>
    </w:p>
    <w:p w:rsidR="00AD28D9" w:rsidRPr="00BD5EC6" w:rsidRDefault="00AD28D9" w:rsidP="00EE0531">
      <w:pPr>
        <w:pStyle w:val="Listaszerbekezds"/>
        <w:numPr>
          <w:ilvl w:val="0"/>
          <w:numId w:val="10"/>
        </w:numPr>
        <w:spacing w:after="0"/>
      </w:pPr>
      <w:r w:rsidRPr="00BD5EC6">
        <w:t>a telephelyre vonatkozóan az egyes szennyező anyagok küszöbértékét meghaladó</w:t>
      </w:r>
      <w:r w:rsidR="009C765D" w:rsidRPr="00BD5EC6">
        <w:t>, földtani</w:t>
      </w:r>
      <w:r w:rsidRPr="00BD5EC6">
        <w:t xml:space="preserve"> közegbe történő kibocsátásának adatait (a II. mellékletnek megfelelően);</w:t>
      </w:r>
    </w:p>
    <w:p w:rsidR="00AD28D9" w:rsidRPr="00BD5EC6" w:rsidRDefault="00AD28D9" w:rsidP="00EE0531">
      <w:pPr>
        <w:pStyle w:val="Listaszerbekezds"/>
        <w:numPr>
          <w:ilvl w:val="0"/>
          <w:numId w:val="10"/>
        </w:numPr>
        <w:spacing w:after="0"/>
      </w:pPr>
      <w:r w:rsidRPr="00BD5EC6">
        <w:t>az egyes, szennyvízkezelésre szánt szennyező anyagok küszöbértékét meghaladó</w:t>
      </w:r>
      <w:r w:rsidR="00157541" w:rsidRPr="00BD5EC6">
        <w:t xml:space="preserve"> </w:t>
      </w:r>
      <w:r w:rsidRPr="00BD5EC6">
        <w:t>mennyiségben történő elszállítását a telephelyről (a II. mellékletnek megfelelően);</w:t>
      </w:r>
    </w:p>
    <w:p w:rsidR="00D35333" w:rsidRPr="00BD5EC6" w:rsidRDefault="00AD28D9" w:rsidP="00EE0531">
      <w:pPr>
        <w:pStyle w:val="Listaszerbekezds"/>
        <w:numPr>
          <w:ilvl w:val="0"/>
          <w:numId w:val="10"/>
        </w:numPr>
        <w:spacing w:after="0"/>
      </w:pPr>
      <w:r w:rsidRPr="00BD5EC6">
        <w:t>a telephelyre vonatkozóan a</w:t>
      </w:r>
      <w:r w:rsidR="00FA0226" w:rsidRPr="00BD5EC6">
        <w:t>z összes</w:t>
      </w:r>
      <w:r w:rsidR="00157541" w:rsidRPr="00BD5EC6">
        <w:t xml:space="preserve"> </w:t>
      </w:r>
      <w:r w:rsidR="00FA0275" w:rsidRPr="00BD5EC6">
        <w:t xml:space="preserve">elszállított </w:t>
      </w:r>
      <w:r w:rsidRPr="00BD5EC6">
        <w:t>veszélyes hulladék küszöbértéket</w:t>
      </w:r>
      <w:r w:rsidR="00FA0226" w:rsidRPr="00BD5EC6">
        <w:t xml:space="preserve"> (2 tonna)</w:t>
      </w:r>
      <w:r w:rsidRPr="00BD5EC6">
        <w:t xml:space="preserve"> meghaladó </w:t>
      </w:r>
      <w:r w:rsidR="00FA0275" w:rsidRPr="00BD5EC6">
        <w:t xml:space="preserve">mennyiségi </w:t>
      </w:r>
      <w:r w:rsidR="00FA0226" w:rsidRPr="00BD5EC6">
        <w:t xml:space="preserve">adatait </w:t>
      </w:r>
      <w:r w:rsidRPr="00BD5EC6">
        <w:t xml:space="preserve">(a </w:t>
      </w:r>
      <w:r w:rsidR="00FA0226" w:rsidRPr="00BD5EC6">
        <w:t>7</w:t>
      </w:r>
      <w:r w:rsidRPr="00BD5EC6">
        <w:t xml:space="preserve">. cikknek </w:t>
      </w:r>
      <w:r w:rsidR="00FA0226" w:rsidRPr="00BD5EC6">
        <w:t xml:space="preserve">5. bekezdés d) pont II. alpontjának </w:t>
      </w:r>
      <w:r w:rsidRPr="00BD5EC6">
        <w:t>megfelelően)</w:t>
      </w:r>
      <w:r w:rsidR="00FA0226" w:rsidRPr="00BD5EC6">
        <w:t>, megjelölve, hogy a hulladék országon belül, illetve országon kívül kerül hasznosításra (R), és/vagy ártalmatlanításra</w:t>
      </w:r>
      <w:r w:rsidR="004F02A5" w:rsidRPr="00BD5EC6">
        <w:t xml:space="preserve"> (D)</w:t>
      </w:r>
      <w:r w:rsidR="00FA0275" w:rsidRPr="00BD5EC6">
        <w:t>, valamint országon kívülre történő szállítás esetén a befogadó ország nevét a hasznosító/ártalmatlanító telephely nevét és címét</w:t>
      </w:r>
      <w:r w:rsidR="00D35333" w:rsidRPr="00BD5EC6">
        <w:t>;</w:t>
      </w:r>
    </w:p>
    <w:p w:rsidR="00466D97" w:rsidRPr="00BD5EC6" w:rsidRDefault="004F02A5" w:rsidP="00EE0531">
      <w:pPr>
        <w:pStyle w:val="Listaszerbekezds"/>
        <w:numPr>
          <w:ilvl w:val="0"/>
          <w:numId w:val="10"/>
        </w:numPr>
        <w:spacing w:after="0"/>
      </w:pPr>
      <w:r w:rsidRPr="00BD5EC6">
        <w:t xml:space="preserve">a telephelyre </w:t>
      </w:r>
      <w:r w:rsidR="00466D97" w:rsidRPr="00BD5EC6">
        <w:t>vonatkozóan a</w:t>
      </w:r>
      <w:r w:rsidRPr="00BD5EC6">
        <w:t xml:space="preserve">z összes elszállított </w:t>
      </w:r>
      <w:r w:rsidR="00466D97" w:rsidRPr="00BD5EC6">
        <w:t>nem veszélyes hulladék küszöbértékét</w:t>
      </w:r>
      <w:r w:rsidRPr="00BD5EC6">
        <w:t xml:space="preserve"> (2000 tonna)</w:t>
      </w:r>
      <w:r w:rsidR="00466D97" w:rsidRPr="00BD5EC6">
        <w:t xml:space="preserve"> meghaladó </w:t>
      </w:r>
      <w:r w:rsidRPr="00BD5EC6">
        <w:t xml:space="preserve">mennyiségi adatait (a 7. cikknek 5. bekezdés d) pont II. alpontjának megfelelően), megjelölve, hogy a </w:t>
      </w:r>
      <w:proofErr w:type="gramStart"/>
      <w:r w:rsidRPr="00BD5EC6">
        <w:t>hulladék hasznosításra</w:t>
      </w:r>
      <w:proofErr w:type="gramEnd"/>
      <w:r w:rsidRPr="00BD5EC6">
        <w:t xml:space="preserve"> (R), és/vagy ártalmatlanításra (D) kerül;</w:t>
      </w:r>
    </w:p>
    <w:p w:rsidR="00157541" w:rsidRPr="00BD5EC6" w:rsidRDefault="00157541" w:rsidP="00EE0531">
      <w:pPr>
        <w:pStyle w:val="Listaszerbekezds"/>
        <w:numPr>
          <w:ilvl w:val="0"/>
          <w:numId w:val="10"/>
        </w:numPr>
        <w:spacing w:after="0"/>
      </w:pPr>
      <w:r w:rsidRPr="00BD5EC6">
        <w:t>a diffúz forrásokat.</w:t>
      </w:r>
    </w:p>
    <w:p w:rsidR="00A67F52" w:rsidRPr="00BD5EC6" w:rsidRDefault="00A67F52" w:rsidP="00A67F52">
      <w:pPr>
        <w:spacing w:after="0"/>
        <w:jc w:val="both"/>
      </w:pPr>
    </w:p>
    <w:p w:rsidR="00D35333" w:rsidRPr="00BD5EC6" w:rsidRDefault="00D35333" w:rsidP="000E1CC3">
      <w:pPr>
        <w:jc w:val="both"/>
        <w:rPr>
          <w:i/>
        </w:rPr>
      </w:pPr>
      <w:r w:rsidRPr="00BD5EC6">
        <w:rPr>
          <w:i/>
        </w:rPr>
        <w:t>(f)</w:t>
      </w:r>
      <w:r w:rsidRPr="00BD5EC6">
        <w:rPr>
          <w:i/>
        </w:rPr>
        <w:tab/>
        <w:t>Az 5. cikk 4. bekezdése tekintetében: adja meg azt az Egységes Forrásazonosítót (</w:t>
      </w:r>
      <w:proofErr w:type="spellStart"/>
      <w:r w:rsidRPr="00BD5EC6">
        <w:rPr>
          <w:i/>
        </w:rPr>
        <w:t>url</w:t>
      </w:r>
      <w:proofErr w:type="spellEnd"/>
      <w:r w:rsidRPr="00BD5EC6">
        <w:rPr>
          <w:i/>
        </w:rPr>
        <w:t>) vagy internetes címet, ahol folyamatosan és azonnal bele lehet tekinteni a nyilvántartásba, vagy az egyéb, azonos hatású elektronikus eszközt;</w:t>
      </w:r>
    </w:p>
    <w:p w:rsidR="00FA0275" w:rsidRPr="00BD5EC6" w:rsidRDefault="00DA0248" w:rsidP="00FA0275">
      <w:pPr>
        <w:spacing w:after="0"/>
        <w:jc w:val="both"/>
      </w:pPr>
      <w:hyperlink r:id="rId10" w:history="1">
        <w:r w:rsidR="00FA0275" w:rsidRPr="00BD5EC6">
          <w:rPr>
            <w:rStyle w:val="Hiperhivatkozs"/>
          </w:rPr>
          <w:t>http://prtr.ec.europa.eu/</w:t>
        </w:r>
      </w:hyperlink>
    </w:p>
    <w:p w:rsidR="00FA0275" w:rsidRPr="00BD5EC6" w:rsidRDefault="00DA0248" w:rsidP="000E1CC3">
      <w:pPr>
        <w:jc w:val="both"/>
      </w:pPr>
      <w:hyperlink r:id="rId11" w:history="1">
        <w:r w:rsidR="00B4648C" w:rsidRPr="00BD5EC6">
          <w:rPr>
            <w:rStyle w:val="Hiperhivatkozs"/>
          </w:rPr>
          <w:t>http://web.okir.hu/hu/eprtr</w:t>
        </w:r>
      </w:hyperlink>
    </w:p>
    <w:p w:rsidR="00B4648C" w:rsidRPr="00BD5EC6" w:rsidRDefault="00DA0248" w:rsidP="000E1CC3">
      <w:pPr>
        <w:jc w:val="both"/>
      </w:pPr>
      <w:hyperlink r:id="rId12" w:history="1">
        <w:r w:rsidR="00B4648C" w:rsidRPr="00BD5EC6">
          <w:rPr>
            <w:rStyle w:val="Hiperhivatkozs"/>
          </w:rPr>
          <w:t>http://web.okir.hu/hu/tart/index/50/Adatok_lekerdezese</w:t>
        </w:r>
      </w:hyperlink>
    </w:p>
    <w:p w:rsidR="00D35333" w:rsidRPr="00BD5EC6" w:rsidRDefault="00D35333" w:rsidP="000E1CC3">
      <w:pPr>
        <w:jc w:val="both"/>
        <w:rPr>
          <w:i/>
        </w:rPr>
      </w:pPr>
      <w:r w:rsidRPr="00BD5EC6">
        <w:rPr>
          <w:i/>
        </w:rPr>
        <w:t>(g)</w:t>
      </w:r>
      <w:r w:rsidRPr="00BD5EC6">
        <w:rPr>
          <w:i/>
        </w:rPr>
        <w:tab/>
        <w:t xml:space="preserve">Az 5. cikk 5. és 6. bekezdése tekintetében: nyújtson tájékoztatást azokról a felek nyilvántartásaiban </w:t>
      </w:r>
      <w:proofErr w:type="gramStart"/>
      <w:r w:rsidRPr="00BD5EC6">
        <w:rPr>
          <w:i/>
        </w:rPr>
        <w:t>szereplő hivatkozásokról</w:t>
      </w:r>
      <w:proofErr w:type="gramEnd"/>
      <w:r w:rsidRPr="00BD5EC6">
        <w:rPr>
          <w:i/>
        </w:rPr>
        <w:t xml:space="preserve">, amelyek kapcsolatot biztosítanak a vonatkozó, létező, nyilvánosan hozzáférhető, környezetvédelmi tárgyú adatbázisokkal, feltéve hogy vannak ilyenek, és a többi fél </w:t>
      </w:r>
      <w:proofErr w:type="spellStart"/>
      <w:r w:rsidRPr="00BD5EC6">
        <w:rPr>
          <w:i/>
        </w:rPr>
        <w:t>PRTR-jeivel</w:t>
      </w:r>
      <w:proofErr w:type="spellEnd"/>
      <w:r w:rsidRPr="00BD5EC6">
        <w:rPr>
          <w:i/>
        </w:rPr>
        <w:t xml:space="preserve"> kapcsolatot biztosító hivatkozásról is.</w:t>
      </w:r>
    </w:p>
    <w:p w:rsidR="00D35333" w:rsidRPr="00BD5EC6" w:rsidRDefault="00D35333" w:rsidP="000E1CC3">
      <w:pPr>
        <w:jc w:val="both"/>
      </w:pPr>
      <w:r w:rsidRPr="00BD5EC6">
        <w:t xml:space="preserve">A magyar PRTR honlapon az alábbi </w:t>
      </w:r>
      <w:r w:rsidR="00B4648C" w:rsidRPr="00BD5EC6">
        <w:t xml:space="preserve">linkekre kattintva a felsorolt </w:t>
      </w:r>
      <w:r w:rsidRPr="00BD5EC6">
        <w:t xml:space="preserve">országok internetes PRTR nyilvántartásaira való hivatkozások </w:t>
      </w:r>
      <w:r w:rsidR="00B4648C" w:rsidRPr="00BD5EC6">
        <w:t>jelennek meg,</w:t>
      </w:r>
      <w:r w:rsidRPr="00BD5EC6">
        <w:t xml:space="preserve"> amelyek kapcsolatot teremtenek a vonatkozó, létező, nyilvánosan hozzáférhető PRTR és környezetvédelmi tárgyú adatbázisok</w:t>
      </w:r>
      <w:r w:rsidR="00843518" w:rsidRPr="00BD5EC6">
        <w:t>kal</w:t>
      </w:r>
      <w:r w:rsidRPr="00BD5EC6">
        <w:t>.</w:t>
      </w:r>
    </w:p>
    <w:p w:rsidR="00B4648C" w:rsidRPr="00BD5EC6" w:rsidRDefault="00DA0248" w:rsidP="000E1CC3">
      <w:pPr>
        <w:jc w:val="both"/>
      </w:pPr>
      <w:hyperlink r:id="rId13" w:history="1">
        <w:r w:rsidR="00B4648C" w:rsidRPr="00BD5EC6">
          <w:rPr>
            <w:rStyle w:val="Hiperhivatkozs"/>
          </w:rPr>
          <w:t>http://web.okir.hu/hu/cikk/463/EU_tagallamok_PRTR_honlapjai</w:t>
        </w:r>
      </w:hyperlink>
    </w:p>
    <w:p w:rsidR="00B4648C" w:rsidRPr="00BD5EC6" w:rsidRDefault="00DA0248" w:rsidP="000E1CC3">
      <w:pPr>
        <w:jc w:val="both"/>
      </w:pPr>
      <w:hyperlink r:id="rId14" w:history="1">
        <w:r w:rsidR="00B4648C" w:rsidRPr="00BD5EC6">
          <w:rPr>
            <w:rStyle w:val="Hiperhivatkozs"/>
          </w:rPr>
          <w:t>http://web.okir.hu/hu/cikk/464/Nemzeti_PRTR_rendszerek_honlapjai_a_vilagon</w:t>
        </w:r>
      </w:hyperlink>
    </w:p>
    <w:p w:rsidR="00B4648C" w:rsidRPr="00BD5EC6" w:rsidRDefault="00B4648C" w:rsidP="000E1CC3">
      <w:pPr>
        <w:jc w:val="both"/>
      </w:pPr>
      <w:proofErr w:type="gramStart"/>
      <w:r w:rsidRPr="00BD5EC6">
        <w:t>http</w:t>
      </w:r>
      <w:proofErr w:type="gramEnd"/>
      <w:r w:rsidRPr="00BD5EC6">
        <w:t>://web.okir.hu/hu/cikk/465/Nemzetkozi_szervezetek</w:t>
      </w:r>
    </w:p>
    <w:p w:rsidR="000E1CC3" w:rsidRPr="00BD5EC6" w:rsidRDefault="000E1CC3" w:rsidP="00136DE5">
      <w:pPr>
        <w:jc w:val="both"/>
      </w:pPr>
    </w:p>
    <w:p w:rsidR="00136DE5" w:rsidRPr="00BD5EC6" w:rsidRDefault="00541306" w:rsidP="008E2B53">
      <w:pPr>
        <w:spacing w:after="0"/>
        <w:ind w:hanging="426"/>
        <w:jc w:val="both"/>
        <w:rPr>
          <w:b/>
          <w:i/>
          <w:u w:val="single"/>
        </w:rPr>
      </w:pPr>
      <w:r w:rsidRPr="00BD5EC6">
        <w:rPr>
          <w:b/>
          <w:i/>
        </w:rPr>
        <w:t>7</w:t>
      </w:r>
      <w:r w:rsidR="00861B9C" w:rsidRPr="00BD5EC6">
        <w:rPr>
          <w:b/>
          <w:i/>
        </w:rPr>
        <w:t>.</w:t>
      </w:r>
      <w:r w:rsidR="00861B9C" w:rsidRPr="00BD5EC6">
        <w:rPr>
          <w:b/>
          <w:i/>
        </w:rPr>
        <w:tab/>
      </w:r>
      <w:r w:rsidR="00D43EF7" w:rsidRPr="00BD5EC6">
        <w:rPr>
          <w:b/>
          <w:i/>
          <w:u w:val="single"/>
        </w:rPr>
        <w:t>7. cikk</w:t>
      </w:r>
      <w:r w:rsidR="008E2B53" w:rsidRPr="00BD5EC6">
        <w:rPr>
          <w:b/>
          <w:i/>
          <w:u w:val="single"/>
        </w:rPr>
        <w:t xml:space="preserve"> Jelentéstételi követelmények</w:t>
      </w:r>
    </w:p>
    <w:p w:rsidR="00861B9C" w:rsidRPr="00BD5EC6" w:rsidRDefault="00861B9C" w:rsidP="00E929D4">
      <w:pPr>
        <w:spacing w:after="0"/>
        <w:jc w:val="both"/>
      </w:pPr>
    </w:p>
    <w:p w:rsidR="00D43EF7" w:rsidRPr="00BD5EC6" w:rsidRDefault="00D43EF7" w:rsidP="00E929D4">
      <w:pPr>
        <w:spacing w:after="0"/>
        <w:jc w:val="both"/>
        <w:rPr>
          <w:i/>
        </w:rPr>
      </w:pPr>
      <w:r w:rsidRPr="00BD5EC6">
        <w:rPr>
          <w:i/>
        </w:rPr>
        <w:t>Sorolja fel a 7. cikket (Jelentéstételi követelmények) végrehajtó jogalkotási, szabályozási és egyéb intézkedéseket.</w:t>
      </w:r>
    </w:p>
    <w:p w:rsidR="00D43EF7" w:rsidRPr="00BD5EC6" w:rsidRDefault="00D43EF7" w:rsidP="00E929D4">
      <w:pPr>
        <w:spacing w:after="0"/>
        <w:jc w:val="both"/>
        <w:rPr>
          <w:i/>
        </w:rPr>
      </w:pPr>
      <w:proofErr w:type="gramStart"/>
      <w:r w:rsidRPr="00BD5EC6">
        <w:rPr>
          <w:i/>
        </w:rPr>
        <w:t>Ismertesse</w:t>
      </w:r>
      <w:proofErr w:type="gramEnd"/>
      <w:r w:rsidRPr="00BD5EC6">
        <w:rPr>
          <w:i/>
        </w:rPr>
        <w:t xml:space="preserve"> vagy adott esetben határozza meg a következőket:</w:t>
      </w:r>
    </w:p>
    <w:p w:rsidR="00D43EF7" w:rsidRPr="00BD5EC6" w:rsidRDefault="00D43EF7" w:rsidP="00E8463F">
      <w:pPr>
        <w:pStyle w:val="Listaszerbekezds"/>
        <w:numPr>
          <w:ilvl w:val="0"/>
          <w:numId w:val="8"/>
        </w:numPr>
        <w:ind w:left="0" w:firstLine="0"/>
        <w:jc w:val="both"/>
        <w:rPr>
          <w:i/>
        </w:rPr>
      </w:pPr>
      <w:r w:rsidRPr="00BD5EC6">
        <w:rPr>
          <w:i/>
        </w:rPr>
        <w:t xml:space="preserve">Az 1. bekezdés tekintetében: vajon a nemzeti rendszer az 1. bekezdés a) </w:t>
      </w:r>
      <w:proofErr w:type="spellStart"/>
      <w:r w:rsidRPr="00BD5EC6">
        <w:rPr>
          <w:i/>
        </w:rPr>
        <w:t>albekezdésében</w:t>
      </w:r>
      <w:proofErr w:type="spellEnd"/>
      <w:r w:rsidRPr="00BD5EC6">
        <w:rPr>
          <w:i/>
        </w:rPr>
        <w:t xml:space="preserve"> megállapított jelentéstételi követelményeket követeli meg, vagy a nemzeti rendszer az 1. bekezdés b) </w:t>
      </w:r>
      <w:proofErr w:type="spellStart"/>
      <w:r w:rsidRPr="00BD5EC6">
        <w:rPr>
          <w:i/>
        </w:rPr>
        <w:t>albekezdésében</w:t>
      </w:r>
      <w:proofErr w:type="spellEnd"/>
      <w:r w:rsidRPr="00BD5EC6">
        <w:rPr>
          <w:i/>
        </w:rPr>
        <w:t xml:space="preserve"> megállapítottakat követeli meg;</w:t>
      </w:r>
    </w:p>
    <w:p w:rsidR="00D43EF7" w:rsidRPr="00BD5EC6" w:rsidRDefault="00D43EF7" w:rsidP="00D43EF7">
      <w:pPr>
        <w:jc w:val="both"/>
      </w:pPr>
      <w:r w:rsidRPr="00BD5EC6">
        <w:t xml:space="preserve">A nemzeti rendszer a 7. </w:t>
      </w:r>
      <w:r w:rsidR="00937933" w:rsidRPr="00BD5EC6">
        <w:t>cikk</w:t>
      </w:r>
      <w:r w:rsidRPr="00BD5EC6">
        <w:t xml:space="preserve"> 1. bekezdés a) </w:t>
      </w:r>
      <w:proofErr w:type="spellStart"/>
      <w:r w:rsidRPr="00BD5EC6">
        <w:t>albekezdésében</w:t>
      </w:r>
      <w:proofErr w:type="spellEnd"/>
      <w:r w:rsidRPr="00BD5EC6">
        <w:t xml:space="preserve"> megállapított jelentéstételi követelményeket követeli meg</w:t>
      </w:r>
      <w:r w:rsidR="00E8463F" w:rsidRPr="00BD5EC6">
        <w:t xml:space="preserve">, amely azt jelenti, hogy az </w:t>
      </w:r>
      <w:proofErr w:type="gramStart"/>
      <w:r w:rsidR="00E8463F" w:rsidRPr="00BD5EC6">
        <w:t>üzem</w:t>
      </w:r>
      <w:r w:rsidR="002E1BE0" w:rsidRPr="00BD5EC6">
        <w:t>(</w:t>
      </w:r>
      <w:proofErr w:type="gramEnd"/>
      <w:r w:rsidR="002E1BE0" w:rsidRPr="00BD5EC6">
        <w:t>telephely)</w:t>
      </w:r>
      <w:r w:rsidR="00E8463F" w:rsidRPr="00BD5EC6">
        <w:t xml:space="preserve"> akkor jelentésköteles, ha az I. mellékletben meghatározott tevékenységet végez az I. melléklet 1. oszlopában meghatározott vonatkozó kapacitásküszöbön felül.</w:t>
      </w:r>
    </w:p>
    <w:p w:rsidR="0013774D" w:rsidRPr="00BD5EC6" w:rsidRDefault="0013774D" w:rsidP="0013774D">
      <w:pPr>
        <w:jc w:val="both"/>
        <w:rPr>
          <w:i/>
        </w:rPr>
      </w:pPr>
      <w:r w:rsidRPr="00BD5EC6">
        <w:rPr>
          <w:i/>
        </w:rPr>
        <w:t>(b)</w:t>
      </w:r>
      <w:r w:rsidRPr="00BD5EC6">
        <w:rPr>
          <w:i/>
        </w:rPr>
        <w:tab/>
        <w:t>Az 1</w:t>
      </w:r>
      <w:proofErr w:type="gramStart"/>
      <w:r w:rsidRPr="00BD5EC6">
        <w:rPr>
          <w:i/>
        </w:rPr>
        <w:t>.,</w:t>
      </w:r>
      <w:proofErr w:type="gramEnd"/>
      <w:r w:rsidRPr="00BD5EC6">
        <w:rPr>
          <w:i/>
        </w:rPr>
        <w:t xml:space="preserve"> 2 és 5. bekezdés tekintetében: vajon minden egyes üzem esetében a tulajdonostól követelik-e meg, hogy betartsa a jelentéstételi követelményeket, vagy az üzemeltetőtől;</w:t>
      </w:r>
    </w:p>
    <w:p w:rsidR="00D43EF7" w:rsidRPr="00BD5EC6" w:rsidRDefault="0013774D" w:rsidP="0013774D">
      <w:pPr>
        <w:jc w:val="both"/>
      </w:pPr>
      <w:r w:rsidRPr="00BD5EC6">
        <w:t xml:space="preserve">A jelentéstételi követelményeket betartását </w:t>
      </w:r>
      <w:proofErr w:type="gramStart"/>
      <w:r w:rsidRPr="00BD5EC6">
        <w:t>a</w:t>
      </w:r>
      <w:proofErr w:type="gramEnd"/>
      <w:r w:rsidRPr="00BD5EC6">
        <w:t xml:space="preserve"> </w:t>
      </w:r>
      <w:r w:rsidR="00B24C57" w:rsidRPr="00BD5EC6">
        <w:t xml:space="preserve"> </w:t>
      </w:r>
      <w:proofErr w:type="spellStart"/>
      <w:r w:rsidR="00B24C57" w:rsidRPr="00BD5EC6">
        <w:t>a</w:t>
      </w:r>
      <w:proofErr w:type="spellEnd"/>
      <w:r w:rsidR="00B24C57" w:rsidRPr="00BD5EC6">
        <w:t xml:space="preserve"> 4. és 5. pontban</w:t>
      </w:r>
      <w:r w:rsidRPr="00BD5EC6">
        <w:t xml:space="preserve"> említett hatályos szakterületi jogszabályok írják elő, amely </w:t>
      </w:r>
      <w:r w:rsidR="00AB4E6D" w:rsidRPr="00BD5EC6">
        <w:t>szerint</w:t>
      </w:r>
      <w:r w:rsidR="00EC5508" w:rsidRPr="00BD5EC6">
        <w:t xml:space="preserve"> </w:t>
      </w:r>
      <w:r w:rsidRPr="00BD5EC6">
        <w:t xml:space="preserve">minden </w:t>
      </w:r>
      <w:r w:rsidR="003B460C" w:rsidRPr="00BD5EC6">
        <w:t>a</w:t>
      </w:r>
      <w:r w:rsidR="00AB4E6D" w:rsidRPr="00BD5EC6">
        <w:t xml:space="preserve">z adatszolgáltatás során közölt adat </w:t>
      </w:r>
      <w:proofErr w:type="spellStart"/>
      <w:r w:rsidR="00AB4E6D" w:rsidRPr="00BD5EC6">
        <w:t>teljeskörűségéért</w:t>
      </w:r>
      <w:proofErr w:type="spellEnd"/>
      <w:r w:rsidR="00AB4E6D" w:rsidRPr="00BD5EC6">
        <w:t xml:space="preserve">, a bejelentésre kötelezettre érvényes számviteli </w:t>
      </w:r>
      <w:r w:rsidR="00EC5508" w:rsidRPr="00BD5EC6">
        <w:t>szabályokkal,</w:t>
      </w:r>
      <w:r w:rsidR="00AB4E6D" w:rsidRPr="00BD5EC6">
        <w:t xml:space="preserve"> statisztikai rendszerrel, valamint egyéb nyilvántartási rendszereivel, mérési, megfigyelési adataival való egyezéséért a bejelentésre kötelezett </w:t>
      </w:r>
      <w:r w:rsidR="003B460C" w:rsidRPr="00BD5EC6">
        <w:t xml:space="preserve">üzem (telephely) üzemeltetője (operátor) </w:t>
      </w:r>
      <w:r w:rsidR="00AB4E6D" w:rsidRPr="00BD5EC6">
        <w:t>felelős.</w:t>
      </w:r>
    </w:p>
    <w:p w:rsidR="0013774D" w:rsidRPr="00BD5EC6" w:rsidRDefault="003E346B" w:rsidP="0013774D">
      <w:pPr>
        <w:jc w:val="both"/>
        <w:rPr>
          <w:i/>
        </w:rPr>
      </w:pPr>
      <w:r w:rsidRPr="00BD5EC6">
        <w:rPr>
          <w:i/>
        </w:rPr>
        <w:t>(c)</w:t>
      </w:r>
      <w:r w:rsidRPr="00BD5EC6">
        <w:rPr>
          <w:i/>
        </w:rPr>
        <w:tab/>
      </w:r>
      <w:r w:rsidR="0013774D" w:rsidRPr="00BD5EC6">
        <w:rPr>
          <w:i/>
        </w:rPr>
        <w:t xml:space="preserve">Az 1. bekezdés és az I. melléklet tekintetében: bármely eltérés azoknak a tevékenységeknek – vagy kapcsolódó küszöbértékeiknek – a felsorolása között, amelyek vonatkozásában a </w:t>
      </w:r>
      <w:r w:rsidR="005E2DC0" w:rsidRPr="00BD5EC6">
        <w:rPr>
          <w:i/>
        </w:rPr>
        <w:t>JK</w:t>
      </w:r>
      <w:r w:rsidR="0013774D" w:rsidRPr="00BD5EC6">
        <w:rPr>
          <w:i/>
        </w:rPr>
        <w:t xml:space="preserve"> jelentéstételt ír elő, és azoknak a tevékenységeknek és kapcsolódó küszöbértékeknek a felsorolása között, amelyek vonatkozásában a nemzeti PRTR rendszer ír elő jelentéstételt;</w:t>
      </w:r>
    </w:p>
    <w:p w:rsidR="0013774D" w:rsidRPr="00BD5EC6" w:rsidRDefault="0013774D" w:rsidP="0013774D">
      <w:pPr>
        <w:jc w:val="both"/>
      </w:pPr>
      <w:r w:rsidRPr="00BD5EC6">
        <w:t xml:space="preserve">Az 7. </w:t>
      </w:r>
      <w:r w:rsidR="00937933" w:rsidRPr="00BD5EC6">
        <w:t>cikk</w:t>
      </w:r>
      <w:r w:rsidRPr="00BD5EC6">
        <w:t xml:space="preserve"> 1. bekezdés és az I. melléklet tekintetében nincsenek </w:t>
      </w:r>
      <w:r w:rsidR="008C71C3" w:rsidRPr="00BD5EC6">
        <w:t xml:space="preserve">ilyen </w:t>
      </w:r>
      <w:r w:rsidRPr="00BD5EC6">
        <w:t>eltérések.</w:t>
      </w:r>
    </w:p>
    <w:p w:rsidR="008C71C3" w:rsidRPr="00BD5EC6" w:rsidRDefault="008C71C3" w:rsidP="0013774D">
      <w:pPr>
        <w:jc w:val="both"/>
      </w:pPr>
    </w:p>
    <w:p w:rsidR="0013774D" w:rsidRPr="00BD5EC6" w:rsidRDefault="00861B9C" w:rsidP="0013774D">
      <w:pPr>
        <w:jc w:val="both"/>
        <w:rPr>
          <w:i/>
        </w:rPr>
      </w:pPr>
      <w:r w:rsidRPr="00BD5EC6">
        <w:rPr>
          <w:i/>
        </w:rPr>
        <w:t>(d)</w:t>
      </w:r>
      <w:r w:rsidRPr="00BD5EC6">
        <w:rPr>
          <w:i/>
        </w:rPr>
        <w:tab/>
      </w:r>
      <w:r w:rsidR="0013774D" w:rsidRPr="00BD5EC6">
        <w:rPr>
          <w:i/>
        </w:rPr>
        <w:t xml:space="preserve">Az 1. bekezdés és a II. melléklet tekintetében: bármely eltérés azoknak a szennyezőanyagoknak – vagy kapcsolódó küszöbértékeiknek – a felsorolása között, amelyek vonatkozásában a </w:t>
      </w:r>
      <w:r w:rsidR="005E2DC0" w:rsidRPr="00BD5EC6">
        <w:rPr>
          <w:i/>
        </w:rPr>
        <w:t>JK</w:t>
      </w:r>
      <w:r w:rsidR="0013774D" w:rsidRPr="00BD5EC6">
        <w:rPr>
          <w:i/>
        </w:rPr>
        <w:t xml:space="preserve"> jelentéstételt ír elő, és azoknak a szennyezőknek és kapcsolódó küszöbértékeknek a felsorolása között, amelyek vonatkozásában a nemzeti PRTR rendszer ír elő jelentéstételt;</w:t>
      </w:r>
    </w:p>
    <w:p w:rsidR="0013774D" w:rsidRPr="00BD5EC6" w:rsidRDefault="0013774D" w:rsidP="0013774D">
      <w:pPr>
        <w:jc w:val="both"/>
      </w:pPr>
      <w:r w:rsidRPr="00BD5EC6">
        <w:t>Az 1. bekezdés és a II. melléklet tekintetében az alábbi különbségek vannak:</w:t>
      </w:r>
    </w:p>
    <w:tbl>
      <w:tblPr>
        <w:tblStyle w:val="Rcsostblzat"/>
        <w:tblW w:w="6238" w:type="dxa"/>
        <w:tblInd w:w="289" w:type="dxa"/>
        <w:tblLayout w:type="fixed"/>
        <w:tblLook w:val="04A0" w:firstRow="1" w:lastRow="0" w:firstColumn="1" w:lastColumn="0" w:noHBand="0" w:noVBand="1"/>
      </w:tblPr>
      <w:tblGrid>
        <w:gridCol w:w="426"/>
        <w:gridCol w:w="2551"/>
        <w:gridCol w:w="993"/>
        <w:gridCol w:w="992"/>
        <w:gridCol w:w="1276"/>
      </w:tblGrid>
      <w:tr w:rsidR="004B0D56" w:rsidRPr="00BD5EC6" w:rsidTr="00773794">
        <w:trPr>
          <w:trHeight w:val="440"/>
        </w:trPr>
        <w:tc>
          <w:tcPr>
            <w:tcW w:w="426" w:type="dxa"/>
            <w:vMerge w:val="restart"/>
            <w:shd w:val="clear" w:color="auto" w:fill="FBF2BD"/>
            <w:vAlign w:val="bottom"/>
          </w:tcPr>
          <w:p w:rsidR="004B0D56" w:rsidRPr="00773794" w:rsidRDefault="004B0D56" w:rsidP="00280D77">
            <w:pPr>
              <w:tabs>
                <w:tab w:val="left" w:pos="1272"/>
                <w:tab w:val="left" w:pos="1407"/>
              </w:tabs>
              <w:spacing w:before="40" w:after="100" w:line="240" w:lineRule="exact"/>
              <w:jc w:val="center"/>
              <w:rPr>
                <w:b/>
                <w:sz w:val="16"/>
                <w:szCs w:val="16"/>
                <w:lang w:val="hu-HU"/>
              </w:rPr>
            </w:pPr>
            <w:proofErr w:type="spellStart"/>
            <w:r w:rsidRPr="00BD5EC6">
              <w:rPr>
                <w:b/>
                <w:sz w:val="16"/>
                <w:szCs w:val="16"/>
              </w:rPr>
              <w:t>Sor-szám</w:t>
            </w:r>
            <w:proofErr w:type="spellEnd"/>
          </w:p>
        </w:tc>
        <w:tc>
          <w:tcPr>
            <w:tcW w:w="2551" w:type="dxa"/>
            <w:vMerge w:val="restart"/>
            <w:shd w:val="clear" w:color="auto" w:fill="FBF2BD"/>
            <w:vAlign w:val="bottom"/>
          </w:tcPr>
          <w:p w:rsidR="004B0D56" w:rsidRPr="00773794" w:rsidRDefault="004B0D56" w:rsidP="00280D77">
            <w:pPr>
              <w:tabs>
                <w:tab w:val="left" w:pos="1272"/>
                <w:tab w:val="left" w:pos="1407"/>
              </w:tabs>
              <w:spacing w:before="40" w:after="100" w:line="240" w:lineRule="exact"/>
              <w:ind w:right="113"/>
              <w:jc w:val="center"/>
              <w:rPr>
                <w:b/>
                <w:sz w:val="16"/>
                <w:szCs w:val="16"/>
                <w:lang w:val="hu-HU"/>
              </w:rPr>
            </w:pPr>
            <w:proofErr w:type="spellStart"/>
            <w:r w:rsidRPr="00BD5EC6">
              <w:rPr>
                <w:b/>
                <w:sz w:val="16"/>
                <w:szCs w:val="16"/>
              </w:rPr>
              <w:t>Szennyezőanyag</w:t>
            </w:r>
            <w:proofErr w:type="spellEnd"/>
          </w:p>
        </w:tc>
        <w:tc>
          <w:tcPr>
            <w:tcW w:w="3261" w:type="dxa"/>
            <w:gridSpan w:val="3"/>
            <w:shd w:val="clear" w:color="auto" w:fill="FBF2BD"/>
            <w:vAlign w:val="center"/>
          </w:tcPr>
          <w:p w:rsidR="004B0D56" w:rsidRPr="00773794" w:rsidRDefault="004B0D56" w:rsidP="004B0D56">
            <w:pPr>
              <w:tabs>
                <w:tab w:val="left" w:pos="1272"/>
                <w:tab w:val="left" w:pos="1407"/>
              </w:tabs>
              <w:spacing w:line="240" w:lineRule="exact"/>
              <w:ind w:right="113"/>
              <w:jc w:val="center"/>
              <w:rPr>
                <w:b/>
                <w:sz w:val="16"/>
                <w:szCs w:val="16"/>
                <w:lang w:val="hu-HU"/>
              </w:rPr>
            </w:pPr>
            <w:proofErr w:type="spellStart"/>
            <w:r w:rsidRPr="00BD5EC6">
              <w:rPr>
                <w:b/>
                <w:sz w:val="16"/>
                <w:szCs w:val="16"/>
              </w:rPr>
              <w:t>Kibocsátásiküszöb</w:t>
            </w:r>
            <w:proofErr w:type="spellEnd"/>
          </w:p>
        </w:tc>
      </w:tr>
      <w:tr w:rsidR="007E78F5" w:rsidRPr="00BD5EC6" w:rsidTr="00773794">
        <w:tc>
          <w:tcPr>
            <w:tcW w:w="426" w:type="dxa"/>
            <w:vMerge/>
            <w:tcBorders>
              <w:bottom w:val="single" w:sz="24" w:space="0" w:color="auto"/>
            </w:tcBorders>
            <w:shd w:val="clear" w:color="auto" w:fill="FBF2BD"/>
          </w:tcPr>
          <w:p w:rsidR="004B0D56" w:rsidRPr="00773794" w:rsidRDefault="004B0D56" w:rsidP="0013774D">
            <w:pPr>
              <w:tabs>
                <w:tab w:val="left" w:pos="1272"/>
                <w:tab w:val="left" w:pos="1407"/>
              </w:tabs>
              <w:spacing w:before="40" w:after="100" w:line="240" w:lineRule="exact"/>
              <w:ind w:right="113"/>
              <w:jc w:val="center"/>
              <w:rPr>
                <w:b/>
                <w:sz w:val="16"/>
                <w:szCs w:val="16"/>
                <w:lang w:val="hu-HU"/>
              </w:rPr>
            </w:pPr>
          </w:p>
        </w:tc>
        <w:tc>
          <w:tcPr>
            <w:tcW w:w="2551" w:type="dxa"/>
            <w:vMerge/>
            <w:tcBorders>
              <w:bottom w:val="single" w:sz="24" w:space="0" w:color="auto"/>
            </w:tcBorders>
            <w:shd w:val="clear" w:color="auto" w:fill="FBF2BD"/>
          </w:tcPr>
          <w:p w:rsidR="004B0D56" w:rsidRPr="00773794" w:rsidRDefault="004B0D56" w:rsidP="0013774D">
            <w:pPr>
              <w:tabs>
                <w:tab w:val="left" w:pos="1272"/>
                <w:tab w:val="left" w:pos="1407"/>
              </w:tabs>
              <w:spacing w:before="40" w:after="100" w:line="240" w:lineRule="exact"/>
              <w:ind w:right="113"/>
              <w:jc w:val="center"/>
              <w:rPr>
                <w:b/>
                <w:sz w:val="16"/>
                <w:szCs w:val="16"/>
                <w:lang w:val="hu-HU"/>
              </w:rPr>
            </w:pPr>
          </w:p>
        </w:tc>
        <w:tc>
          <w:tcPr>
            <w:tcW w:w="993" w:type="dxa"/>
            <w:tcBorders>
              <w:bottom w:val="single" w:sz="24" w:space="0" w:color="auto"/>
            </w:tcBorders>
            <w:shd w:val="clear" w:color="auto" w:fill="FBF2BD"/>
            <w:vAlign w:val="center"/>
          </w:tcPr>
          <w:p w:rsidR="004B0D56" w:rsidRPr="00773794" w:rsidRDefault="004B0D56" w:rsidP="004B0D56">
            <w:pPr>
              <w:tabs>
                <w:tab w:val="left" w:pos="1272"/>
                <w:tab w:val="left" w:pos="1407"/>
              </w:tabs>
              <w:spacing w:line="240" w:lineRule="auto"/>
              <w:jc w:val="center"/>
              <w:rPr>
                <w:b/>
                <w:sz w:val="16"/>
                <w:szCs w:val="16"/>
                <w:lang w:val="hu-HU"/>
              </w:rPr>
            </w:pPr>
            <w:proofErr w:type="spellStart"/>
            <w:r w:rsidRPr="00BD5EC6">
              <w:rPr>
                <w:b/>
                <w:sz w:val="16"/>
                <w:szCs w:val="16"/>
              </w:rPr>
              <w:t>Levegőbe</w:t>
            </w:r>
            <w:proofErr w:type="spellEnd"/>
          </w:p>
          <w:p w:rsidR="004B0D56" w:rsidRPr="00773794" w:rsidRDefault="004B0D56" w:rsidP="004B0D56">
            <w:pPr>
              <w:tabs>
                <w:tab w:val="left" w:pos="1272"/>
                <w:tab w:val="left" w:pos="1407"/>
              </w:tabs>
              <w:spacing w:line="240" w:lineRule="auto"/>
              <w:jc w:val="center"/>
              <w:rPr>
                <w:b/>
                <w:sz w:val="16"/>
                <w:szCs w:val="16"/>
                <w:lang w:val="hu-HU"/>
              </w:rPr>
            </w:pPr>
            <w:r w:rsidRPr="00BD5EC6">
              <w:rPr>
                <w:b/>
                <w:sz w:val="16"/>
                <w:szCs w:val="16"/>
              </w:rPr>
              <w:t>kg</w:t>
            </w:r>
          </w:p>
        </w:tc>
        <w:tc>
          <w:tcPr>
            <w:tcW w:w="992" w:type="dxa"/>
            <w:tcBorders>
              <w:bottom w:val="single" w:sz="24" w:space="0" w:color="auto"/>
            </w:tcBorders>
            <w:shd w:val="clear" w:color="auto" w:fill="FBF2BD"/>
            <w:vAlign w:val="center"/>
          </w:tcPr>
          <w:p w:rsidR="004B0D56" w:rsidRPr="00773794" w:rsidRDefault="004B0D56" w:rsidP="004B0D56">
            <w:pPr>
              <w:tabs>
                <w:tab w:val="left" w:pos="1272"/>
                <w:tab w:val="left" w:pos="1407"/>
              </w:tabs>
              <w:spacing w:line="240" w:lineRule="auto"/>
              <w:jc w:val="center"/>
              <w:rPr>
                <w:b/>
                <w:sz w:val="16"/>
                <w:szCs w:val="16"/>
                <w:lang w:val="hu-HU"/>
              </w:rPr>
            </w:pPr>
            <w:proofErr w:type="spellStart"/>
            <w:r w:rsidRPr="00BD5EC6">
              <w:rPr>
                <w:b/>
                <w:sz w:val="16"/>
                <w:szCs w:val="16"/>
              </w:rPr>
              <w:t>Vízbe</w:t>
            </w:r>
            <w:proofErr w:type="spellEnd"/>
          </w:p>
          <w:p w:rsidR="004B0D56" w:rsidRPr="00773794" w:rsidRDefault="004B0D56" w:rsidP="004B0D56">
            <w:pPr>
              <w:tabs>
                <w:tab w:val="left" w:pos="1272"/>
                <w:tab w:val="left" w:pos="1407"/>
              </w:tabs>
              <w:spacing w:line="240" w:lineRule="auto"/>
              <w:jc w:val="center"/>
              <w:rPr>
                <w:b/>
                <w:sz w:val="16"/>
                <w:szCs w:val="16"/>
                <w:lang w:val="hu-HU"/>
              </w:rPr>
            </w:pPr>
            <w:r w:rsidRPr="00BD5EC6">
              <w:rPr>
                <w:b/>
                <w:sz w:val="16"/>
                <w:szCs w:val="16"/>
              </w:rPr>
              <w:t>kg</w:t>
            </w:r>
          </w:p>
        </w:tc>
        <w:tc>
          <w:tcPr>
            <w:tcW w:w="1276" w:type="dxa"/>
            <w:tcBorders>
              <w:bottom w:val="single" w:sz="24" w:space="0" w:color="auto"/>
            </w:tcBorders>
            <w:shd w:val="clear" w:color="auto" w:fill="FBF2BD"/>
            <w:vAlign w:val="center"/>
          </w:tcPr>
          <w:p w:rsidR="004B0D56" w:rsidRPr="00773794" w:rsidRDefault="004B0D56" w:rsidP="004B0D56">
            <w:pPr>
              <w:tabs>
                <w:tab w:val="left" w:pos="1272"/>
                <w:tab w:val="left" w:pos="1407"/>
              </w:tabs>
              <w:spacing w:line="240" w:lineRule="auto"/>
              <w:jc w:val="center"/>
              <w:rPr>
                <w:b/>
                <w:sz w:val="16"/>
                <w:szCs w:val="16"/>
                <w:lang w:val="hu-HU"/>
              </w:rPr>
            </w:pPr>
            <w:proofErr w:type="spellStart"/>
            <w:r w:rsidRPr="00BD5EC6">
              <w:rPr>
                <w:b/>
                <w:sz w:val="16"/>
                <w:szCs w:val="16"/>
              </w:rPr>
              <w:t>Földtaniközegbe</w:t>
            </w:r>
            <w:proofErr w:type="spellEnd"/>
          </w:p>
          <w:p w:rsidR="004B0D56" w:rsidRPr="00773794" w:rsidRDefault="004B0D56" w:rsidP="004B0D56">
            <w:pPr>
              <w:tabs>
                <w:tab w:val="left" w:pos="1272"/>
                <w:tab w:val="left" w:pos="1407"/>
              </w:tabs>
              <w:spacing w:line="240" w:lineRule="auto"/>
              <w:jc w:val="center"/>
              <w:rPr>
                <w:b/>
                <w:sz w:val="16"/>
                <w:szCs w:val="16"/>
                <w:lang w:val="hu-HU"/>
              </w:rPr>
            </w:pPr>
            <w:r w:rsidRPr="00BD5EC6">
              <w:rPr>
                <w:b/>
                <w:sz w:val="16"/>
                <w:szCs w:val="16"/>
              </w:rPr>
              <w:t>kg</w:t>
            </w:r>
          </w:p>
        </w:tc>
      </w:tr>
      <w:tr w:rsidR="007E78F5" w:rsidRPr="00BD5EC6" w:rsidTr="00773794">
        <w:trPr>
          <w:trHeight w:val="261"/>
        </w:trPr>
        <w:tc>
          <w:tcPr>
            <w:tcW w:w="426" w:type="dxa"/>
            <w:tcBorders>
              <w:top w:val="single" w:sz="24" w:space="0" w:color="auto"/>
              <w:right w:val="single" w:sz="24" w:space="0" w:color="auto"/>
            </w:tcBorders>
            <w:shd w:val="clear" w:color="auto" w:fill="FBF2BD"/>
            <w:vAlign w:val="bottom"/>
          </w:tcPr>
          <w:p w:rsidR="004B0D56" w:rsidRPr="00773794" w:rsidRDefault="004B0D56" w:rsidP="004B0D56">
            <w:pPr>
              <w:tabs>
                <w:tab w:val="left" w:pos="1272"/>
                <w:tab w:val="left" w:pos="1407"/>
              </w:tabs>
              <w:spacing w:before="40" w:after="100" w:line="240" w:lineRule="exact"/>
              <w:ind w:right="113"/>
              <w:jc w:val="center"/>
              <w:rPr>
                <w:b/>
                <w:sz w:val="16"/>
                <w:szCs w:val="16"/>
                <w:lang w:val="hu-HU"/>
              </w:rPr>
            </w:pPr>
            <w:r w:rsidRPr="00BD5EC6">
              <w:rPr>
                <w:b/>
                <w:sz w:val="16"/>
                <w:szCs w:val="16"/>
              </w:rPr>
              <w:t>1</w:t>
            </w:r>
          </w:p>
        </w:tc>
        <w:tc>
          <w:tcPr>
            <w:tcW w:w="2551" w:type="dxa"/>
            <w:tcBorders>
              <w:top w:val="single" w:sz="24" w:space="0" w:color="auto"/>
            </w:tcBorders>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left="142" w:right="113"/>
              <w:rPr>
                <w:sz w:val="16"/>
                <w:szCs w:val="16"/>
                <w:lang w:val="hu-HU"/>
              </w:rPr>
            </w:pPr>
            <w:proofErr w:type="spellStart"/>
            <w:r w:rsidRPr="00BD5EC6">
              <w:rPr>
                <w:sz w:val="16"/>
                <w:szCs w:val="16"/>
              </w:rPr>
              <w:t>Oktilfenolokésoktilfenoletoxilátok</w:t>
            </w:r>
            <w:proofErr w:type="spellEnd"/>
          </w:p>
        </w:tc>
        <w:tc>
          <w:tcPr>
            <w:tcW w:w="993" w:type="dxa"/>
            <w:tcBorders>
              <w:top w:val="single" w:sz="24" w:space="0" w:color="auto"/>
            </w:tcBorders>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jc w:val="center"/>
              <w:rPr>
                <w:sz w:val="16"/>
                <w:szCs w:val="16"/>
                <w:lang w:val="hu-HU"/>
              </w:rPr>
            </w:pPr>
            <w:r w:rsidRPr="00BD5EC6">
              <w:rPr>
                <w:sz w:val="16"/>
                <w:szCs w:val="16"/>
              </w:rPr>
              <w:t>-</w:t>
            </w:r>
          </w:p>
        </w:tc>
        <w:tc>
          <w:tcPr>
            <w:tcW w:w="992" w:type="dxa"/>
            <w:tcBorders>
              <w:top w:val="single" w:sz="24" w:space="0" w:color="auto"/>
            </w:tcBorders>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jc w:val="center"/>
              <w:rPr>
                <w:sz w:val="16"/>
                <w:szCs w:val="16"/>
                <w:lang w:val="hu-HU"/>
              </w:rPr>
            </w:pPr>
            <w:r w:rsidRPr="00BD5EC6">
              <w:rPr>
                <w:sz w:val="16"/>
                <w:szCs w:val="16"/>
              </w:rPr>
              <w:t>1</w:t>
            </w:r>
          </w:p>
        </w:tc>
        <w:tc>
          <w:tcPr>
            <w:tcW w:w="1276" w:type="dxa"/>
            <w:tcBorders>
              <w:top w:val="single" w:sz="24" w:space="0" w:color="auto"/>
            </w:tcBorders>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jc w:val="center"/>
              <w:rPr>
                <w:sz w:val="16"/>
                <w:szCs w:val="16"/>
                <w:lang w:val="hu-HU"/>
              </w:rPr>
            </w:pPr>
            <w:r w:rsidRPr="00BD5EC6">
              <w:rPr>
                <w:sz w:val="16"/>
                <w:szCs w:val="16"/>
              </w:rPr>
              <w:t>-</w:t>
            </w:r>
          </w:p>
        </w:tc>
      </w:tr>
      <w:tr w:rsidR="007E78F5" w:rsidRPr="00BD5EC6" w:rsidTr="00773794">
        <w:tc>
          <w:tcPr>
            <w:tcW w:w="426" w:type="dxa"/>
            <w:tcBorders>
              <w:right w:val="single" w:sz="24" w:space="0" w:color="auto"/>
            </w:tcBorders>
            <w:shd w:val="clear" w:color="auto" w:fill="FBF2BD"/>
            <w:vAlign w:val="bottom"/>
          </w:tcPr>
          <w:p w:rsidR="004B0D56" w:rsidRPr="00773794" w:rsidRDefault="004B0D56" w:rsidP="004B0D56">
            <w:pPr>
              <w:tabs>
                <w:tab w:val="left" w:pos="1272"/>
                <w:tab w:val="left" w:pos="1407"/>
              </w:tabs>
              <w:spacing w:before="40" w:after="100" w:line="240" w:lineRule="exact"/>
              <w:ind w:right="113"/>
              <w:jc w:val="center"/>
              <w:rPr>
                <w:b/>
                <w:sz w:val="16"/>
                <w:szCs w:val="16"/>
                <w:lang w:val="hu-HU"/>
              </w:rPr>
            </w:pPr>
            <w:r w:rsidRPr="00BD5EC6">
              <w:rPr>
                <w:b/>
                <w:sz w:val="16"/>
                <w:szCs w:val="16"/>
              </w:rPr>
              <w:t>2</w:t>
            </w:r>
          </w:p>
        </w:tc>
        <w:tc>
          <w:tcPr>
            <w:tcW w:w="2551" w:type="dxa"/>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firstLine="142"/>
              <w:rPr>
                <w:sz w:val="16"/>
                <w:szCs w:val="16"/>
                <w:lang w:val="hu-HU"/>
              </w:rPr>
            </w:pPr>
            <w:proofErr w:type="spellStart"/>
            <w:r w:rsidRPr="00BD5EC6">
              <w:rPr>
                <w:sz w:val="16"/>
                <w:szCs w:val="16"/>
              </w:rPr>
              <w:t>Fluorantén</w:t>
            </w:r>
            <w:proofErr w:type="spellEnd"/>
          </w:p>
        </w:tc>
        <w:tc>
          <w:tcPr>
            <w:tcW w:w="993" w:type="dxa"/>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jc w:val="center"/>
              <w:rPr>
                <w:sz w:val="16"/>
                <w:szCs w:val="16"/>
                <w:lang w:val="hu-HU"/>
              </w:rPr>
            </w:pPr>
            <w:r w:rsidRPr="00BD5EC6">
              <w:rPr>
                <w:sz w:val="16"/>
                <w:szCs w:val="16"/>
              </w:rPr>
              <w:t>-</w:t>
            </w:r>
          </w:p>
        </w:tc>
        <w:tc>
          <w:tcPr>
            <w:tcW w:w="992" w:type="dxa"/>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jc w:val="center"/>
              <w:rPr>
                <w:sz w:val="16"/>
                <w:szCs w:val="16"/>
                <w:lang w:val="hu-HU"/>
              </w:rPr>
            </w:pPr>
            <w:r w:rsidRPr="00BD5EC6">
              <w:rPr>
                <w:sz w:val="16"/>
                <w:szCs w:val="16"/>
              </w:rPr>
              <w:t>1</w:t>
            </w:r>
          </w:p>
        </w:tc>
        <w:tc>
          <w:tcPr>
            <w:tcW w:w="1276" w:type="dxa"/>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jc w:val="center"/>
              <w:rPr>
                <w:sz w:val="16"/>
                <w:szCs w:val="16"/>
                <w:lang w:val="hu-HU"/>
              </w:rPr>
            </w:pPr>
            <w:r w:rsidRPr="00BD5EC6">
              <w:rPr>
                <w:sz w:val="16"/>
                <w:szCs w:val="16"/>
              </w:rPr>
              <w:t>-</w:t>
            </w:r>
          </w:p>
        </w:tc>
      </w:tr>
      <w:tr w:rsidR="007E78F5" w:rsidRPr="00BD5EC6" w:rsidTr="00773794">
        <w:tc>
          <w:tcPr>
            <w:tcW w:w="426" w:type="dxa"/>
            <w:tcBorders>
              <w:right w:val="single" w:sz="24" w:space="0" w:color="auto"/>
            </w:tcBorders>
            <w:shd w:val="clear" w:color="auto" w:fill="FBF2BD"/>
            <w:vAlign w:val="bottom"/>
          </w:tcPr>
          <w:p w:rsidR="004B0D56" w:rsidRPr="00773794" w:rsidRDefault="004B0D56" w:rsidP="004B0D56">
            <w:pPr>
              <w:tabs>
                <w:tab w:val="left" w:pos="1272"/>
                <w:tab w:val="left" w:pos="1407"/>
              </w:tabs>
              <w:spacing w:before="40" w:after="100" w:line="240" w:lineRule="exact"/>
              <w:ind w:right="113"/>
              <w:jc w:val="center"/>
              <w:rPr>
                <w:b/>
                <w:sz w:val="16"/>
                <w:szCs w:val="16"/>
                <w:lang w:val="hu-HU"/>
              </w:rPr>
            </w:pPr>
            <w:r w:rsidRPr="00BD5EC6">
              <w:rPr>
                <w:b/>
                <w:sz w:val="16"/>
                <w:szCs w:val="16"/>
              </w:rPr>
              <w:t>3</w:t>
            </w:r>
          </w:p>
        </w:tc>
        <w:tc>
          <w:tcPr>
            <w:tcW w:w="2551" w:type="dxa"/>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left="142" w:right="113"/>
              <w:rPr>
                <w:sz w:val="16"/>
                <w:szCs w:val="16"/>
                <w:lang w:val="hu-HU"/>
              </w:rPr>
            </w:pPr>
            <w:proofErr w:type="spellStart"/>
            <w:r w:rsidRPr="00BD5EC6">
              <w:rPr>
                <w:sz w:val="16"/>
                <w:szCs w:val="16"/>
              </w:rPr>
              <w:t>Izodrin</w:t>
            </w:r>
            <w:proofErr w:type="spellEnd"/>
          </w:p>
        </w:tc>
        <w:tc>
          <w:tcPr>
            <w:tcW w:w="993" w:type="dxa"/>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jc w:val="center"/>
              <w:rPr>
                <w:sz w:val="16"/>
                <w:szCs w:val="16"/>
                <w:lang w:val="hu-HU"/>
              </w:rPr>
            </w:pPr>
            <w:r w:rsidRPr="00BD5EC6">
              <w:rPr>
                <w:sz w:val="16"/>
                <w:szCs w:val="16"/>
              </w:rPr>
              <w:t>-</w:t>
            </w:r>
          </w:p>
        </w:tc>
        <w:tc>
          <w:tcPr>
            <w:tcW w:w="992" w:type="dxa"/>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jc w:val="center"/>
              <w:rPr>
                <w:sz w:val="16"/>
                <w:szCs w:val="16"/>
                <w:lang w:val="hu-HU"/>
              </w:rPr>
            </w:pPr>
            <w:r w:rsidRPr="00BD5EC6">
              <w:rPr>
                <w:sz w:val="16"/>
                <w:szCs w:val="16"/>
              </w:rPr>
              <w:t>1</w:t>
            </w:r>
          </w:p>
        </w:tc>
        <w:tc>
          <w:tcPr>
            <w:tcW w:w="1276" w:type="dxa"/>
            <w:shd w:val="clear" w:color="auto" w:fill="EAF1DD" w:themeFill="accent3" w:themeFillTint="33"/>
            <w:vAlign w:val="bottom"/>
          </w:tcPr>
          <w:p w:rsidR="004B0D56" w:rsidRPr="00773794" w:rsidRDefault="004B0D56" w:rsidP="004B0D56">
            <w:pPr>
              <w:tabs>
                <w:tab w:val="left" w:pos="1272"/>
                <w:tab w:val="left" w:pos="1407"/>
              </w:tabs>
              <w:spacing w:before="40" w:after="100" w:line="240" w:lineRule="exact"/>
              <w:ind w:right="113"/>
              <w:jc w:val="center"/>
              <w:rPr>
                <w:sz w:val="16"/>
                <w:szCs w:val="16"/>
                <w:lang w:val="hu-HU"/>
              </w:rPr>
            </w:pPr>
            <w:r w:rsidRPr="00BD5EC6">
              <w:rPr>
                <w:sz w:val="16"/>
                <w:szCs w:val="16"/>
              </w:rPr>
              <w:t>-</w:t>
            </w:r>
          </w:p>
        </w:tc>
      </w:tr>
      <w:tr w:rsidR="007E78F5" w:rsidRPr="00BD5EC6" w:rsidTr="00773794">
        <w:tc>
          <w:tcPr>
            <w:tcW w:w="426" w:type="dxa"/>
            <w:tcBorders>
              <w:right w:val="single" w:sz="24" w:space="0" w:color="auto"/>
            </w:tcBorders>
            <w:shd w:val="clear" w:color="auto" w:fill="FBF2BD"/>
            <w:vAlign w:val="bottom"/>
          </w:tcPr>
          <w:p w:rsidR="004B0D56" w:rsidRPr="00773794" w:rsidRDefault="004B0D56" w:rsidP="00EE4E7C">
            <w:pPr>
              <w:tabs>
                <w:tab w:val="left" w:pos="1272"/>
                <w:tab w:val="left" w:pos="1407"/>
              </w:tabs>
              <w:spacing w:before="40" w:after="100" w:line="240" w:lineRule="exact"/>
              <w:ind w:right="113"/>
              <w:jc w:val="both"/>
              <w:rPr>
                <w:b/>
                <w:sz w:val="16"/>
                <w:szCs w:val="16"/>
                <w:lang w:val="hu-HU"/>
              </w:rPr>
            </w:pPr>
            <w:r w:rsidRPr="00BD5EC6">
              <w:rPr>
                <w:b/>
                <w:sz w:val="16"/>
                <w:szCs w:val="16"/>
              </w:rPr>
              <w:t>4</w:t>
            </w:r>
          </w:p>
        </w:tc>
        <w:tc>
          <w:tcPr>
            <w:tcW w:w="2551" w:type="dxa"/>
            <w:shd w:val="clear" w:color="auto" w:fill="EAF1DD" w:themeFill="accent3" w:themeFillTint="33"/>
            <w:vAlign w:val="bottom"/>
          </w:tcPr>
          <w:p w:rsidR="004B0D56" w:rsidRPr="00773794" w:rsidRDefault="004B0D56" w:rsidP="00EE4E7C">
            <w:pPr>
              <w:tabs>
                <w:tab w:val="left" w:pos="1272"/>
                <w:tab w:val="left" w:pos="1407"/>
              </w:tabs>
              <w:spacing w:before="40" w:after="100" w:line="240" w:lineRule="exact"/>
              <w:ind w:left="142" w:right="113"/>
              <w:jc w:val="both"/>
              <w:rPr>
                <w:sz w:val="16"/>
                <w:szCs w:val="16"/>
                <w:lang w:val="hu-HU"/>
              </w:rPr>
            </w:pPr>
            <w:proofErr w:type="spellStart"/>
            <w:r w:rsidRPr="00BD5EC6">
              <w:rPr>
                <w:sz w:val="16"/>
                <w:szCs w:val="16"/>
              </w:rPr>
              <w:t>Hexabróm-bifenil</w:t>
            </w:r>
            <w:proofErr w:type="spellEnd"/>
          </w:p>
        </w:tc>
        <w:tc>
          <w:tcPr>
            <w:tcW w:w="993" w:type="dxa"/>
            <w:shd w:val="clear" w:color="auto" w:fill="EAF1DD" w:themeFill="accent3" w:themeFillTint="33"/>
            <w:vAlign w:val="bottom"/>
          </w:tcPr>
          <w:p w:rsidR="004B0D56" w:rsidRPr="00773794" w:rsidRDefault="004B0D56" w:rsidP="00EE4E7C">
            <w:pPr>
              <w:tabs>
                <w:tab w:val="left" w:pos="1272"/>
                <w:tab w:val="left" w:pos="1407"/>
              </w:tabs>
              <w:spacing w:before="40" w:after="100" w:line="240" w:lineRule="exact"/>
              <w:ind w:right="113"/>
              <w:jc w:val="both"/>
              <w:rPr>
                <w:sz w:val="16"/>
                <w:szCs w:val="16"/>
                <w:lang w:val="hu-HU"/>
              </w:rPr>
            </w:pPr>
            <w:r w:rsidRPr="00BD5EC6">
              <w:rPr>
                <w:sz w:val="16"/>
                <w:szCs w:val="16"/>
              </w:rPr>
              <w:t>0,1</w:t>
            </w:r>
          </w:p>
        </w:tc>
        <w:tc>
          <w:tcPr>
            <w:tcW w:w="992" w:type="dxa"/>
            <w:shd w:val="clear" w:color="auto" w:fill="EAF1DD" w:themeFill="accent3" w:themeFillTint="33"/>
            <w:vAlign w:val="bottom"/>
          </w:tcPr>
          <w:p w:rsidR="004B0D56" w:rsidRPr="00773794" w:rsidRDefault="004B0D56" w:rsidP="00EE4E7C">
            <w:pPr>
              <w:tabs>
                <w:tab w:val="left" w:pos="1272"/>
                <w:tab w:val="left" w:pos="1407"/>
              </w:tabs>
              <w:spacing w:before="40" w:after="100" w:line="240" w:lineRule="exact"/>
              <w:ind w:right="113"/>
              <w:jc w:val="both"/>
              <w:rPr>
                <w:sz w:val="16"/>
                <w:szCs w:val="16"/>
                <w:lang w:val="hu-HU"/>
              </w:rPr>
            </w:pPr>
            <w:r w:rsidRPr="00BD5EC6">
              <w:rPr>
                <w:sz w:val="16"/>
                <w:szCs w:val="16"/>
              </w:rPr>
              <w:t>0,1</w:t>
            </w:r>
          </w:p>
        </w:tc>
        <w:tc>
          <w:tcPr>
            <w:tcW w:w="1276" w:type="dxa"/>
            <w:shd w:val="clear" w:color="auto" w:fill="EAF1DD" w:themeFill="accent3" w:themeFillTint="33"/>
            <w:vAlign w:val="bottom"/>
          </w:tcPr>
          <w:p w:rsidR="004B0D56" w:rsidRPr="00773794" w:rsidRDefault="004B0D56" w:rsidP="00EE4E7C">
            <w:pPr>
              <w:tabs>
                <w:tab w:val="left" w:pos="1272"/>
                <w:tab w:val="left" w:pos="1407"/>
              </w:tabs>
              <w:spacing w:before="40" w:after="100" w:line="240" w:lineRule="exact"/>
              <w:ind w:right="113"/>
              <w:jc w:val="both"/>
              <w:rPr>
                <w:sz w:val="16"/>
                <w:szCs w:val="16"/>
                <w:lang w:val="hu-HU"/>
              </w:rPr>
            </w:pPr>
            <w:r w:rsidRPr="00BD5EC6">
              <w:rPr>
                <w:sz w:val="16"/>
                <w:szCs w:val="16"/>
              </w:rPr>
              <w:t>0,1</w:t>
            </w:r>
          </w:p>
        </w:tc>
      </w:tr>
      <w:tr w:rsidR="007E78F5" w:rsidRPr="00BD5EC6" w:rsidTr="00773794">
        <w:tc>
          <w:tcPr>
            <w:tcW w:w="426" w:type="dxa"/>
            <w:tcBorders>
              <w:right w:val="single" w:sz="24" w:space="0" w:color="auto"/>
            </w:tcBorders>
            <w:shd w:val="clear" w:color="auto" w:fill="FBF2BD"/>
            <w:vAlign w:val="bottom"/>
          </w:tcPr>
          <w:p w:rsidR="004B0D56" w:rsidRPr="00773794" w:rsidRDefault="004B0D56" w:rsidP="00EE4E7C">
            <w:pPr>
              <w:tabs>
                <w:tab w:val="left" w:pos="1272"/>
                <w:tab w:val="left" w:pos="1407"/>
              </w:tabs>
              <w:spacing w:before="40" w:after="100" w:line="240" w:lineRule="exact"/>
              <w:ind w:right="113"/>
              <w:jc w:val="both"/>
              <w:rPr>
                <w:b/>
                <w:sz w:val="16"/>
                <w:szCs w:val="16"/>
                <w:lang w:val="hu-HU"/>
              </w:rPr>
            </w:pPr>
            <w:r w:rsidRPr="00BD5EC6">
              <w:rPr>
                <w:b/>
                <w:sz w:val="16"/>
                <w:szCs w:val="16"/>
              </w:rPr>
              <w:t>5</w:t>
            </w:r>
          </w:p>
        </w:tc>
        <w:tc>
          <w:tcPr>
            <w:tcW w:w="2551" w:type="dxa"/>
            <w:shd w:val="clear" w:color="auto" w:fill="EAF1DD" w:themeFill="accent3" w:themeFillTint="33"/>
            <w:vAlign w:val="bottom"/>
          </w:tcPr>
          <w:p w:rsidR="004B0D56" w:rsidRPr="00773794" w:rsidRDefault="004B0D56" w:rsidP="00EE4E7C">
            <w:pPr>
              <w:tabs>
                <w:tab w:val="left" w:pos="1272"/>
                <w:tab w:val="left" w:pos="1407"/>
              </w:tabs>
              <w:spacing w:before="40" w:after="100" w:line="240" w:lineRule="exact"/>
              <w:ind w:left="142" w:right="113"/>
              <w:jc w:val="both"/>
              <w:rPr>
                <w:sz w:val="16"/>
                <w:szCs w:val="16"/>
                <w:lang w:val="hu-HU"/>
              </w:rPr>
            </w:pPr>
            <w:r w:rsidRPr="00BD5EC6">
              <w:rPr>
                <w:sz w:val="16"/>
                <w:szCs w:val="16"/>
              </w:rPr>
              <w:t>Benzo(</w:t>
            </w:r>
            <w:proofErr w:type="spellStart"/>
            <w:r w:rsidRPr="00BD5EC6">
              <w:rPr>
                <w:sz w:val="16"/>
                <w:szCs w:val="16"/>
              </w:rPr>
              <w:t>g,h,i</w:t>
            </w:r>
            <w:proofErr w:type="spellEnd"/>
            <w:r w:rsidRPr="00BD5EC6">
              <w:rPr>
                <w:sz w:val="16"/>
                <w:szCs w:val="16"/>
              </w:rPr>
              <w:t>)</w:t>
            </w:r>
            <w:proofErr w:type="spellStart"/>
            <w:r w:rsidRPr="00BD5EC6">
              <w:rPr>
                <w:sz w:val="16"/>
                <w:szCs w:val="16"/>
              </w:rPr>
              <w:t>perilén</w:t>
            </w:r>
            <w:proofErr w:type="spellEnd"/>
          </w:p>
        </w:tc>
        <w:tc>
          <w:tcPr>
            <w:tcW w:w="993" w:type="dxa"/>
            <w:shd w:val="clear" w:color="auto" w:fill="EAF1DD" w:themeFill="accent3" w:themeFillTint="33"/>
            <w:vAlign w:val="bottom"/>
          </w:tcPr>
          <w:p w:rsidR="004B0D56" w:rsidRPr="00773794" w:rsidRDefault="004B0D56" w:rsidP="00EE4E7C">
            <w:pPr>
              <w:tabs>
                <w:tab w:val="left" w:pos="1272"/>
                <w:tab w:val="left" w:pos="1407"/>
              </w:tabs>
              <w:spacing w:before="40" w:after="100" w:line="240" w:lineRule="exact"/>
              <w:ind w:right="113"/>
              <w:jc w:val="both"/>
              <w:rPr>
                <w:sz w:val="16"/>
                <w:szCs w:val="16"/>
                <w:lang w:val="hu-HU"/>
              </w:rPr>
            </w:pPr>
          </w:p>
        </w:tc>
        <w:tc>
          <w:tcPr>
            <w:tcW w:w="992" w:type="dxa"/>
            <w:shd w:val="clear" w:color="auto" w:fill="EAF1DD" w:themeFill="accent3" w:themeFillTint="33"/>
            <w:vAlign w:val="bottom"/>
          </w:tcPr>
          <w:p w:rsidR="004B0D56" w:rsidRPr="00773794" w:rsidRDefault="004B0D56" w:rsidP="00EE4E7C">
            <w:pPr>
              <w:tabs>
                <w:tab w:val="left" w:pos="1272"/>
                <w:tab w:val="left" w:pos="1407"/>
              </w:tabs>
              <w:spacing w:before="40" w:after="100" w:line="240" w:lineRule="exact"/>
              <w:ind w:right="113"/>
              <w:jc w:val="both"/>
              <w:rPr>
                <w:sz w:val="16"/>
                <w:szCs w:val="16"/>
                <w:lang w:val="hu-HU"/>
              </w:rPr>
            </w:pPr>
            <w:r w:rsidRPr="00BD5EC6">
              <w:rPr>
                <w:sz w:val="16"/>
                <w:szCs w:val="16"/>
              </w:rPr>
              <w:t>1</w:t>
            </w:r>
          </w:p>
        </w:tc>
        <w:tc>
          <w:tcPr>
            <w:tcW w:w="1276" w:type="dxa"/>
            <w:shd w:val="clear" w:color="auto" w:fill="EAF1DD" w:themeFill="accent3" w:themeFillTint="33"/>
            <w:vAlign w:val="bottom"/>
          </w:tcPr>
          <w:p w:rsidR="004B0D56" w:rsidRPr="00773794" w:rsidRDefault="004B0D56" w:rsidP="00EE4E7C">
            <w:pPr>
              <w:tabs>
                <w:tab w:val="left" w:pos="1272"/>
                <w:tab w:val="left" w:pos="1407"/>
              </w:tabs>
              <w:spacing w:before="40" w:after="100" w:line="240" w:lineRule="exact"/>
              <w:ind w:right="113"/>
              <w:jc w:val="both"/>
              <w:rPr>
                <w:sz w:val="16"/>
                <w:szCs w:val="16"/>
                <w:lang w:val="hu-HU"/>
              </w:rPr>
            </w:pPr>
          </w:p>
        </w:tc>
      </w:tr>
    </w:tbl>
    <w:p w:rsidR="0013774D" w:rsidRPr="00BD5EC6" w:rsidRDefault="0013774D" w:rsidP="00411CCE">
      <w:pPr>
        <w:jc w:val="both"/>
      </w:pPr>
    </w:p>
    <w:p w:rsidR="0013774D" w:rsidRPr="00BD5EC6" w:rsidRDefault="00861B9C" w:rsidP="008366EE">
      <w:pPr>
        <w:jc w:val="both"/>
        <w:rPr>
          <w:i/>
        </w:rPr>
      </w:pPr>
      <w:r w:rsidRPr="00BD5EC6">
        <w:rPr>
          <w:i/>
        </w:rPr>
        <w:t>(e)</w:t>
      </w:r>
      <w:r w:rsidRPr="00BD5EC6">
        <w:rPr>
          <w:i/>
        </w:rPr>
        <w:tab/>
      </w:r>
      <w:proofErr w:type="gramStart"/>
      <w:r w:rsidR="0013774D" w:rsidRPr="00BD5EC6">
        <w:rPr>
          <w:i/>
        </w:rPr>
        <w:t>A</w:t>
      </w:r>
      <w:proofErr w:type="gramEnd"/>
      <w:r w:rsidR="0013774D" w:rsidRPr="00BD5EC6">
        <w:rPr>
          <w:i/>
        </w:rPr>
        <w:t xml:space="preserve"> 3. bekezdés és a II. melléklet tekintetében: vajon a fél alkalmaz-e bármilyen olyan típusú küszöbértéket valamely, a II. mellékletben felsorolt konkrét szennyezőanyag vagy szennyezőanyagok esetében, ami eltér a fenti a) bekezdésre adott válaszban megadottól, és ha igen, akkor miért;</w:t>
      </w:r>
    </w:p>
    <w:p w:rsidR="0013774D" w:rsidRPr="00BD5EC6" w:rsidRDefault="0013774D">
      <w:pPr>
        <w:jc w:val="both"/>
      </w:pPr>
      <w:r w:rsidRPr="00BD5EC6">
        <w:t xml:space="preserve">A 7. </w:t>
      </w:r>
      <w:r w:rsidR="00937933" w:rsidRPr="00BD5EC6">
        <w:t>cikk</w:t>
      </w:r>
      <w:r w:rsidRPr="00BD5EC6">
        <w:t xml:space="preserve"> 3. bekezdésnek megfelelően és a II. mellékletben felsorolt konkrét szennyezőanyag vagy szennyezőanyagok esetében nem alkalmazunk eltérő küszöbértékeket.</w:t>
      </w:r>
    </w:p>
    <w:p w:rsidR="0013774D" w:rsidRPr="00BD5EC6" w:rsidRDefault="00861B9C">
      <w:pPr>
        <w:jc w:val="both"/>
        <w:rPr>
          <w:i/>
        </w:rPr>
      </w:pPr>
      <w:r w:rsidRPr="00BD5EC6">
        <w:rPr>
          <w:i/>
        </w:rPr>
        <w:t>(f)</w:t>
      </w:r>
      <w:r w:rsidRPr="00BD5EC6">
        <w:rPr>
          <w:i/>
        </w:rPr>
        <w:tab/>
      </w:r>
      <w:proofErr w:type="gramStart"/>
      <w:r w:rsidR="0013774D" w:rsidRPr="00BD5EC6">
        <w:rPr>
          <w:i/>
        </w:rPr>
        <w:t>A</w:t>
      </w:r>
      <w:proofErr w:type="gramEnd"/>
      <w:r w:rsidR="0013774D" w:rsidRPr="00BD5EC6">
        <w:rPr>
          <w:i/>
        </w:rPr>
        <w:t xml:space="preserve"> 4. bekezdés tekintetében: a szennyezőanyagok diffúz forrásokból történő kibocsátásaira vonatkozó, a 7. és 8. bekezdésben meghatározott információk gyűjtésére kijelölt illetékes hatóság;</w:t>
      </w:r>
    </w:p>
    <w:p w:rsidR="0013774D" w:rsidRPr="00BD5EC6" w:rsidRDefault="0013774D">
      <w:pPr>
        <w:jc w:val="both"/>
      </w:pPr>
      <w:r w:rsidRPr="00BD5EC6">
        <w:rPr>
          <w:b/>
        </w:rPr>
        <w:t xml:space="preserve">A 7. </w:t>
      </w:r>
      <w:r w:rsidR="00937933" w:rsidRPr="00BD5EC6">
        <w:rPr>
          <w:b/>
        </w:rPr>
        <w:t>cikk</w:t>
      </w:r>
      <w:r w:rsidRPr="00BD5EC6">
        <w:rPr>
          <w:b/>
        </w:rPr>
        <w:t xml:space="preserve"> 4. bekezdés</w:t>
      </w:r>
      <w:r w:rsidR="003B460C" w:rsidRPr="00BD5EC6">
        <w:rPr>
          <w:b/>
        </w:rPr>
        <w:t>nek megfelelően</w:t>
      </w:r>
      <w:r w:rsidRPr="00BD5EC6">
        <w:rPr>
          <w:b/>
        </w:rPr>
        <w:t xml:space="preserve"> a szennyezőanyagok diffúz forrásokból történő kibocsátásaira vonatkozó, 7. és 8. bekezdésben meghatározott információk gyűjtésére kijelölt illetékes hatóság </w:t>
      </w:r>
      <w:r w:rsidR="00CF74F1" w:rsidRPr="00BD5EC6">
        <w:rPr>
          <w:b/>
        </w:rPr>
        <w:t xml:space="preserve">a </w:t>
      </w:r>
      <w:r w:rsidR="00084D9A" w:rsidRPr="00BD5EC6">
        <w:rPr>
          <w:b/>
        </w:rPr>
        <w:t>területi környezetvédelmi hatóság (ld. 2. B. pont)</w:t>
      </w:r>
      <w:r w:rsidR="00CF74F1" w:rsidRPr="00BD5EC6">
        <w:rPr>
          <w:b/>
          <w:iCs/>
        </w:rPr>
        <w:t xml:space="preserve"> </w:t>
      </w:r>
      <w:r w:rsidR="00861B9C" w:rsidRPr="00BD5EC6">
        <w:t>(g)</w:t>
      </w:r>
      <w:r w:rsidR="00861B9C" w:rsidRPr="00BD5EC6">
        <w:tab/>
      </w:r>
      <w:proofErr w:type="gramStart"/>
      <w:r w:rsidRPr="00BD5EC6">
        <w:t>A</w:t>
      </w:r>
      <w:proofErr w:type="gramEnd"/>
      <w:r w:rsidRPr="00BD5EC6">
        <w:t xml:space="preserve"> 7. cikk 5. és 6. bekezdés tekintetében: bármely eltérés a </w:t>
      </w:r>
      <w:r w:rsidR="005E2DC0" w:rsidRPr="00BD5EC6">
        <w:t>JK</w:t>
      </w:r>
      <w:r w:rsidRPr="00BD5EC6">
        <w:t xml:space="preserve"> alapján a tulajdonosok vagy üzemeletetők által megadandó információk köre és a nemzeti PRTR rendszer alapján előírt információk között, és hogy vajon a nemzeti rendszer szennyezőanyag-specifikus (5. bekezdés d) </w:t>
      </w:r>
      <w:proofErr w:type="spellStart"/>
      <w:r w:rsidRPr="00BD5EC6">
        <w:t>albekezdésének</w:t>
      </w:r>
      <w:proofErr w:type="spellEnd"/>
      <w:r w:rsidRPr="00BD5EC6">
        <w:t xml:space="preserve"> i) pontja) vagy </w:t>
      </w:r>
      <w:proofErr w:type="spellStart"/>
      <w:r w:rsidRPr="00BD5EC6">
        <w:t>hulladékspecifikus</w:t>
      </w:r>
      <w:proofErr w:type="spellEnd"/>
      <w:r w:rsidRPr="00BD5EC6">
        <w:t xml:space="preserve"> (5. bekezdés d) </w:t>
      </w:r>
      <w:proofErr w:type="spellStart"/>
      <w:r w:rsidRPr="00BD5EC6">
        <w:t>albekezdésénekii</w:t>
      </w:r>
      <w:proofErr w:type="spellEnd"/>
      <w:r w:rsidRPr="00BD5EC6">
        <w:t>) pontja);</w:t>
      </w:r>
    </w:p>
    <w:p w:rsidR="0013774D" w:rsidRPr="00BD5EC6" w:rsidRDefault="003B460C">
      <w:pPr>
        <w:jc w:val="both"/>
      </w:pPr>
      <w:r w:rsidRPr="00BD5EC6">
        <w:t>Nem mutatkozik</w:t>
      </w:r>
      <w:r w:rsidR="0013774D" w:rsidRPr="00BD5EC6">
        <w:t xml:space="preserve"> eltérés </w:t>
      </w:r>
      <w:r w:rsidRPr="00BD5EC6">
        <w:t xml:space="preserve">a </w:t>
      </w:r>
      <w:r w:rsidR="005E2DC0" w:rsidRPr="00BD5EC6">
        <w:t>JK</w:t>
      </w:r>
      <w:r w:rsidRPr="00BD5EC6">
        <w:t xml:space="preserve"> előír</w:t>
      </w:r>
      <w:r w:rsidR="009B0B0A" w:rsidRPr="00BD5EC6">
        <w:t>ásai</w:t>
      </w:r>
      <w:r w:rsidRPr="00BD5EC6">
        <w:t xml:space="preserve"> alapján </w:t>
      </w:r>
      <w:r w:rsidR="009B0B0A" w:rsidRPr="00BD5EC6">
        <w:t xml:space="preserve">- </w:t>
      </w:r>
      <w:r w:rsidR="0013774D" w:rsidRPr="00BD5EC6">
        <w:t xml:space="preserve">a tulajdonosok vagy üzemeletetők által megadandó információk köre és a nemzeti PRTR rendszer alapján előírt információk között a 7. </w:t>
      </w:r>
      <w:r w:rsidR="00937933" w:rsidRPr="00BD5EC6">
        <w:t>cikk</w:t>
      </w:r>
      <w:r w:rsidR="0013774D" w:rsidRPr="00BD5EC6">
        <w:t xml:space="preserve"> 5. és 6. bekezdésre vonatkozóan</w:t>
      </w:r>
      <w:r w:rsidR="009B0B0A" w:rsidRPr="00BD5EC6">
        <w:t>. A</w:t>
      </w:r>
      <w:r w:rsidR="00EC5508" w:rsidRPr="00BD5EC6">
        <w:t xml:space="preserve"> </w:t>
      </w:r>
      <w:r w:rsidR="009B0B0A" w:rsidRPr="00BD5EC6">
        <w:t xml:space="preserve">nemzeti PRTR rendszer </w:t>
      </w:r>
      <w:proofErr w:type="spellStart"/>
      <w:r w:rsidR="009B0B0A" w:rsidRPr="00BD5EC6">
        <w:t>hulladékspecifikus</w:t>
      </w:r>
      <w:proofErr w:type="spellEnd"/>
      <w:r w:rsidR="009B0B0A" w:rsidRPr="00BD5EC6">
        <w:t xml:space="preserve"> és a </w:t>
      </w:r>
      <w:r w:rsidR="0013774D" w:rsidRPr="00BD5EC6">
        <w:t xml:space="preserve">hulladékokra vonatkozó jelentéstétel a </w:t>
      </w:r>
      <w:r w:rsidR="005E2DC0" w:rsidRPr="00BD5EC6">
        <w:t>JK</w:t>
      </w:r>
      <w:r w:rsidR="00EC5508" w:rsidRPr="00BD5EC6">
        <w:t xml:space="preserve"> </w:t>
      </w:r>
      <w:r w:rsidR="0013774D" w:rsidRPr="00BD5EC6">
        <w:t xml:space="preserve">5. bekezdés d) </w:t>
      </w:r>
      <w:proofErr w:type="spellStart"/>
      <w:r w:rsidR="0013774D" w:rsidRPr="00BD5EC6">
        <w:t>albekezdésének</w:t>
      </w:r>
      <w:proofErr w:type="spellEnd"/>
      <w:r w:rsidR="00EC5508" w:rsidRPr="00BD5EC6">
        <w:t xml:space="preserve"> </w:t>
      </w:r>
      <w:proofErr w:type="spellStart"/>
      <w:r w:rsidR="0013774D" w:rsidRPr="00BD5EC6">
        <w:t>ii</w:t>
      </w:r>
      <w:proofErr w:type="spellEnd"/>
      <w:r w:rsidR="009B0B0A" w:rsidRPr="00BD5EC6">
        <w:t>.</w:t>
      </w:r>
      <w:r w:rsidR="0013774D" w:rsidRPr="00BD5EC6">
        <w:t xml:space="preserve"> pontja szerint történik.</w:t>
      </w:r>
    </w:p>
    <w:p w:rsidR="0013774D" w:rsidRPr="00BD5EC6" w:rsidRDefault="00861B9C">
      <w:pPr>
        <w:jc w:val="both"/>
      </w:pPr>
      <w:r w:rsidRPr="00BD5EC6">
        <w:t>(h)</w:t>
      </w:r>
      <w:r w:rsidRPr="00BD5EC6">
        <w:tab/>
      </w:r>
      <w:proofErr w:type="gramStart"/>
      <w:r w:rsidR="0013774D" w:rsidRPr="00BD5EC6">
        <w:t>A</w:t>
      </w:r>
      <w:proofErr w:type="gramEnd"/>
      <w:r w:rsidR="0013774D" w:rsidRPr="00BD5EC6">
        <w:t xml:space="preserve"> 4. és 7. bekezdés tekintetében: ahol a diffúz forrásokat felvették a nyilvántartásba, milyen diffúz forrásokat vettek fel, és a felhasználók hogyan kereshetik vissza és azonosíthatják be ezeket megfelelő térbeli bontásban; vagy ahol nem vették fel ezeket, ott adjon tájékoztatást a diffúz források jelentéstételét kezdeményező intézkedésekről;</w:t>
      </w:r>
    </w:p>
    <w:p w:rsidR="0013774D" w:rsidRPr="00BD5EC6" w:rsidRDefault="0013774D">
      <w:pPr>
        <w:jc w:val="both"/>
      </w:pPr>
      <w:r w:rsidRPr="00BD5EC6">
        <w:t xml:space="preserve">A 7. </w:t>
      </w:r>
      <w:r w:rsidR="00937933" w:rsidRPr="00BD5EC6">
        <w:t>cikk</w:t>
      </w:r>
      <w:r w:rsidRPr="00BD5EC6">
        <w:t xml:space="preserve"> 4. és 7. bekezdés szerinti diffúz források tekintetében az állattartó telepek ammónia</w:t>
      </w:r>
      <w:r w:rsidR="000C72B6" w:rsidRPr="00BD5EC6">
        <w:t xml:space="preserve">, </w:t>
      </w:r>
      <w:proofErr w:type="spellStart"/>
      <w:r w:rsidR="000C72B6" w:rsidRPr="00BD5EC6">
        <w:t>dinitrogén</w:t>
      </w:r>
      <w:r w:rsidR="008E2B53" w:rsidRPr="00BD5EC6">
        <w:t>-</w:t>
      </w:r>
      <w:r w:rsidR="000C72B6" w:rsidRPr="00BD5EC6">
        <w:t>oxid</w:t>
      </w:r>
      <w:proofErr w:type="spellEnd"/>
      <w:r w:rsidR="000C72B6" w:rsidRPr="00BD5EC6">
        <w:t>, metán</w:t>
      </w:r>
      <w:r w:rsidRPr="00BD5EC6">
        <w:t xml:space="preserve"> kibocsátásai, valamint a gyógyszergyárak oldószer kibocsátásai</w:t>
      </w:r>
      <w:r w:rsidR="000C72B6" w:rsidRPr="00BD5EC6">
        <w:t xml:space="preserve"> részben</w:t>
      </w:r>
      <w:r w:rsidRPr="00BD5EC6">
        <w:t xml:space="preserve"> diffúz </w:t>
      </w:r>
      <w:r w:rsidR="00A7301C" w:rsidRPr="00BD5EC6">
        <w:t>forrásokból szá</w:t>
      </w:r>
      <w:r w:rsidR="008E2B53" w:rsidRPr="00BD5EC6">
        <w:t>r</w:t>
      </w:r>
      <w:r w:rsidR="00A7301C" w:rsidRPr="00BD5EC6">
        <w:t xml:space="preserve">mazó </w:t>
      </w:r>
      <w:r w:rsidRPr="00BD5EC6">
        <w:t>kib</w:t>
      </w:r>
      <w:r w:rsidR="00A7301C" w:rsidRPr="00BD5EC6">
        <w:t>o</w:t>
      </w:r>
      <w:r w:rsidRPr="00BD5EC6">
        <w:t>csátás</w:t>
      </w:r>
      <w:r w:rsidR="00A7301C" w:rsidRPr="00BD5EC6">
        <w:t>ok.</w:t>
      </w:r>
    </w:p>
    <w:p w:rsidR="0013774D" w:rsidRPr="00BD5EC6" w:rsidRDefault="0013774D" w:rsidP="00EE4E7C">
      <w:pPr>
        <w:jc w:val="both"/>
      </w:pPr>
      <w:r w:rsidRPr="00BD5EC6">
        <w:t xml:space="preserve">A 7. </w:t>
      </w:r>
      <w:r w:rsidR="00937933" w:rsidRPr="00BD5EC6">
        <w:t>cikk</w:t>
      </w:r>
      <w:r w:rsidRPr="00BD5EC6">
        <w:t xml:space="preserve"> 8. bekezdés tekintetében: a diffúz forrásokkal kapcsolatos információk beszerzésénél felhasznált módszerek típusai.</w:t>
      </w:r>
    </w:p>
    <w:p w:rsidR="0013774D" w:rsidRPr="00BD5EC6" w:rsidRDefault="0013774D" w:rsidP="00AB2F99">
      <w:pPr>
        <w:jc w:val="both"/>
      </w:pPr>
      <w:r w:rsidRPr="00BD5EC6">
        <w:t>A diffúz forrásokból történő kibocsátások meghatározásához számítás</w:t>
      </w:r>
      <w:r w:rsidR="00A7301C" w:rsidRPr="00BD5EC6">
        <w:t>i módszert</w:t>
      </w:r>
      <w:r w:rsidRPr="00BD5EC6">
        <w:t xml:space="preserve"> használunk. Az állattartó telepek esetében felhasználtuk a nemzetközi szakirodalomban (pl. az EMEP/CORINAIR </w:t>
      </w:r>
      <w:proofErr w:type="spellStart"/>
      <w:r w:rsidRPr="00BD5EC6">
        <w:t>Emission</w:t>
      </w:r>
      <w:proofErr w:type="spellEnd"/>
      <w:r w:rsidR="004372E2" w:rsidRPr="00BD5EC6">
        <w:t xml:space="preserve"> </w:t>
      </w:r>
      <w:proofErr w:type="spellStart"/>
      <w:r w:rsidRPr="00BD5EC6">
        <w:t>Inventory</w:t>
      </w:r>
      <w:proofErr w:type="spellEnd"/>
      <w:r w:rsidR="004372E2" w:rsidRPr="00BD5EC6">
        <w:t xml:space="preserve"> </w:t>
      </w:r>
      <w:proofErr w:type="spellStart"/>
      <w:r w:rsidRPr="00BD5EC6">
        <w:t>Guidebook</w:t>
      </w:r>
      <w:proofErr w:type="spellEnd"/>
      <w:r w:rsidRPr="00BD5EC6">
        <w:t xml:space="preserve">) található számítási modelleket. Ezzel kapcsolatban egy projekt kapcsán </w:t>
      </w:r>
      <w:r w:rsidR="00A7301C" w:rsidRPr="00BD5EC6">
        <w:t>felülvizsgáltuk</w:t>
      </w:r>
      <w:r w:rsidR="004372E2" w:rsidRPr="00BD5EC6">
        <w:t xml:space="preserve"> </w:t>
      </w:r>
      <w:r w:rsidR="00A7301C" w:rsidRPr="00BD5EC6">
        <w:t>és a hazai viszonyokra adaptáltuk</w:t>
      </w:r>
      <w:r w:rsidR="0019125B" w:rsidRPr="00BD5EC6">
        <w:t xml:space="preserve"> a</w:t>
      </w:r>
      <w:r w:rsidRPr="00BD5EC6">
        <w:t xml:space="preserve"> szakirodalom szerinti faktorokat</w:t>
      </w:r>
      <w:r w:rsidR="00A7301C" w:rsidRPr="00BD5EC6">
        <w:t>,</w:t>
      </w:r>
      <w:r w:rsidRPr="00BD5EC6">
        <w:t xml:space="preserve"> majd ezeket az üzemeltető</w:t>
      </w:r>
      <w:r w:rsidR="00A7301C" w:rsidRPr="00BD5EC6">
        <w:t>k</w:t>
      </w:r>
      <w:r w:rsidRPr="00BD5EC6">
        <w:t xml:space="preserve"> rendelkezésére bocsát</w:t>
      </w:r>
      <w:r w:rsidR="00A7301C" w:rsidRPr="00BD5EC6">
        <w:t xml:space="preserve">ottuk. Kidolgoztunk egy </w:t>
      </w:r>
      <w:r w:rsidRPr="00BD5EC6">
        <w:t>számítási képleteket</w:t>
      </w:r>
      <w:r w:rsidR="004372E2" w:rsidRPr="00BD5EC6">
        <w:t xml:space="preserve"> </w:t>
      </w:r>
      <w:r w:rsidR="0081221D" w:rsidRPr="00BD5EC6">
        <w:t>tartalmazó</w:t>
      </w:r>
      <w:r w:rsidR="00A7301C" w:rsidRPr="00BD5EC6">
        <w:t xml:space="preserve"> jelentés adatlapot</w:t>
      </w:r>
      <w:r w:rsidRPr="00BD5EC6">
        <w:t xml:space="preserve">, </w:t>
      </w:r>
      <w:r w:rsidR="000B0694" w:rsidRPr="00BD5EC6">
        <w:t xml:space="preserve">melyet az adatszolgáltatás elektronikussá tétele során beépítettünk a nyomtatvány kitöltő programba, </w:t>
      </w:r>
      <w:r w:rsidRPr="00BD5EC6">
        <w:t xml:space="preserve">amely alapján az </w:t>
      </w:r>
      <w:r w:rsidR="00A7301C" w:rsidRPr="00BD5EC6">
        <w:t xml:space="preserve">üzemeltető az </w:t>
      </w:r>
      <w:r w:rsidRPr="00BD5EC6">
        <w:t>adatszolgáltatást el tudja végezni. A gyógyszergyárak a diffúz kibocsátásokat anyagmérleg alapján határozz</w:t>
      </w:r>
      <w:r w:rsidR="00261F0C" w:rsidRPr="00BD5EC6">
        <w:t>ák</w:t>
      </w:r>
      <w:r w:rsidRPr="00BD5EC6">
        <w:t xml:space="preserve"> meg</w:t>
      </w:r>
      <w:r w:rsidR="00C15875" w:rsidRPr="00BD5EC6">
        <w:t xml:space="preserve">. </w:t>
      </w:r>
      <w:r w:rsidR="00AB2F99" w:rsidRPr="00BD5EC6">
        <w:t>A</w:t>
      </w:r>
      <w:r w:rsidR="008D5579" w:rsidRPr="00BD5EC6">
        <w:t xml:space="preserve">z illékony szerves vegyületek (VOC) kibocsátásának meghatározására </w:t>
      </w:r>
      <w:r w:rsidR="00A7399D" w:rsidRPr="00BD5EC6">
        <w:t xml:space="preserve">az </w:t>
      </w:r>
      <w:r w:rsidR="00AB2F99" w:rsidRPr="00BD5EC6">
        <w:t>egyes tevékenységek illékony szerves vegyület kibocsátásának korlátozásáról szóló 26/2014.(III.25.)</w:t>
      </w:r>
      <w:r w:rsidR="008D5579" w:rsidRPr="00BD5EC6">
        <w:t xml:space="preserve"> </w:t>
      </w:r>
      <w:r w:rsidR="00AB2F99" w:rsidRPr="00BD5EC6">
        <w:t xml:space="preserve">VM rendelet </w:t>
      </w:r>
      <w:r w:rsidR="008D5579" w:rsidRPr="00BD5EC6">
        <w:t xml:space="preserve">alapján az üzemeltetőnek éves oldószermérleget kell készítenie a technológiába bevitt és onnan kijutó VOC anyagáramok figyelembevételével. Az oldószermérleget az </w:t>
      </w:r>
      <w:r w:rsidR="008D5579" w:rsidRPr="00BD5EC6">
        <w:rPr>
          <w:b/>
          <w:bCs/>
        </w:rPr>
        <w:t xml:space="preserve">LM/VOC </w:t>
      </w:r>
      <w:r w:rsidR="008D5579" w:rsidRPr="00BD5EC6">
        <w:t xml:space="preserve">adatlapon jelentik az adatszolgáltatók, amely tartalmazza a VOC </w:t>
      </w:r>
      <w:r w:rsidR="00261F0C" w:rsidRPr="00BD5EC6">
        <w:t>diffúz forrásokból származó kibocsátására vonatkozó információ</w:t>
      </w:r>
      <w:r w:rsidR="008D5579" w:rsidRPr="00BD5EC6">
        <w:t>kat is.</w:t>
      </w:r>
    </w:p>
    <w:p w:rsidR="00BD5EC6" w:rsidRDefault="00BD5EC6" w:rsidP="0081221D">
      <w:pPr>
        <w:spacing w:after="0"/>
        <w:jc w:val="both"/>
        <w:rPr>
          <w:u w:val="single"/>
        </w:rPr>
      </w:pPr>
    </w:p>
    <w:p w:rsidR="00BD5EC6" w:rsidRDefault="00BD5EC6" w:rsidP="0081221D">
      <w:pPr>
        <w:spacing w:after="0"/>
        <w:jc w:val="both"/>
        <w:rPr>
          <w:u w:val="single"/>
        </w:rPr>
      </w:pPr>
    </w:p>
    <w:p w:rsidR="00BD5EC6" w:rsidRDefault="00BD5EC6" w:rsidP="0081221D">
      <w:pPr>
        <w:spacing w:after="0"/>
        <w:jc w:val="both"/>
        <w:rPr>
          <w:u w:val="single"/>
        </w:rPr>
      </w:pPr>
    </w:p>
    <w:p w:rsidR="00BD5EC6" w:rsidRDefault="00BD5EC6" w:rsidP="0081221D">
      <w:pPr>
        <w:spacing w:after="0"/>
        <w:jc w:val="both"/>
        <w:rPr>
          <w:u w:val="single"/>
        </w:rPr>
      </w:pPr>
    </w:p>
    <w:p w:rsidR="0013774D" w:rsidRPr="00BD5EC6" w:rsidRDefault="00261F0C" w:rsidP="0081221D">
      <w:pPr>
        <w:spacing w:after="0"/>
        <w:jc w:val="both"/>
      </w:pPr>
      <w:r w:rsidRPr="00BD5EC6">
        <w:rPr>
          <w:u w:val="single"/>
        </w:rPr>
        <w:t>Az alábbiakban felsorolt egyéb intézkedések az adatbejelentő lapok és útmutatók módosítására</w:t>
      </w:r>
      <w:r w:rsidR="0019391B" w:rsidRPr="00BD5EC6">
        <w:rPr>
          <w:u w:val="single"/>
        </w:rPr>
        <w:t xml:space="preserve"> az elektronikussá tétel miatt</w:t>
      </w:r>
      <w:r w:rsidR="0013774D" w:rsidRPr="00BD5EC6">
        <w:t xml:space="preserve">: </w:t>
      </w:r>
    </w:p>
    <w:p w:rsidR="00261F0C" w:rsidRPr="00BD5EC6" w:rsidRDefault="00261F0C" w:rsidP="0081221D">
      <w:pPr>
        <w:spacing w:after="0"/>
        <w:jc w:val="both"/>
      </w:pPr>
    </w:p>
    <w:p w:rsidR="0013774D" w:rsidRPr="00BD5EC6" w:rsidRDefault="0013774D" w:rsidP="0081221D">
      <w:pPr>
        <w:spacing w:after="0"/>
        <w:jc w:val="both"/>
      </w:pPr>
      <w:r w:rsidRPr="00BD5EC6">
        <w:rPr>
          <w:u w:val="single"/>
        </w:rPr>
        <w:t>A levegőtisztaság-védelem szakterületén</w:t>
      </w:r>
      <w:r w:rsidRPr="00BD5EC6">
        <w:t>:</w:t>
      </w:r>
    </w:p>
    <w:p w:rsidR="0013774D" w:rsidRPr="00BD5EC6" w:rsidRDefault="0013774D" w:rsidP="0081221D">
      <w:pPr>
        <w:spacing w:after="0"/>
        <w:jc w:val="both"/>
      </w:pPr>
    </w:p>
    <w:p w:rsidR="00392A5A" w:rsidRPr="00BD5EC6" w:rsidRDefault="00392A5A" w:rsidP="0081221D">
      <w:pPr>
        <w:spacing w:after="0"/>
        <w:jc w:val="both"/>
      </w:pPr>
      <w:r w:rsidRPr="00BD5EC6">
        <w:t>Az elektronikus adatszolgáltatás bevezet</w:t>
      </w:r>
      <w:r w:rsidR="00CD659B" w:rsidRPr="00BD5EC6">
        <w:t>ése kapcsán az alábbi adatlapokat használhatják 2015. január 1.-jétől</w:t>
      </w:r>
      <w:r w:rsidR="00A7399D" w:rsidRPr="00BD5EC6">
        <w:t xml:space="preserve"> </w:t>
      </w:r>
      <w:r w:rsidR="00CD659B" w:rsidRPr="00BD5EC6">
        <w:t>az üzemeltetők</w:t>
      </w:r>
      <w:r w:rsidR="00A7399D" w:rsidRPr="00BD5EC6">
        <w:t xml:space="preserve"> (elektronizált, Általános Nyomtatványkitöltő Keretprogram (ÁNYK) segítségével tölthető</w:t>
      </w:r>
      <w:r w:rsidR="00B27FA4" w:rsidRPr="00BD5EC6">
        <w:t>k</w:t>
      </w:r>
      <w:r w:rsidR="00A7399D" w:rsidRPr="00BD5EC6">
        <w:t xml:space="preserve"> ki),</w:t>
      </w:r>
    </w:p>
    <w:p w:rsidR="00A7399D" w:rsidRPr="00BD5EC6" w:rsidRDefault="00A7399D" w:rsidP="00A7399D">
      <w:pPr>
        <w:pStyle w:val="Listaszerbekezds"/>
        <w:numPr>
          <w:ilvl w:val="0"/>
          <w:numId w:val="34"/>
        </w:numPr>
      </w:pPr>
      <w:r w:rsidRPr="00BD5EC6">
        <w:t>LAIR LAL levegőtisztaság-védelmi alapjelentés (VMOKIR_LAL)</w:t>
      </w:r>
    </w:p>
    <w:p w:rsidR="00572F97" w:rsidRPr="00BD5EC6" w:rsidRDefault="00572F97" w:rsidP="000D1111">
      <w:pPr>
        <w:pStyle w:val="Listaszerbekezds"/>
        <w:numPr>
          <w:ilvl w:val="0"/>
          <w:numId w:val="34"/>
        </w:numPr>
      </w:pPr>
      <w:r w:rsidRPr="00BD5EC6">
        <w:t>LAIR LM légszennyezés mértéke éves bejelentés (VMOKIR_LM)</w:t>
      </w:r>
    </w:p>
    <w:p w:rsidR="00A7399D" w:rsidRPr="00BD5EC6" w:rsidRDefault="0013774D" w:rsidP="00261F0C">
      <w:pPr>
        <w:spacing w:after="0"/>
        <w:ind w:left="709" w:hanging="709"/>
        <w:jc w:val="both"/>
      </w:pPr>
      <w:r w:rsidRPr="00BD5EC6">
        <w:t>•</w:t>
      </w:r>
      <w:r w:rsidR="00A7399D" w:rsidRPr="00BD5EC6">
        <w:t xml:space="preserve">A PRTR jelentés készítése során az éves jelentések (VMOKIR_LM) alábbi </w:t>
      </w:r>
      <w:r w:rsidR="00DA4559" w:rsidRPr="00BD5EC6">
        <w:t xml:space="preserve">adatlapjai </w:t>
      </w:r>
      <w:r w:rsidR="00A7399D" w:rsidRPr="00BD5EC6">
        <w:t>kerülnek felhasználásra:</w:t>
      </w:r>
    </w:p>
    <w:p w:rsidR="00392A5A" w:rsidRPr="00BD5EC6" w:rsidRDefault="00A7399D" w:rsidP="000D1111">
      <w:pPr>
        <w:pStyle w:val="Listaszerbekezds"/>
        <w:numPr>
          <w:ilvl w:val="0"/>
          <w:numId w:val="30"/>
        </w:numPr>
        <w:spacing w:after="0" w:line="240" w:lineRule="auto"/>
        <w:ind w:left="709" w:hanging="709"/>
      </w:pPr>
      <w:r w:rsidRPr="00BD5EC6">
        <w:t>LM/PF1 lap Pontforrás üzemeltetési adatlap (elektronizált)</w:t>
      </w:r>
    </w:p>
    <w:p w:rsidR="006D1C72" w:rsidRPr="00BD5EC6" w:rsidRDefault="002B7CB2" w:rsidP="000D1111">
      <w:pPr>
        <w:pStyle w:val="Listaszerbekezds"/>
        <w:numPr>
          <w:ilvl w:val="0"/>
          <w:numId w:val="30"/>
        </w:numPr>
        <w:spacing w:after="0" w:line="240" w:lineRule="auto"/>
        <w:ind w:left="709" w:hanging="709"/>
      </w:pPr>
      <w:r w:rsidRPr="00773794">
        <w:t xml:space="preserve">LM/PF2 lap </w:t>
      </w:r>
      <w:r w:rsidR="0013774D" w:rsidRPr="00773794">
        <w:t>Pontforrás kibocsátási adatlap (</w:t>
      </w:r>
      <w:r w:rsidR="008366EE" w:rsidRPr="00773794">
        <w:t>elektronizált</w:t>
      </w:r>
      <w:r w:rsidR="0013774D" w:rsidRPr="00773794">
        <w:t>),</w:t>
      </w:r>
    </w:p>
    <w:p w:rsidR="0013774D" w:rsidRPr="00BD5EC6" w:rsidRDefault="00C96DCC" w:rsidP="000D1111">
      <w:pPr>
        <w:pStyle w:val="Listaszerbekezds"/>
        <w:numPr>
          <w:ilvl w:val="0"/>
          <w:numId w:val="30"/>
        </w:numPr>
        <w:spacing w:after="0" w:line="240" w:lineRule="auto"/>
        <w:ind w:left="709" w:hanging="709"/>
      </w:pPr>
      <w:r w:rsidRPr="00773794">
        <w:rPr>
          <w:bCs/>
        </w:rPr>
        <w:t>LM/DF lap</w:t>
      </w:r>
      <w:r w:rsidRPr="00BD5EC6">
        <w:t xml:space="preserve"> </w:t>
      </w:r>
      <w:r w:rsidR="0013774D" w:rsidRPr="00773794">
        <w:t xml:space="preserve">Diffúz forrás </w:t>
      </w:r>
      <w:r w:rsidR="0013774D" w:rsidRPr="00BD5EC6">
        <w:t>adatlap (</w:t>
      </w:r>
      <w:r w:rsidRPr="00BD5EC6">
        <w:t>elektronizált</w:t>
      </w:r>
      <w:r w:rsidR="0013774D" w:rsidRPr="00BD5EC6">
        <w:t>),</w:t>
      </w:r>
    </w:p>
    <w:p w:rsidR="00DA4559" w:rsidRPr="00BD5EC6" w:rsidRDefault="00DA4559" w:rsidP="00DA4559">
      <w:pPr>
        <w:pStyle w:val="Listaszerbekezds"/>
        <w:numPr>
          <w:ilvl w:val="0"/>
          <w:numId w:val="30"/>
        </w:numPr>
        <w:tabs>
          <w:tab w:val="left" w:pos="3119"/>
          <w:tab w:val="left" w:pos="4127"/>
        </w:tabs>
        <w:ind w:left="709" w:hanging="709"/>
      </w:pPr>
      <w:r w:rsidRPr="00773794">
        <w:rPr>
          <w:bCs/>
        </w:rPr>
        <w:t xml:space="preserve">LM/VOC lap </w:t>
      </w:r>
      <w:r w:rsidRPr="00BD5EC6">
        <w:t>VOC adatok adatlap (elektronizált)</w:t>
      </w:r>
    </w:p>
    <w:p w:rsidR="00C96DCC" w:rsidRPr="00BD5EC6" w:rsidRDefault="00C96DCC" w:rsidP="0019391B">
      <w:pPr>
        <w:pStyle w:val="Listaszerbekezds"/>
        <w:numPr>
          <w:ilvl w:val="0"/>
          <w:numId w:val="30"/>
        </w:numPr>
        <w:spacing w:after="0" w:line="240" w:lineRule="auto"/>
        <w:ind w:left="709" w:hanging="709"/>
      </w:pPr>
      <w:r w:rsidRPr="00773794">
        <w:t>LM/(E</w:t>
      </w:r>
      <w:proofErr w:type="gramStart"/>
      <w:r w:rsidRPr="00773794">
        <w:t>)PRTR</w:t>
      </w:r>
      <w:proofErr w:type="gramEnd"/>
      <w:r w:rsidRPr="00773794">
        <w:t xml:space="preserve"> lap </w:t>
      </w:r>
      <w:r w:rsidRPr="00BD5EC6">
        <w:t>Diffúz forrás E/PRTR adatlap (elektronizált),</w:t>
      </w:r>
    </w:p>
    <w:p w:rsidR="00C96DCC" w:rsidRPr="00BD5EC6" w:rsidRDefault="0013774D" w:rsidP="0019391B">
      <w:pPr>
        <w:spacing w:after="0" w:line="240" w:lineRule="auto"/>
      </w:pPr>
      <w:r w:rsidRPr="00BD5EC6">
        <w:t>•</w:t>
      </w:r>
      <w:r w:rsidRPr="00BD5EC6">
        <w:tab/>
      </w:r>
      <w:r w:rsidR="00C96DCC" w:rsidRPr="00773794">
        <w:t>LM/</w:t>
      </w:r>
      <w:proofErr w:type="gramStart"/>
      <w:r w:rsidR="00C96DCC" w:rsidRPr="00773794">
        <w:t>DF3(</w:t>
      </w:r>
      <w:proofErr w:type="gramEnd"/>
      <w:r w:rsidR="00C96DCC" w:rsidRPr="00773794">
        <w:t xml:space="preserve">E)PRTR lap </w:t>
      </w:r>
      <w:r w:rsidR="00C96DCC" w:rsidRPr="00BD5EC6">
        <w:t>Diffúz forrás (E)PRTR adatlap állattartó telepek részére (elektronizált)</w:t>
      </w:r>
    </w:p>
    <w:p w:rsidR="0013774D" w:rsidRPr="00BD5EC6" w:rsidRDefault="00C96DCC" w:rsidP="0019391B">
      <w:pPr>
        <w:pStyle w:val="Listaszerbekezds"/>
        <w:numPr>
          <w:ilvl w:val="0"/>
          <w:numId w:val="30"/>
        </w:numPr>
        <w:spacing w:after="0" w:line="240" w:lineRule="auto"/>
        <w:ind w:hanging="720"/>
      </w:pPr>
      <w:r w:rsidRPr="00773794">
        <w:t xml:space="preserve">LM/RSZ lap </w:t>
      </w:r>
      <w:r w:rsidR="0013774D" w:rsidRPr="00BD5EC6">
        <w:t>Rendkívüli szennyezés kibocsátási adatlap (</w:t>
      </w:r>
      <w:r w:rsidRPr="00BD5EC6">
        <w:t>elektronizált</w:t>
      </w:r>
      <w:r w:rsidR="0013774D" w:rsidRPr="00BD5EC6">
        <w:t>),</w:t>
      </w:r>
    </w:p>
    <w:p w:rsidR="00DA4559" w:rsidRPr="00BD5EC6" w:rsidRDefault="00DA4559" w:rsidP="0019391B">
      <w:pPr>
        <w:tabs>
          <w:tab w:val="left" w:pos="3119"/>
          <w:tab w:val="left" w:pos="4127"/>
        </w:tabs>
        <w:rPr>
          <w:b/>
          <w:bCs/>
        </w:rPr>
      </w:pPr>
    </w:p>
    <w:p w:rsidR="0019391B" w:rsidRPr="00BD5EC6" w:rsidRDefault="0019391B" w:rsidP="0019391B">
      <w:pPr>
        <w:tabs>
          <w:tab w:val="left" w:pos="3119"/>
          <w:tab w:val="left" w:pos="4127"/>
        </w:tabs>
      </w:pPr>
      <w:r w:rsidRPr="00BD5EC6">
        <w:t>Az LM adatlap csomaggal az ÁNYK</w:t>
      </w:r>
      <w:r w:rsidR="00A7399D" w:rsidRPr="00773794">
        <w:t xml:space="preserve">- </w:t>
      </w:r>
      <w:proofErr w:type="spellStart"/>
      <w:r w:rsidRPr="00BD5EC6">
        <w:t>ban</w:t>
      </w:r>
      <w:proofErr w:type="spellEnd"/>
      <w:r w:rsidRPr="00BD5EC6">
        <w:t xml:space="preserve"> megnyitáskor minden adatlaphoz megtekinthető a kitöltési útmutató is, mely </w:t>
      </w:r>
      <w:r w:rsidR="00A7399D" w:rsidRPr="00773794">
        <w:t xml:space="preserve">mezőszintű </w:t>
      </w:r>
      <w:r w:rsidR="00DA4559" w:rsidRPr="00773794">
        <w:t xml:space="preserve">értelmező és </w:t>
      </w:r>
      <w:r w:rsidR="00A7399D" w:rsidRPr="00773794">
        <w:t xml:space="preserve">kiegészítő információkat tartalmaz az egyes adatlapok kitöltéséhez. </w:t>
      </w:r>
    </w:p>
    <w:p w:rsidR="0013774D" w:rsidRPr="00BD5EC6" w:rsidRDefault="0013774D" w:rsidP="0081221D">
      <w:pPr>
        <w:spacing w:after="0"/>
        <w:jc w:val="both"/>
      </w:pPr>
      <w:r w:rsidRPr="00BD5EC6">
        <w:t>•</w:t>
      </w:r>
      <w:r w:rsidRPr="00BD5EC6">
        <w:tab/>
      </w:r>
    </w:p>
    <w:p w:rsidR="0013774D" w:rsidRPr="00BD5EC6" w:rsidRDefault="0013774D" w:rsidP="0081221D">
      <w:pPr>
        <w:spacing w:after="0"/>
        <w:jc w:val="both"/>
      </w:pPr>
      <w:r w:rsidRPr="00BD5EC6">
        <w:rPr>
          <w:u w:val="single"/>
        </w:rPr>
        <w:t>A felszín alatti vízvédelem szakterületén</w:t>
      </w:r>
      <w:r w:rsidRPr="00BD5EC6">
        <w:t>:</w:t>
      </w:r>
    </w:p>
    <w:p w:rsidR="0013774D" w:rsidRPr="00BD5EC6" w:rsidRDefault="0013774D" w:rsidP="00261F0C">
      <w:pPr>
        <w:spacing w:after="0"/>
        <w:ind w:left="709" w:hanging="709"/>
        <w:jc w:val="both"/>
      </w:pPr>
      <w:r w:rsidRPr="00BD5EC6">
        <w:t>•</w:t>
      </w:r>
      <w:r w:rsidRPr="00BD5EC6">
        <w:tab/>
        <w:t>Kitöltési útmutató a felszín alatti víz és a földtani közeg veszélyeztetésével, terhelésével kapcsolatos adatszolgáltatáshoz szükséges alap-, és részletes-adatlapok kitöltéséhez (</w:t>
      </w:r>
      <w:r w:rsidR="00C63757" w:rsidRPr="00BD5EC6">
        <w:t>elektronizált</w:t>
      </w:r>
      <w:r w:rsidRPr="00BD5EC6">
        <w:t>),</w:t>
      </w:r>
    </w:p>
    <w:p w:rsidR="0013774D" w:rsidRPr="00BD5EC6" w:rsidRDefault="0013774D" w:rsidP="00261F0C">
      <w:pPr>
        <w:spacing w:after="0"/>
        <w:ind w:left="709" w:hanging="709"/>
        <w:jc w:val="both"/>
      </w:pPr>
      <w:r w:rsidRPr="00BD5EC6">
        <w:t>•</w:t>
      </w:r>
      <w:r w:rsidRPr="00BD5EC6">
        <w:tab/>
        <w:t>Alap-adatlap (FAVI-ENG TEÁOR lap) a felszín alatti víz és földtani közeg veszélyeztetéséről, terheléséről (</w:t>
      </w:r>
      <w:r w:rsidR="00C63757" w:rsidRPr="00BD5EC6">
        <w:t>elektronizált</w:t>
      </w:r>
      <w:r w:rsidRPr="00BD5EC6">
        <w:t>),</w:t>
      </w:r>
    </w:p>
    <w:p w:rsidR="0013774D" w:rsidRPr="00BD5EC6" w:rsidRDefault="0013774D" w:rsidP="00261F0C">
      <w:pPr>
        <w:spacing w:after="0"/>
        <w:ind w:left="709" w:hanging="709"/>
        <w:jc w:val="both"/>
      </w:pPr>
      <w:r w:rsidRPr="00BD5EC6">
        <w:t>•</w:t>
      </w:r>
      <w:r w:rsidRPr="00BD5EC6">
        <w:tab/>
        <w:t>Útmutató a felszín alatti víz és a földtani közeg veszélyeztetésével, terhelésével kapcsolatos éves adatszolgáltatáshoz (</w:t>
      </w:r>
      <w:r w:rsidR="00C63757" w:rsidRPr="00BD5EC6">
        <w:t>elektronizált</w:t>
      </w:r>
      <w:r w:rsidRPr="00BD5EC6">
        <w:t>),</w:t>
      </w:r>
    </w:p>
    <w:p w:rsidR="0013774D" w:rsidRPr="00BD5EC6" w:rsidRDefault="0013774D" w:rsidP="00261F0C">
      <w:pPr>
        <w:spacing w:after="0"/>
        <w:ind w:left="709" w:hanging="709"/>
        <w:jc w:val="both"/>
      </w:pPr>
      <w:r w:rsidRPr="00BD5EC6">
        <w:t>•</w:t>
      </w:r>
      <w:r w:rsidRPr="00BD5EC6">
        <w:tab/>
        <w:t>Éves jelentés adatlap (FAVI-ENG ÉJ-1 lap) a felszín alatti víz és földtani közeg veszélyeztetéséről, terheléséről (</w:t>
      </w:r>
      <w:r w:rsidR="00C63757" w:rsidRPr="00BD5EC6">
        <w:t>elektronizált</w:t>
      </w:r>
      <w:r w:rsidRPr="00BD5EC6">
        <w:t>),</w:t>
      </w:r>
    </w:p>
    <w:p w:rsidR="0013774D" w:rsidRPr="00BD5EC6" w:rsidRDefault="0013774D" w:rsidP="0081221D">
      <w:pPr>
        <w:spacing w:after="0"/>
        <w:jc w:val="both"/>
      </w:pPr>
    </w:p>
    <w:p w:rsidR="0013774D" w:rsidRPr="00BD5EC6" w:rsidRDefault="0013774D" w:rsidP="00773794">
      <w:pPr>
        <w:jc w:val="both"/>
      </w:pPr>
      <w:r w:rsidRPr="00BD5EC6">
        <w:t>A felszíni vízvédelem szakterületén:</w:t>
      </w:r>
    </w:p>
    <w:p w:rsidR="00C63757" w:rsidRPr="00BD5EC6" w:rsidRDefault="00C63757" w:rsidP="00773794">
      <w:pPr>
        <w:jc w:val="both"/>
      </w:pPr>
      <w:r w:rsidRPr="00BD5EC6">
        <w:t>FEVISZ VÉL vízminőség-védelmi éves jelentés (VMOKIR_VEL)</w:t>
      </w:r>
    </w:p>
    <w:p w:rsidR="0013774D" w:rsidRPr="00BD5EC6" w:rsidRDefault="0013774D" w:rsidP="00773794">
      <w:pPr>
        <w:ind w:left="705" w:hanging="705"/>
        <w:jc w:val="both"/>
      </w:pPr>
      <w:r w:rsidRPr="00BD5EC6">
        <w:t>•</w:t>
      </w:r>
      <w:r w:rsidRPr="00BD5EC6">
        <w:tab/>
        <w:t xml:space="preserve">Kitöltési útmutató a felszíni víz minőségvédelmével kapcsolatos alap- és éves adatszolgáltatáshoz </w:t>
      </w:r>
      <w:r w:rsidR="00C63757" w:rsidRPr="00BD5EC6">
        <w:t xml:space="preserve">(VAL-, </w:t>
      </w:r>
      <w:proofErr w:type="spellStart"/>
      <w:r w:rsidR="00C63757" w:rsidRPr="00BD5EC6">
        <w:t>VÉL-lap</w:t>
      </w:r>
      <w:proofErr w:type="spellEnd"/>
      <w:r w:rsidR="00C63757" w:rsidRPr="00BD5EC6">
        <w:t xml:space="preserve">) </w:t>
      </w:r>
      <w:r w:rsidRPr="00BD5EC6">
        <w:t>(</w:t>
      </w:r>
      <w:r w:rsidR="00C63757" w:rsidRPr="00BD5EC6">
        <w:t>elektronizált</w:t>
      </w:r>
      <w:r w:rsidRPr="00BD5EC6">
        <w:t xml:space="preserve">), </w:t>
      </w:r>
    </w:p>
    <w:p w:rsidR="00C63757" w:rsidRPr="00773794" w:rsidRDefault="00C63757" w:rsidP="00773794">
      <w:pPr>
        <w:pStyle w:val="Szvegtrzs"/>
        <w:ind w:left="705"/>
        <w:rPr>
          <w:rFonts w:cs="Times New Roman"/>
          <w:w w:val="107"/>
          <w:sz w:val="22"/>
          <w:szCs w:val="22"/>
        </w:rPr>
      </w:pPr>
      <w:r w:rsidRPr="00773794">
        <w:rPr>
          <w:rFonts w:cs="Times New Roman"/>
          <w:w w:val="107"/>
          <w:sz w:val="22"/>
          <w:szCs w:val="22"/>
        </w:rPr>
        <w:t>VAL ENG1 (Szennyvízkibocsátásra vonatkozó előírások adatai)- telephelyre vonatkozó adatlapok, az EKHE/(E</w:t>
      </w:r>
      <w:proofErr w:type="gramStart"/>
      <w:r w:rsidRPr="00773794">
        <w:rPr>
          <w:rFonts w:cs="Times New Roman"/>
          <w:w w:val="107"/>
          <w:sz w:val="22"/>
          <w:szCs w:val="22"/>
        </w:rPr>
        <w:t>)PRTR</w:t>
      </w:r>
      <w:proofErr w:type="gramEnd"/>
      <w:r w:rsidRPr="00773794">
        <w:rPr>
          <w:rFonts w:cs="Times New Roman"/>
          <w:w w:val="107"/>
          <w:sz w:val="22"/>
          <w:szCs w:val="22"/>
        </w:rPr>
        <w:t xml:space="preserve"> köteles létesítmények adatlapjai!</w:t>
      </w:r>
    </w:p>
    <w:p w:rsidR="0013774D" w:rsidRPr="00BD5EC6" w:rsidRDefault="0013774D" w:rsidP="00773794">
      <w:pPr>
        <w:spacing w:after="0"/>
        <w:ind w:left="705" w:hanging="705"/>
        <w:jc w:val="both"/>
      </w:pPr>
      <w:r w:rsidRPr="00BD5EC6">
        <w:t>•</w:t>
      </w:r>
      <w:r w:rsidRPr="00BD5EC6">
        <w:tab/>
        <w:t>A felszíni víz minőségének védelméről szóló víz-minőség védelmi éves bejelentőlap, a szennyvízkibocsátás alapadatai</w:t>
      </w:r>
      <w:r w:rsidR="00C15875" w:rsidRPr="00BD5EC6">
        <w:t>,</w:t>
      </w:r>
      <w:r w:rsidRPr="00BD5EC6">
        <w:t xml:space="preserve"> 1-Telephelyi kibocsátás (SZK1_1) (</w:t>
      </w:r>
      <w:r w:rsidR="00C63757" w:rsidRPr="00BD5EC6">
        <w:t>elektronizált</w:t>
      </w:r>
      <w:r w:rsidRPr="00BD5EC6">
        <w:t>),</w:t>
      </w:r>
    </w:p>
    <w:p w:rsidR="0013774D" w:rsidRPr="00BD5EC6" w:rsidRDefault="0013774D" w:rsidP="00261F0C">
      <w:pPr>
        <w:spacing w:after="0"/>
        <w:ind w:left="709" w:hanging="709"/>
        <w:jc w:val="both"/>
      </w:pPr>
      <w:r w:rsidRPr="00BD5EC6">
        <w:t>•</w:t>
      </w:r>
      <w:r w:rsidRPr="00BD5EC6">
        <w:tab/>
        <w:t>A felszíni víz minőségének védelméről szóló víz-minőség védelmi éves bejelentőlap, a szennyvízkibocsátás alapadatai</w:t>
      </w:r>
      <w:r w:rsidR="00C15875" w:rsidRPr="00BD5EC6">
        <w:t>,</w:t>
      </w:r>
      <w:r w:rsidRPr="00BD5EC6">
        <w:t xml:space="preserve"> 2- IPPC köteles létesítmény kibocsátása (SZK1_2) (</w:t>
      </w:r>
      <w:r w:rsidR="00C63757" w:rsidRPr="00BD5EC6">
        <w:t>elektronizált</w:t>
      </w:r>
      <w:r w:rsidRPr="00BD5EC6">
        <w:t>),</w:t>
      </w:r>
    </w:p>
    <w:p w:rsidR="0013774D" w:rsidRPr="00BD5EC6" w:rsidRDefault="0013774D" w:rsidP="0081221D">
      <w:pPr>
        <w:spacing w:after="0"/>
        <w:jc w:val="both"/>
      </w:pPr>
    </w:p>
    <w:p w:rsidR="0013774D" w:rsidRPr="00BD5EC6" w:rsidRDefault="0013774D" w:rsidP="0081221D">
      <w:pPr>
        <w:spacing w:after="0"/>
        <w:jc w:val="both"/>
      </w:pPr>
      <w:r w:rsidRPr="00BD5EC6">
        <w:rPr>
          <w:u w:val="single"/>
        </w:rPr>
        <w:t>A hulladékgazdálkodás szakterületén</w:t>
      </w:r>
      <w:r w:rsidRPr="00BD5EC6">
        <w:t>:</w:t>
      </w:r>
    </w:p>
    <w:p w:rsidR="0013774D" w:rsidRPr="00BD5EC6" w:rsidRDefault="0013774D" w:rsidP="0081221D">
      <w:pPr>
        <w:spacing w:after="0"/>
        <w:jc w:val="both"/>
      </w:pPr>
    </w:p>
    <w:p w:rsidR="00DA7CF8" w:rsidRPr="00BD5EC6" w:rsidRDefault="00DA7CF8" w:rsidP="00DA7CF8">
      <w:pPr>
        <w:pStyle w:val="Listaszerbekezds"/>
        <w:numPr>
          <w:ilvl w:val="0"/>
          <w:numId w:val="25"/>
        </w:numPr>
        <w:jc w:val="both"/>
      </w:pPr>
      <w:r w:rsidRPr="00BD5EC6">
        <w:t>Hulladékkal kapcsolatos HIR-ÉV adatszolgáltatás (VMOKIR_HIR_EV)</w:t>
      </w:r>
    </w:p>
    <w:p w:rsidR="0013774D" w:rsidRPr="00BD5EC6" w:rsidRDefault="0013774D" w:rsidP="003E346B">
      <w:pPr>
        <w:spacing w:after="0"/>
        <w:ind w:left="709" w:hanging="709"/>
        <w:jc w:val="both"/>
      </w:pPr>
      <w:r w:rsidRPr="00BD5EC6">
        <w:t>•</w:t>
      </w:r>
      <w:r w:rsidRPr="00BD5EC6">
        <w:tab/>
      </w:r>
      <w:r w:rsidR="00483A19" w:rsidRPr="00BD5EC6">
        <w:t>Kitöltési ú</w:t>
      </w:r>
      <w:r w:rsidRPr="00BD5EC6">
        <w:t>tmutató a hulladékkal kapcsolatos adatszolgáltatási kötelezettségek teljesítéséhez (</w:t>
      </w:r>
      <w:r w:rsidR="00C63757" w:rsidRPr="00BD5EC6">
        <w:t>elektronizált</w:t>
      </w:r>
      <w:r w:rsidRPr="00BD5EC6">
        <w:t>)</w:t>
      </w:r>
      <w:r w:rsidR="004B1334" w:rsidRPr="00BD5EC6">
        <w:t>,</w:t>
      </w:r>
    </w:p>
    <w:p w:rsidR="0013774D" w:rsidRPr="00BD5EC6" w:rsidRDefault="00483A19" w:rsidP="0081221D">
      <w:pPr>
        <w:spacing w:after="0"/>
        <w:jc w:val="both"/>
      </w:pPr>
      <w:r w:rsidRPr="00BD5EC6">
        <w:t>Kitöltési útmutató az (E</w:t>
      </w:r>
      <w:proofErr w:type="gramStart"/>
      <w:r w:rsidRPr="00BD5EC6">
        <w:t>)PRTR</w:t>
      </w:r>
      <w:proofErr w:type="gramEnd"/>
      <w:r w:rsidRPr="00BD5EC6">
        <w:t xml:space="preserve"> hulladék bejelentéséhez HIR-ÉV-EPRTR </w:t>
      </w:r>
      <w:r w:rsidR="0013774D" w:rsidRPr="00BD5EC6">
        <w:t>•</w:t>
      </w:r>
      <w:r w:rsidR="0013774D" w:rsidRPr="00BD5EC6">
        <w:tab/>
        <w:t>Hulladék elszállítás bejelentő (E-PRTR) lap</w:t>
      </w:r>
      <w:r w:rsidR="00C63757" w:rsidRPr="00BD5EC6">
        <w:t xml:space="preserve"> </w:t>
      </w:r>
    </w:p>
    <w:p w:rsidR="00483A19" w:rsidRPr="00BD5EC6" w:rsidRDefault="00483A19" w:rsidP="0057298C">
      <w:pPr>
        <w:pStyle w:val="Listaszerbekezds"/>
        <w:ind w:left="0"/>
        <w:jc w:val="both"/>
      </w:pPr>
    </w:p>
    <w:p w:rsidR="00F80003" w:rsidRPr="00BD5EC6" w:rsidRDefault="00F80003" w:rsidP="00773794">
      <w:pPr>
        <w:jc w:val="both"/>
      </w:pPr>
      <w:r w:rsidRPr="00BD5EC6">
        <w:t>E-PRTR-A adatlap</w:t>
      </w:r>
      <w:r w:rsidR="00483A19" w:rsidRPr="00BD5EC6">
        <w:t xml:space="preserve"> (új, elektronizált)</w:t>
      </w:r>
    </w:p>
    <w:p w:rsidR="00483A19" w:rsidRPr="00BD5EC6" w:rsidRDefault="00483A19" w:rsidP="0057298C">
      <w:pPr>
        <w:pStyle w:val="Listaszerbekezds"/>
        <w:numPr>
          <w:ilvl w:val="0"/>
          <w:numId w:val="25"/>
        </w:numPr>
        <w:spacing w:after="0"/>
        <w:ind w:left="0" w:firstLine="0"/>
        <w:jc w:val="both"/>
      </w:pPr>
      <w:r w:rsidRPr="00BD5EC6">
        <w:t xml:space="preserve">Kitöltési útmutató az </w:t>
      </w:r>
      <w:r w:rsidR="00F80003" w:rsidRPr="00BD5EC6">
        <w:t>E-PRTR-A adatlap</w:t>
      </w:r>
      <w:r w:rsidRPr="00BD5EC6">
        <w:t>hoz</w:t>
      </w:r>
    </w:p>
    <w:p w:rsidR="00F80003" w:rsidRPr="00BD5EC6" w:rsidRDefault="00483A19" w:rsidP="0057298C">
      <w:pPr>
        <w:pStyle w:val="Listaszerbekezds"/>
        <w:numPr>
          <w:ilvl w:val="0"/>
          <w:numId w:val="25"/>
        </w:numPr>
        <w:spacing w:after="0"/>
        <w:ind w:left="0" w:firstLine="0"/>
        <w:jc w:val="both"/>
      </w:pPr>
      <w:r w:rsidRPr="00BD5EC6">
        <w:t>Az E-PRTR-A adatlaphoz</w:t>
      </w:r>
      <w:r w:rsidR="00F80003" w:rsidRPr="00BD5EC6">
        <w:t xml:space="preserve"> adattartalma (anyavállalat neve, termelési volumen, üzemelés szüneteltetésnek jelzése, (új)</w:t>
      </w:r>
    </w:p>
    <w:p w:rsidR="00E929D4" w:rsidRPr="00BD5EC6" w:rsidRDefault="00E929D4" w:rsidP="0081221D">
      <w:pPr>
        <w:spacing w:after="0"/>
        <w:jc w:val="both"/>
      </w:pPr>
    </w:p>
    <w:p w:rsidR="0013774D" w:rsidRPr="00BD5EC6" w:rsidRDefault="00541306" w:rsidP="008E2B53">
      <w:pPr>
        <w:spacing w:after="0"/>
        <w:ind w:hanging="426"/>
        <w:jc w:val="both"/>
        <w:rPr>
          <w:b/>
          <w:i/>
          <w:u w:val="single"/>
        </w:rPr>
      </w:pPr>
      <w:r w:rsidRPr="00BD5EC6">
        <w:rPr>
          <w:b/>
          <w:i/>
        </w:rPr>
        <w:t>8</w:t>
      </w:r>
      <w:r w:rsidR="001A7D06" w:rsidRPr="00BD5EC6">
        <w:rPr>
          <w:b/>
          <w:i/>
        </w:rPr>
        <w:t>.</w:t>
      </w:r>
      <w:r w:rsidR="001A7D06" w:rsidRPr="00BD5EC6">
        <w:rPr>
          <w:b/>
          <w:i/>
        </w:rPr>
        <w:tab/>
      </w:r>
      <w:r w:rsidR="0013774D" w:rsidRPr="00BD5EC6">
        <w:rPr>
          <w:b/>
          <w:i/>
          <w:u w:val="single"/>
        </w:rPr>
        <w:t>8. cikk</w:t>
      </w:r>
      <w:r w:rsidR="008E2B53" w:rsidRPr="00BD5EC6">
        <w:rPr>
          <w:b/>
          <w:i/>
          <w:u w:val="single"/>
        </w:rPr>
        <w:t xml:space="preserve"> a jelentéstételi ciklus</w:t>
      </w:r>
    </w:p>
    <w:p w:rsidR="00E929D4" w:rsidRPr="00BD5EC6" w:rsidRDefault="00E929D4" w:rsidP="00E929D4">
      <w:pPr>
        <w:spacing w:after="0"/>
        <w:jc w:val="both"/>
      </w:pPr>
    </w:p>
    <w:p w:rsidR="0013774D" w:rsidRPr="00BD5EC6" w:rsidRDefault="00F86CA4" w:rsidP="00F86CA4">
      <w:pPr>
        <w:jc w:val="both"/>
        <w:rPr>
          <w:i/>
        </w:rPr>
      </w:pPr>
      <w:r w:rsidRPr="00BD5EC6">
        <w:rPr>
          <w:i/>
        </w:rPr>
        <w:t xml:space="preserve">Az utolsó nemzeti végrehajtási jelentés (vagy a </w:t>
      </w:r>
      <w:r w:rsidR="005E2DC0" w:rsidRPr="00BD5EC6">
        <w:rPr>
          <w:i/>
        </w:rPr>
        <w:t>JK</w:t>
      </w:r>
      <w:r w:rsidRPr="00BD5EC6">
        <w:rPr>
          <w:i/>
        </w:rPr>
        <w:t xml:space="preserve"> hatályba lépésének időpontja) óta minden egyes jelentéstételi ciklus esetében, </w:t>
      </w:r>
      <w:proofErr w:type="gramStart"/>
      <w:r w:rsidRPr="00BD5EC6">
        <w:rPr>
          <w:i/>
        </w:rPr>
        <w:t>kérjük</w:t>
      </w:r>
      <w:proofErr w:type="gramEnd"/>
      <w:r w:rsidRPr="00BD5EC6">
        <w:rPr>
          <w:i/>
        </w:rPr>
        <w:t xml:space="preserve"> adja meg a következőket:</w:t>
      </w:r>
    </w:p>
    <w:p w:rsidR="00F86CA4" w:rsidRPr="00BD5EC6" w:rsidRDefault="00F86CA4" w:rsidP="00F86CA4">
      <w:pPr>
        <w:jc w:val="both"/>
        <w:rPr>
          <w:i/>
        </w:rPr>
      </w:pPr>
      <w:r w:rsidRPr="00BD5EC6">
        <w:rPr>
          <w:i/>
        </w:rPr>
        <w:t>(a)</w:t>
      </w:r>
      <w:r w:rsidRPr="00BD5EC6">
        <w:rPr>
          <w:i/>
        </w:rPr>
        <w:tab/>
      </w:r>
      <w:proofErr w:type="spellStart"/>
      <w:proofErr w:type="gramStart"/>
      <w:r w:rsidRPr="00BD5EC6">
        <w:rPr>
          <w:i/>
        </w:rPr>
        <w:t>A</w:t>
      </w:r>
      <w:proofErr w:type="spellEnd"/>
      <w:proofErr w:type="gramEnd"/>
      <w:r w:rsidRPr="00BD5EC6">
        <w:rPr>
          <w:i/>
        </w:rPr>
        <w:t xml:space="preserve"> jelentéstétel éve (az a naptári év, amire a lejelentett információ vonatkozik);</w:t>
      </w:r>
    </w:p>
    <w:p w:rsidR="00525957" w:rsidRPr="00BD5EC6" w:rsidRDefault="004B0D56" w:rsidP="004B0D56">
      <w:pPr>
        <w:spacing w:after="0"/>
        <w:ind w:firstLine="709"/>
        <w:jc w:val="both"/>
        <w:rPr>
          <w:b/>
        </w:rPr>
      </w:pPr>
      <w:r w:rsidRPr="00BD5EC6">
        <w:rPr>
          <w:b/>
        </w:rPr>
        <w:t>2007; 2008; 2009;</w:t>
      </w:r>
      <w:r w:rsidR="00525957" w:rsidRPr="00BD5EC6">
        <w:rPr>
          <w:b/>
        </w:rPr>
        <w:t>2010;2011</w:t>
      </w:r>
      <w:r w:rsidR="004B1334" w:rsidRPr="00BD5EC6">
        <w:rPr>
          <w:b/>
        </w:rPr>
        <w:t>;</w:t>
      </w:r>
      <w:r w:rsidR="000B0694" w:rsidRPr="00BD5EC6">
        <w:rPr>
          <w:b/>
        </w:rPr>
        <w:t xml:space="preserve"> 2012;2013; 2014;2015;</w:t>
      </w:r>
    </w:p>
    <w:p w:rsidR="00525957" w:rsidRPr="00BD5EC6" w:rsidRDefault="00525957" w:rsidP="00525957">
      <w:pPr>
        <w:spacing w:after="0"/>
        <w:jc w:val="both"/>
      </w:pPr>
    </w:p>
    <w:p w:rsidR="00F86CA4" w:rsidRPr="00BD5EC6" w:rsidRDefault="00F86CA4" w:rsidP="00F86CA4">
      <w:pPr>
        <w:jc w:val="both"/>
        <w:rPr>
          <w:i/>
        </w:rPr>
      </w:pPr>
      <w:r w:rsidRPr="00BD5EC6">
        <w:rPr>
          <w:i/>
        </w:rPr>
        <w:t>(b)</w:t>
      </w:r>
      <w:r w:rsidRPr="00BD5EC6">
        <w:rPr>
          <w:i/>
        </w:rPr>
        <w:tab/>
      </w:r>
      <w:proofErr w:type="gramStart"/>
      <w:r w:rsidRPr="00BD5EC6">
        <w:rPr>
          <w:i/>
        </w:rPr>
        <w:t>Az(</w:t>
      </w:r>
      <w:proofErr w:type="gramEnd"/>
      <w:r w:rsidRPr="00BD5EC6">
        <w:rPr>
          <w:i/>
        </w:rPr>
        <w:t>ok) a határidő(k), amely(</w:t>
      </w:r>
      <w:proofErr w:type="spellStart"/>
      <w:r w:rsidRPr="00BD5EC6">
        <w:rPr>
          <w:i/>
        </w:rPr>
        <w:t>ek</w:t>
      </w:r>
      <w:proofErr w:type="spellEnd"/>
      <w:r w:rsidRPr="00BD5EC6">
        <w:rPr>
          <w:i/>
        </w:rPr>
        <w:t>)en belül az üzemek tulajdonosainak vagy üzemeltetőinek be kellett adniuk jelentésüket az illetékes hatóságnak;</w:t>
      </w:r>
    </w:p>
    <w:p w:rsidR="00525957" w:rsidRPr="00BD5EC6" w:rsidRDefault="00C20154" w:rsidP="00F86CA4">
      <w:pPr>
        <w:jc w:val="both"/>
      </w:pPr>
      <w:r w:rsidRPr="00BD5EC6">
        <w:t>A PRTR szempontból releváns szakterületi jogszabályokban előírt adatszolgáltatás határideje az üzemeltető részére a</w:t>
      </w:r>
      <w:r w:rsidR="00811E0F" w:rsidRPr="00BD5EC6">
        <w:t>z adatszolgáltatásra vonatkozó</w:t>
      </w:r>
      <w:r w:rsidRPr="00BD5EC6">
        <w:t xml:space="preserve"> jelentési évet követő év március 31. Kivéve a hulladékos szakterületet, ahol március 1</w:t>
      </w:r>
      <w:proofErr w:type="gramStart"/>
      <w:r w:rsidRPr="00BD5EC6">
        <w:t>.,</w:t>
      </w:r>
      <w:proofErr w:type="gramEnd"/>
      <w:r w:rsidRPr="00BD5EC6">
        <w:t xml:space="preserve"> amely határidőre </w:t>
      </w:r>
      <w:r w:rsidR="00525957" w:rsidRPr="00BD5EC6">
        <w:t xml:space="preserve">az üzemeltetőnek jelentést kell benyújtania az illetékes </w:t>
      </w:r>
      <w:r w:rsidR="000B0694" w:rsidRPr="00BD5EC6">
        <w:t>Fővárosi és Megyei Kormányhivatal  (lásd bővebben 2. pont B bekezdés)</w:t>
      </w:r>
      <w:r w:rsidR="00525957" w:rsidRPr="00BD5EC6">
        <w:t xml:space="preserve"> (</w:t>
      </w:r>
      <w:r w:rsidR="0057298C" w:rsidRPr="00BD5EC6">
        <w:t xml:space="preserve">területi környezetvédelmi </w:t>
      </w:r>
      <w:r w:rsidR="00525957" w:rsidRPr="00BD5EC6">
        <w:t xml:space="preserve"> hatóság) részére</w:t>
      </w:r>
      <w:r w:rsidR="004B1334" w:rsidRPr="00BD5EC6">
        <w:t>.</w:t>
      </w:r>
    </w:p>
    <w:p w:rsidR="00F86CA4" w:rsidRPr="00BD5EC6" w:rsidRDefault="00F86CA4" w:rsidP="00F86CA4">
      <w:pPr>
        <w:jc w:val="both"/>
      </w:pPr>
      <w:r w:rsidRPr="00BD5EC6">
        <w:t>(c)</w:t>
      </w:r>
      <w:r w:rsidRPr="00BD5EC6">
        <w:tab/>
        <w:t>Az az időpont, ameddig az információt a 8. cikk (Jelentéstételi ciklus) előírásaira tekintettel nyilvánosan hozzáférhetővé kellett tenni a nyilvántartásban;</w:t>
      </w:r>
    </w:p>
    <w:p w:rsidR="00525957" w:rsidRPr="00BD5EC6" w:rsidRDefault="00525957" w:rsidP="004B1334">
      <w:pPr>
        <w:jc w:val="center"/>
        <w:rPr>
          <w:color w:val="00B050"/>
        </w:rPr>
      </w:pPr>
      <w:r w:rsidRPr="00BD5EC6">
        <w:t>Minden év március 31.</w:t>
      </w:r>
      <w:r w:rsidR="00EE678A" w:rsidRPr="00BD5EC6">
        <w:t xml:space="preserve"> ( A jelentési év végétől számított 15 hónapon belül)</w:t>
      </w:r>
      <w:r w:rsidR="004B1334" w:rsidRPr="00BD5EC6">
        <w:t>.</w:t>
      </w:r>
    </w:p>
    <w:p w:rsidR="00F86CA4" w:rsidRPr="00BD5EC6" w:rsidRDefault="00F86CA4" w:rsidP="00F86CA4">
      <w:pPr>
        <w:jc w:val="both"/>
        <w:rPr>
          <w:i/>
        </w:rPr>
      </w:pPr>
      <w:r w:rsidRPr="00BD5EC6">
        <w:rPr>
          <w:i/>
        </w:rPr>
        <w:t>(d)</w:t>
      </w:r>
      <w:r w:rsidRPr="00BD5EC6">
        <w:rPr>
          <w:i/>
        </w:rPr>
        <w:tab/>
        <w:t>Vajon az üzemek jelentéstételére és az információknak a nyilvántartásban való nyilvános hozzáférhetőségére vonatkozó különféle határidőket a gyakorlatban betartották-e; és ha késés volt, mik voltak az okai;</w:t>
      </w:r>
    </w:p>
    <w:p w:rsidR="00525957" w:rsidRPr="00BD5EC6" w:rsidRDefault="00C20154" w:rsidP="00F86CA4">
      <w:pPr>
        <w:jc w:val="both"/>
      </w:pPr>
      <w:r w:rsidRPr="00BD5EC6">
        <w:t xml:space="preserve">Az </w:t>
      </w:r>
      <w:r w:rsidR="00811E0F" w:rsidRPr="00BD5EC6">
        <w:t>üzemeltetők</w:t>
      </w:r>
      <w:r w:rsidR="004372E2" w:rsidRPr="00BD5EC6">
        <w:t xml:space="preserve"> </w:t>
      </w:r>
      <w:r w:rsidR="00811E0F" w:rsidRPr="00BD5EC6">
        <w:t xml:space="preserve">az elmúlt </w:t>
      </w:r>
      <w:r w:rsidR="00E91370" w:rsidRPr="00BD5EC6">
        <w:t>9</w:t>
      </w:r>
      <w:r w:rsidRPr="00BD5EC6">
        <w:t xml:space="preserve"> jelentési ciklus </w:t>
      </w:r>
      <w:r w:rsidR="00811E0F" w:rsidRPr="00BD5EC6">
        <w:t xml:space="preserve">tapasztalatai </w:t>
      </w:r>
      <w:r w:rsidRPr="00BD5EC6">
        <w:t xml:space="preserve">alapján </w:t>
      </w:r>
      <w:r w:rsidR="00811E0F" w:rsidRPr="00BD5EC6">
        <w:t xml:space="preserve">általánosan </w:t>
      </w:r>
      <w:r w:rsidRPr="00BD5EC6">
        <w:t xml:space="preserve">az adatszolgáltatás határidejét betartják. </w:t>
      </w:r>
      <w:r w:rsidR="00F24FBA" w:rsidRPr="00BD5EC6">
        <w:t>E</w:t>
      </w:r>
      <w:r w:rsidRPr="00BD5EC6">
        <w:t>lőfordul</w:t>
      </w:r>
      <w:r w:rsidR="00BD1BD4" w:rsidRPr="00BD5EC6">
        <w:t>t</w:t>
      </w:r>
      <w:r w:rsidRPr="00BD5EC6">
        <w:t xml:space="preserve"> azonban, hogy az üzemeltető néhány </w:t>
      </w:r>
      <w:proofErr w:type="gramStart"/>
      <w:r w:rsidRPr="00BD5EC6">
        <w:t>esetben  a</w:t>
      </w:r>
      <w:proofErr w:type="gramEnd"/>
      <w:r w:rsidRPr="00BD5EC6">
        <w:t xml:space="preserve"> jogszabályban előírt határidő</w:t>
      </w:r>
      <w:r w:rsidR="00264D71" w:rsidRPr="00BD5EC6">
        <w:t>t nem tartotta be</w:t>
      </w:r>
      <w:r w:rsidRPr="00BD5EC6">
        <w:t xml:space="preserve">, melynek </w:t>
      </w:r>
      <w:proofErr w:type="spellStart"/>
      <w:r w:rsidRPr="00BD5EC6">
        <w:t>okaaz</w:t>
      </w:r>
      <w:proofErr w:type="spellEnd"/>
      <w:r w:rsidRPr="00BD5EC6">
        <w:t xml:space="preserve"> üzemeltető  hanyagságában rejl</w:t>
      </w:r>
      <w:r w:rsidR="00BD1BD4" w:rsidRPr="00BD5EC6">
        <w:t>ett</w:t>
      </w:r>
      <w:r w:rsidRPr="00BD5EC6">
        <w:t>.</w:t>
      </w:r>
      <w:r w:rsidR="00BD1BD4" w:rsidRPr="00BD5EC6">
        <w:t xml:space="preserve"> A</w:t>
      </w:r>
      <w:r w:rsidR="00264D71" w:rsidRPr="00BD5EC6">
        <w:t xml:space="preserve"> határidő elmulasztásának másik ok</w:t>
      </w:r>
      <w:r w:rsidR="00B8435D" w:rsidRPr="00BD5EC6">
        <w:t>a</w:t>
      </w:r>
      <w:r w:rsidR="00264D71" w:rsidRPr="00BD5EC6">
        <w:t xml:space="preserve"> a</w:t>
      </w:r>
      <w:r w:rsidR="00BD1BD4" w:rsidRPr="00BD5EC6">
        <w:t>z elektronikus adatszolgáltatásra való átállásból adódó problémákból eredt.</w:t>
      </w:r>
      <w:r w:rsidRPr="00BD5EC6">
        <w:t xml:space="preserve"> Ezeket a problémákat a </w:t>
      </w:r>
      <w:r w:rsidR="004B1334" w:rsidRPr="00BD5EC6">
        <w:t>h</w:t>
      </w:r>
      <w:r w:rsidRPr="00BD5EC6">
        <w:t>atóság kellő odafigyeléssel, az üzemeltetővel való egyeztetéssel időben orvosol</w:t>
      </w:r>
      <w:r w:rsidR="00BD1BD4" w:rsidRPr="00BD5EC6">
        <w:t>ta</w:t>
      </w:r>
      <w:proofErr w:type="gramStart"/>
      <w:r w:rsidR="00BD1BD4" w:rsidRPr="00BD5EC6">
        <w:t>.</w:t>
      </w:r>
      <w:r w:rsidRPr="00BD5EC6">
        <w:t>.</w:t>
      </w:r>
      <w:proofErr w:type="gramEnd"/>
    </w:p>
    <w:p w:rsidR="00F86CA4" w:rsidRPr="00BD5EC6" w:rsidRDefault="00F86CA4" w:rsidP="00F86CA4">
      <w:pPr>
        <w:jc w:val="both"/>
        <w:rPr>
          <w:i/>
        </w:rPr>
      </w:pPr>
      <w:r w:rsidRPr="00BD5EC6">
        <w:rPr>
          <w:i/>
        </w:rPr>
        <w:t>(e)</w:t>
      </w:r>
      <w:r w:rsidRPr="00BD5EC6">
        <w:rPr>
          <w:i/>
        </w:rPr>
        <w:tab/>
        <w:t xml:space="preserve">Vajon használtak-e elektronikus jelentéstételi módszereket a nemzeti nyilvántartásban megkövetelt információk beépítése érdekében, és ha használtak ilyen módszereket, akkor az üzemek általi elektronikus jelentéstétel aránya, valamint az ilyen jelentéstételt elősegítő </w:t>
      </w:r>
      <w:r w:rsidR="00811E0F" w:rsidRPr="00BD5EC6">
        <w:rPr>
          <w:i/>
        </w:rPr>
        <w:t>szoftveralkalmazások</w:t>
      </w:r>
      <w:r w:rsidRPr="00BD5EC6">
        <w:rPr>
          <w:i/>
        </w:rPr>
        <w:t>.</w:t>
      </w:r>
    </w:p>
    <w:p w:rsidR="00F86CA4" w:rsidRPr="00BD5EC6" w:rsidRDefault="00F86CA4" w:rsidP="00F86CA4">
      <w:pPr>
        <w:jc w:val="both"/>
      </w:pPr>
    </w:p>
    <w:p w:rsidR="00BD1BD4" w:rsidRPr="00BD5EC6" w:rsidRDefault="00264D71" w:rsidP="00F86CA4">
      <w:pPr>
        <w:jc w:val="both"/>
      </w:pPr>
      <w:r w:rsidRPr="00BD5EC6">
        <w:rPr>
          <w:rFonts w:eastAsia="Times New Roman" w:cs="Times New Roman"/>
          <w:bCs/>
        </w:rPr>
        <w:t xml:space="preserve">2015. január 1-től az OKIR továbbfejlesztése révén a PRTR rendelethez tartozó adatszolgáltatások kizárólagosan elektronikusan teljesíthetők. (lásd bővebben: 2. pont </w:t>
      </w:r>
      <w:proofErr w:type="gramStart"/>
      <w:r w:rsidRPr="00BD5EC6">
        <w:rPr>
          <w:rFonts w:eastAsia="Times New Roman" w:cs="Times New Roman"/>
          <w:bCs/>
        </w:rPr>
        <w:t>A</w:t>
      </w:r>
      <w:proofErr w:type="gramEnd"/>
      <w:r w:rsidRPr="00BD5EC6">
        <w:rPr>
          <w:rFonts w:eastAsia="Times New Roman" w:cs="Times New Roman"/>
          <w:bCs/>
        </w:rPr>
        <w:t>., bekezdés), így teljesen megszűnt a papír alapú adatszolgáltatás.</w:t>
      </w:r>
    </w:p>
    <w:p w:rsidR="00F86CA4" w:rsidRPr="00BD5EC6" w:rsidRDefault="00541306" w:rsidP="00811E0F">
      <w:pPr>
        <w:spacing w:after="0"/>
        <w:ind w:hanging="426"/>
        <w:jc w:val="both"/>
        <w:rPr>
          <w:b/>
          <w:i/>
          <w:u w:val="single"/>
        </w:rPr>
      </w:pPr>
      <w:r w:rsidRPr="00BD5EC6">
        <w:rPr>
          <w:b/>
          <w:i/>
        </w:rPr>
        <w:t>9</w:t>
      </w:r>
      <w:r w:rsidR="001A7D06" w:rsidRPr="00BD5EC6">
        <w:rPr>
          <w:b/>
          <w:i/>
        </w:rPr>
        <w:t>.</w:t>
      </w:r>
      <w:r w:rsidR="001A7D06" w:rsidRPr="00BD5EC6">
        <w:rPr>
          <w:b/>
          <w:i/>
        </w:rPr>
        <w:tab/>
      </w:r>
      <w:r w:rsidR="00F86CA4" w:rsidRPr="00BD5EC6">
        <w:rPr>
          <w:b/>
          <w:i/>
          <w:u w:val="single"/>
        </w:rPr>
        <w:t>9</w:t>
      </w:r>
      <w:proofErr w:type="gramStart"/>
      <w:r w:rsidR="00F86CA4" w:rsidRPr="00BD5EC6">
        <w:rPr>
          <w:b/>
          <w:i/>
          <w:u w:val="single"/>
        </w:rPr>
        <w:t>.cikk</w:t>
      </w:r>
      <w:proofErr w:type="gramEnd"/>
      <w:r w:rsidR="00EE0531" w:rsidRPr="00BD5EC6">
        <w:rPr>
          <w:b/>
          <w:i/>
          <w:u w:val="single"/>
        </w:rPr>
        <w:t xml:space="preserve"> az adatgyűjtés és a nyilvántartásba vétel</w:t>
      </w:r>
    </w:p>
    <w:p w:rsidR="00EE0531" w:rsidRPr="00BD5EC6" w:rsidRDefault="00EE0531" w:rsidP="00811E0F">
      <w:pPr>
        <w:spacing w:after="0"/>
        <w:ind w:hanging="426"/>
        <w:jc w:val="both"/>
      </w:pPr>
    </w:p>
    <w:p w:rsidR="00F86CA4" w:rsidRPr="00BD5EC6" w:rsidRDefault="00F86CA4" w:rsidP="00F86CA4">
      <w:pPr>
        <w:jc w:val="both"/>
        <w:rPr>
          <w:i/>
        </w:rPr>
      </w:pPr>
      <w:r w:rsidRPr="00BD5EC6">
        <w:rPr>
          <w:i/>
        </w:rPr>
        <w:t>Ismertesse azokat a jogalkotási, szabályozási és egyéb intézkedéseket, amelyek az adatgyűjtést és a nyilvántartás vezetését biztosítják, és megállapítják a kibocsátásokkal és szállításokkal kapcsolatos információk begyűjtése során felhasznált módszerek típusait a 9. cikkel (adatgyűjtés és nyilvántartás) összhangban.</w:t>
      </w:r>
    </w:p>
    <w:p w:rsidR="0054364C" w:rsidRPr="00BD5EC6" w:rsidRDefault="0054364C" w:rsidP="0054364C">
      <w:pPr>
        <w:jc w:val="both"/>
      </w:pPr>
      <w:r w:rsidRPr="00BD5EC6">
        <w:t xml:space="preserve">A </w:t>
      </w:r>
      <w:r w:rsidR="00F24FBA" w:rsidRPr="00BD5EC6">
        <w:t xml:space="preserve">területi környezetvédelmi </w:t>
      </w:r>
      <w:proofErr w:type="gramStart"/>
      <w:r w:rsidR="00F24FBA" w:rsidRPr="00BD5EC6">
        <w:t>hatóság</w:t>
      </w:r>
      <w:r w:rsidR="00F24FBA" w:rsidRPr="00BD5EC6" w:rsidDel="00855F27">
        <w:t xml:space="preserve"> </w:t>
      </w:r>
      <w:r w:rsidR="00970D0E" w:rsidRPr="00BD5EC6">
        <w:t xml:space="preserve"> </w:t>
      </w:r>
      <w:r w:rsidRPr="00BD5EC6">
        <w:t>felelős</w:t>
      </w:r>
      <w:proofErr w:type="gramEnd"/>
      <w:r w:rsidRPr="00BD5EC6">
        <w:t xml:space="preserve"> az E-PRTR szempontjából a szakterületi adatok összegyűjtéséért, az üzemeltetővel való kapcsolattartásért, az adatok Országos Környezeti Információs Rendszerbe </w:t>
      </w:r>
      <w:r w:rsidR="00C803D4" w:rsidRPr="00BD5EC6">
        <w:t xml:space="preserve">(OKIR) </w:t>
      </w:r>
      <w:r w:rsidRPr="00BD5EC6">
        <w:t>való beviteléért</w:t>
      </w:r>
      <w:r w:rsidR="00704E97" w:rsidRPr="00BD5EC6">
        <w:t>.</w:t>
      </w:r>
    </w:p>
    <w:p w:rsidR="00F86CA4" w:rsidRPr="00BD5EC6" w:rsidRDefault="001A7D06" w:rsidP="00F86CA4">
      <w:pPr>
        <w:jc w:val="both"/>
      </w:pPr>
      <w:r w:rsidRPr="00BD5EC6">
        <w:t xml:space="preserve">A PRTR adatgyűjtés és nyilvántartás létesítésével kapcsolatban született jogalkotási, szabályozási és egyéb intézkedések </w:t>
      </w:r>
      <w:r w:rsidR="0054364C" w:rsidRPr="00BD5EC6">
        <w:t>az</w:t>
      </w:r>
      <w:r w:rsidRPr="00BD5EC6">
        <w:t xml:space="preserve"> </w:t>
      </w:r>
      <w:r w:rsidR="004372E2" w:rsidRPr="00BD5EC6">
        <w:t>4</w:t>
      </w:r>
      <w:r w:rsidRPr="00BD5EC6">
        <w:t xml:space="preserve">. és </w:t>
      </w:r>
      <w:r w:rsidR="004372E2" w:rsidRPr="00BD5EC6">
        <w:t>5</w:t>
      </w:r>
      <w:r w:rsidRPr="00BD5EC6">
        <w:t>. pont alatt</w:t>
      </w:r>
      <w:r w:rsidR="0054364C" w:rsidRPr="00BD5EC6">
        <w:t xml:space="preserve"> található</w:t>
      </w:r>
      <w:r w:rsidR="00EE0531" w:rsidRPr="00BD5EC6">
        <w:t>ak</w:t>
      </w:r>
      <w:r w:rsidRPr="00BD5EC6">
        <w:t>.</w:t>
      </w:r>
    </w:p>
    <w:p w:rsidR="0019125B" w:rsidRPr="00BD5EC6" w:rsidRDefault="0019125B" w:rsidP="0046420F">
      <w:pPr>
        <w:jc w:val="both"/>
      </w:pPr>
      <w:r w:rsidRPr="00BD5EC6">
        <w:t xml:space="preserve">A PRTR jelentésben szolgáltatott adatok minőségét, egyrészt a környezet védelméről szóló 1995. évi LIII. Törvény, másrészt pedig a vonatkozó szakterületi jogszabályok előírásai biztosítják. A törvény 49. § (1) </w:t>
      </w:r>
      <w:r w:rsidR="004B1334" w:rsidRPr="00BD5EC6">
        <w:t xml:space="preserve">bekezdése </w:t>
      </w:r>
      <w:r w:rsidRPr="00BD5EC6">
        <w:t xml:space="preserve">kimondja, hogy „a környezet állapotának és használatának figyelemmel kísérésére, igénybevételi és terhelési adatainak mérésére, gyűjtésére, feldolgozására és nyilvántartására a miniszter - a Kormány által meghatározottak szerint - mérő-, észlelő-, ellenőrző (monitoring) hálózatot, </w:t>
      </w:r>
      <w:r w:rsidR="0046420F" w:rsidRPr="00BD5EC6">
        <w:t>Országos Környezetvédelmi Információs Rendszert (a továbbiakban együtt: Információs Rendszer) létesít és működtet</w:t>
      </w:r>
      <w:proofErr w:type="gramStart"/>
      <w:r w:rsidR="0046420F" w:rsidRPr="00BD5EC6">
        <w:t>.</w:t>
      </w:r>
      <w:r w:rsidRPr="00BD5EC6">
        <w:t>.</w:t>
      </w:r>
      <w:proofErr w:type="gramEnd"/>
      <w:r w:rsidRPr="00BD5EC6">
        <w:t xml:space="preserve"> </w:t>
      </w:r>
    </w:p>
    <w:p w:rsidR="0046420F" w:rsidRPr="00BD5EC6" w:rsidRDefault="0046420F" w:rsidP="0046420F">
      <w:pPr>
        <w:jc w:val="both"/>
      </w:pPr>
      <w:r w:rsidRPr="00BD5EC6">
        <w:t>A 1995. évi LIII. Törvény 50. § írja elő az adatszolgáltatást,50/</w:t>
      </w:r>
      <w:proofErr w:type="gramStart"/>
      <w:r w:rsidRPr="00BD5EC6">
        <w:t>A</w:t>
      </w:r>
      <w:proofErr w:type="gramEnd"/>
      <w:r w:rsidRPr="00BD5EC6">
        <w:t xml:space="preserve"> §</w:t>
      </w:r>
      <w:proofErr w:type="spellStart"/>
      <w:r w:rsidRPr="00BD5EC6">
        <w:t>-a</w:t>
      </w:r>
      <w:proofErr w:type="spellEnd"/>
      <w:r w:rsidRPr="00BD5EC6">
        <w:t xml:space="preserve"> mutatja be a publikus felületet.</w:t>
      </w:r>
    </w:p>
    <w:p w:rsidR="0046420F" w:rsidRPr="00BD5EC6" w:rsidRDefault="0046420F" w:rsidP="00B71177">
      <w:pPr>
        <w:spacing w:before="100" w:beforeAutospacing="1" w:after="100" w:afterAutospacing="1"/>
        <w:ind w:firstLine="240"/>
        <w:jc w:val="both"/>
      </w:pPr>
      <w:r w:rsidRPr="00BD5EC6">
        <w:rPr>
          <w:b/>
          <w:bCs/>
        </w:rPr>
        <w:t xml:space="preserve">50. § </w:t>
      </w:r>
      <w:r w:rsidRPr="00BD5EC6">
        <w:t>(1) A környezethasználó köteles a tevékenysége során okozott környezetterhelést, környezet-igénybevételt - jogszabályban meghatározott módon - mérni, vagy technológiai számítással alátámasztani, nyilvántartani, nyilvántartását a hatáskörrel és illetékességgel rendelkező hatóságok rendelkezésére bocsátani, illetőleg adatszolgáltatást teljesíteni.</w:t>
      </w:r>
    </w:p>
    <w:p w:rsidR="0046420F" w:rsidRPr="00BD5EC6" w:rsidRDefault="0046420F" w:rsidP="00B71177">
      <w:pPr>
        <w:spacing w:before="100" w:beforeAutospacing="1" w:after="100" w:afterAutospacing="1"/>
        <w:ind w:firstLine="240"/>
        <w:jc w:val="both"/>
      </w:pPr>
      <w:r w:rsidRPr="00BD5EC6">
        <w:t>(1a</w:t>
      </w:r>
      <w:r w:rsidR="0015003B" w:rsidRPr="00BD5EC6">
        <w:t xml:space="preserve">) </w:t>
      </w:r>
      <w:r w:rsidRPr="00BD5EC6">
        <w:t>Az elektronikus ügyintézés és a bizalmi szolgáltatások általános szabályairól szóló 2015. évi CCXXII. törvény szerinti gazdálkodó szervezet környezethasználó az Információs Rendszerrel kapcsolatos adatszolgáltatási kötelezettségeit elektronikusan teljesíti.</w:t>
      </w:r>
    </w:p>
    <w:p w:rsidR="0046420F" w:rsidRPr="00BD5EC6" w:rsidRDefault="0046420F" w:rsidP="00B71177">
      <w:pPr>
        <w:spacing w:before="100" w:beforeAutospacing="1" w:after="100" w:afterAutospacing="1"/>
        <w:ind w:firstLine="240"/>
        <w:jc w:val="both"/>
      </w:pPr>
      <w:r w:rsidRPr="00BD5EC6">
        <w:t>(1b) Az (1a) bekezdés szerinti adatszolgáltatás rendjét meghatározó tájékoztatót, továbbá az adatszolgáltatás teljesítéséhez szükséges elektronikus űrlapokat az 51/</w:t>
      </w:r>
      <w:proofErr w:type="gramStart"/>
      <w:r w:rsidRPr="00BD5EC6">
        <w:t>A</w:t>
      </w:r>
      <w:proofErr w:type="gramEnd"/>
      <w:r w:rsidRPr="00BD5EC6">
        <w:t>. § szerinti publikus felületen közzé kell tenni.</w:t>
      </w:r>
    </w:p>
    <w:p w:rsidR="0046420F" w:rsidRPr="00BD5EC6" w:rsidRDefault="0046420F" w:rsidP="00B71177">
      <w:pPr>
        <w:spacing w:before="100" w:beforeAutospacing="1" w:after="100" w:afterAutospacing="1"/>
        <w:ind w:firstLine="240"/>
        <w:jc w:val="both"/>
      </w:pPr>
      <w:r w:rsidRPr="00BD5EC6">
        <w:rPr>
          <w:b/>
          <w:bCs/>
        </w:rPr>
        <w:t xml:space="preserve">51/A. § </w:t>
      </w:r>
      <w:r w:rsidRPr="00BD5EC6">
        <w:t>(1) A környezeti információk nyilvánosság részére való széles körű rendelkezésre bocsátása céljából az Információs Rendszer interneten elérhető, nyilvános információs felülettel (a továbbiakban: publikus felület) rendelkezik. A publikus felület, illetve az itt tárolt adat bárki számára korlátozás- és térítésmentesen hozzáférhető, megismerhető.</w:t>
      </w:r>
    </w:p>
    <w:p w:rsidR="0046420F" w:rsidRPr="00BD5EC6" w:rsidRDefault="0046420F" w:rsidP="00B71177">
      <w:pPr>
        <w:spacing w:after="0" w:line="360" w:lineRule="auto"/>
        <w:ind w:firstLine="238"/>
        <w:jc w:val="both"/>
      </w:pPr>
      <w:r w:rsidRPr="00BD5EC6">
        <w:t>(2) A publikus felületen törvényben vagy kormányrendeletben meghatározott,</w:t>
      </w:r>
    </w:p>
    <w:p w:rsidR="0046420F" w:rsidRPr="00BD5EC6" w:rsidRDefault="0046420F" w:rsidP="00B71177">
      <w:pPr>
        <w:spacing w:after="0" w:line="360" w:lineRule="auto"/>
        <w:ind w:firstLine="238"/>
        <w:jc w:val="both"/>
      </w:pPr>
      <w:proofErr w:type="gramStart"/>
      <w:r w:rsidRPr="00BD5EC6">
        <w:rPr>
          <w:i/>
          <w:iCs/>
        </w:rPr>
        <w:t>a</w:t>
      </w:r>
      <w:proofErr w:type="gramEnd"/>
      <w:r w:rsidRPr="00BD5EC6">
        <w:rPr>
          <w:i/>
          <w:iCs/>
        </w:rPr>
        <w:t xml:space="preserve">) </w:t>
      </w:r>
      <w:proofErr w:type="spellStart"/>
      <w:r w:rsidRPr="00BD5EC6">
        <w:t>a</w:t>
      </w:r>
      <w:proofErr w:type="spellEnd"/>
      <w:r w:rsidRPr="00BD5EC6">
        <w:t xml:space="preserve"> környezet és annak elemei állapotával,</w:t>
      </w:r>
    </w:p>
    <w:p w:rsidR="0046420F" w:rsidRPr="00BD5EC6" w:rsidRDefault="0046420F" w:rsidP="00B71177">
      <w:pPr>
        <w:spacing w:after="0" w:line="360" w:lineRule="auto"/>
        <w:ind w:firstLine="238"/>
        <w:jc w:val="both"/>
      </w:pPr>
      <w:r w:rsidRPr="00BD5EC6">
        <w:rPr>
          <w:i/>
          <w:iCs/>
        </w:rPr>
        <w:t xml:space="preserve">b) </w:t>
      </w:r>
      <w:r w:rsidRPr="00BD5EC6">
        <w:t>a környezet igénybevettségével, használatával, terhelésével, szennyezettségével, károsodásával,</w:t>
      </w:r>
    </w:p>
    <w:p w:rsidR="0046420F" w:rsidRPr="00BD5EC6" w:rsidRDefault="0046420F" w:rsidP="00B71177">
      <w:pPr>
        <w:spacing w:after="0" w:line="360" w:lineRule="auto"/>
        <w:ind w:firstLine="238"/>
        <w:jc w:val="both"/>
      </w:pPr>
      <w:r w:rsidRPr="00BD5EC6">
        <w:rPr>
          <w:i/>
          <w:iCs/>
        </w:rPr>
        <w:t xml:space="preserve">c) </w:t>
      </w:r>
      <w:r w:rsidRPr="00BD5EC6">
        <w:t>a környezetre hatást gyakorló tevékenységekkel és létesítményekkel, és</w:t>
      </w:r>
    </w:p>
    <w:p w:rsidR="0046420F" w:rsidRPr="00BD5EC6" w:rsidRDefault="0046420F" w:rsidP="00B71177">
      <w:pPr>
        <w:spacing w:after="0" w:line="360" w:lineRule="auto"/>
        <w:ind w:firstLine="238"/>
        <w:jc w:val="both"/>
      </w:pPr>
      <w:r w:rsidRPr="00BD5EC6">
        <w:rPr>
          <w:i/>
          <w:iCs/>
        </w:rPr>
        <w:t xml:space="preserve">d) </w:t>
      </w:r>
      <w:r w:rsidRPr="00BD5EC6">
        <w:t>a környezet- és természetvédelmi szempontból jelentős objektumokkal</w:t>
      </w:r>
    </w:p>
    <w:p w:rsidR="0046420F" w:rsidRPr="00BD5EC6" w:rsidRDefault="0046420F" w:rsidP="00B71177">
      <w:pPr>
        <w:spacing w:before="100" w:beforeAutospacing="1" w:after="100" w:afterAutospacing="1"/>
        <w:jc w:val="both"/>
      </w:pPr>
      <w:proofErr w:type="gramStart"/>
      <w:r w:rsidRPr="00BD5EC6">
        <w:t>kapcsolatos</w:t>
      </w:r>
      <w:proofErr w:type="gramEnd"/>
      <w:r w:rsidRPr="00BD5EC6">
        <w:t>, az Információs Rendszerbe tartozó vagy azokból származtatott környezeti információkat kell közzétenni.</w:t>
      </w:r>
    </w:p>
    <w:p w:rsidR="0046420F" w:rsidRPr="00BD5EC6" w:rsidRDefault="0046420F" w:rsidP="00B71177">
      <w:pPr>
        <w:spacing w:before="100" w:beforeAutospacing="1" w:after="100" w:afterAutospacing="1"/>
        <w:ind w:firstLine="240"/>
        <w:jc w:val="both"/>
      </w:pPr>
      <w:r w:rsidRPr="00BD5EC6">
        <w:t>(3) A publikus felületen egyéb, az Információs Rendszer részét képező vagy azon kívül eső, a nyilvánosság tájékoztatása szempontjából releváns környezeti információk vagy más közérdekű adatok is közzé-, illetve elérhetővé tehetők.</w:t>
      </w:r>
    </w:p>
    <w:p w:rsidR="0046420F" w:rsidRPr="00BD5EC6" w:rsidRDefault="0046420F" w:rsidP="0019125B">
      <w:pPr>
        <w:jc w:val="both"/>
      </w:pPr>
    </w:p>
    <w:p w:rsidR="0019125B" w:rsidRPr="00BD5EC6" w:rsidRDefault="0019125B" w:rsidP="0019125B">
      <w:pPr>
        <w:jc w:val="both"/>
      </w:pPr>
      <w:r w:rsidRPr="00BD5EC6">
        <w:t>A környezetvédelemért felelős tárca minden környezethasználó részére külön szakterületi jogszabály</w:t>
      </w:r>
      <w:r w:rsidR="00DC133D" w:rsidRPr="00BD5EC6">
        <w:t>ok</w:t>
      </w:r>
      <w:r w:rsidRPr="00BD5EC6">
        <w:t xml:space="preserve">ban írja elő az adatszolgáltatással szemben támasztott </w:t>
      </w:r>
      <w:r w:rsidR="00DC133D" w:rsidRPr="00BD5EC6">
        <w:t xml:space="preserve">minőségbiztosítási </w:t>
      </w:r>
      <w:r w:rsidRPr="00BD5EC6">
        <w:t>követelményeket</w:t>
      </w:r>
      <w:r w:rsidR="00DC133D" w:rsidRPr="00BD5EC6">
        <w:t>.</w:t>
      </w:r>
    </w:p>
    <w:p w:rsidR="0019125B" w:rsidRPr="00BD5EC6" w:rsidRDefault="0019125B" w:rsidP="0019125B">
      <w:pPr>
        <w:jc w:val="both"/>
      </w:pPr>
      <w:r w:rsidRPr="00BD5EC6">
        <w:t xml:space="preserve">A felszín alatti vizek védelméről szóló 219/2004. (VII. 21.) Korm. rendelet 19. § (2), (9), 35. § (5) </w:t>
      </w:r>
      <w:r w:rsidR="00AA6E48" w:rsidRPr="00BD5EC6">
        <w:t>bekezdése a felszín alatti vizekkel kapcsolatos adatok minőségbiztosítását az alábbiakban határozza meg</w:t>
      </w:r>
      <w:r w:rsidRPr="00BD5EC6">
        <w:t xml:space="preserve">: </w:t>
      </w:r>
      <w:r w:rsidR="00B852E0" w:rsidRPr="00BD5EC6">
        <w:t>A kormányrendelet az alábbiak szerint módosult az előző jelentéshez képest.</w:t>
      </w:r>
    </w:p>
    <w:p w:rsidR="0019125B" w:rsidRPr="00BD5EC6" w:rsidRDefault="0019125B" w:rsidP="00B71177">
      <w:pPr>
        <w:jc w:val="both"/>
      </w:pPr>
      <w:r w:rsidRPr="00BD5EC6">
        <w:t>„19. § (2)</w:t>
      </w:r>
      <w:r w:rsidR="00B852E0" w:rsidRPr="00BD5EC6">
        <w:t xml:space="preserve"> A vízvédelmi hatóság - indokolt esetben a környezetvédelmi hatóság és a vízügyi igazgatóság bevonásával - a földtani közeg, felszín alatti víz terhelésére, minőségének veszélyeztetésére, szennyezésére, károsítására vonatkozó, birtokába került információkat kivizsgálja a hatósági intézkedés igényének megállapítása és a hatósági eljárás megalapozása érdekében. </w:t>
      </w:r>
    </w:p>
    <w:p w:rsidR="00B852E0" w:rsidRPr="00BD5EC6" w:rsidRDefault="0019125B" w:rsidP="00B71177">
      <w:pPr>
        <w:spacing w:before="100" w:beforeAutospacing="1" w:after="100" w:afterAutospacing="1"/>
        <w:ind w:firstLine="240"/>
        <w:jc w:val="both"/>
      </w:pPr>
      <w:r w:rsidRPr="00BD5EC6">
        <w:t>„</w:t>
      </w:r>
      <w:r w:rsidR="00B852E0" w:rsidRPr="00BD5EC6">
        <w:t>(9) A kivizsgálás alapján a vízvédelmi hatóság dönt</w:t>
      </w:r>
    </w:p>
    <w:p w:rsidR="00B852E0" w:rsidRPr="00BD5EC6" w:rsidRDefault="00B852E0" w:rsidP="00B71177">
      <w:pPr>
        <w:spacing w:before="100" w:beforeAutospacing="1" w:after="100" w:afterAutospacing="1"/>
        <w:ind w:firstLine="240"/>
        <w:jc w:val="both"/>
      </w:pPr>
      <w:proofErr w:type="gramStart"/>
      <w:r w:rsidRPr="00BD5EC6">
        <w:rPr>
          <w:i/>
          <w:iCs/>
        </w:rPr>
        <w:t>a</w:t>
      </w:r>
      <w:proofErr w:type="gramEnd"/>
      <w:r w:rsidRPr="00BD5EC6">
        <w:rPr>
          <w:i/>
          <w:iCs/>
        </w:rPr>
        <w:t xml:space="preserve">) </w:t>
      </w:r>
      <w:r w:rsidRPr="00BD5EC6">
        <w:t>az adatszolgáltatásban foglalt adatok megfelelőségéről;</w:t>
      </w:r>
    </w:p>
    <w:p w:rsidR="00B852E0" w:rsidRPr="00BD5EC6" w:rsidRDefault="00B852E0" w:rsidP="00B71177">
      <w:pPr>
        <w:spacing w:before="100" w:beforeAutospacing="1" w:after="100" w:afterAutospacing="1"/>
        <w:ind w:firstLine="240"/>
        <w:jc w:val="both"/>
      </w:pPr>
      <w:r w:rsidRPr="00BD5EC6">
        <w:rPr>
          <w:i/>
          <w:iCs/>
        </w:rPr>
        <w:t xml:space="preserve">b) </w:t>
      </w:r>
      <w:r w:rsidRPr="00BD5EC6">
        <w:t>az ügynek az engedélyező hatósághoz történő áttételéről;</w:t>
      </w:r>
    </w:p>
    <w:p w:rsidR="00B852E0" w:rsidRPr="00BD5EC6" w:rsidRDefault="00B852E0" w:rsidP="00B71177">
      <w:pPr>
        <w:spacing w:before="100" w:beforeAutospacing="1" w:after="100" w:afterAutospacing="1"/>
        <w:ind w:firstLine="240"/>
        <w:jc w:val="both"/>
      </w:pPr>
      <w:r w:rsidRPr="00BD5EC6">
        <w:rPr>
          <w:i/>
          <w:iCs/>
        </w:rPr>
        <w:t>c)</w:t>
      </w:r>
      <w:r w:rsidRPr="00BD5EC6">
        <w:rPr>
          <w:i/>
          <w:iCs/>
          <w:vertAlign w:val="superscript"/>
        </w:rPr>
        <w:t xml:space="preserve"> </w:t>
      </w:r>
      <w:r w:rsidRPr="00BD5EC6">
        <w:t>azonnali beavatkozást igénylő szennyezés, illetve károsodás esetén a szükséges kárelhárítással összefüggő, külön jogszabályok szerinti intézkedésről;</w:t>
      </w:r>
    </w:p>
    <w:p w:rsidR="00B852E0" w:rsidRPr="00BD5EC6" w:rsidRDefault="00B852E0" w:rsidP="00B71177">
      <w:pPr>
        <w:spacing w:before="100" w:beforeAutospacing="1" w:after="100" w:afterAutospacing="1"/>
        <w:ind w:firstLine="240"/>
        <w:jc w:val="both"/>
      </w:pPr>
      <w:r w:rsidRPr="00BD5EC6">
        <w:rPr>
          <w:i/>
          <w:iCs/>
        </w:rPr>
        <w:t xml:space="preserve">d) </w:t>
      </w:r>
      <w:r w:rsidRPr="00BD5EC6">
        <w:t>a szükséges intézkedés, eljárás megindításáról, illetve a környezetvédelmi hatóságnál történő kezdeményezéséről, így különösen a 13. §</w:t>
      </w:r>
      <w:proofErr w:type="spellStart"/>
      <w:r w:rsidRPr="00BD5EC6">
        <w:t>-a</w:t>
      </w:r>
      <w:proofErr w:type="spellEnd"/>
      <w:r w:rsidRPr="00BD5EC6">
        <w:t xml:space="preserve"> szerinti tartalommal történő engedélyezés alá vonásról a vízvédelmi hatóság által saját hatáskörben kiadott határozattal, a kármentesítés bármely szakaszának vagy a szakaszok 21. § (8) bekezdése szerinti elrendelésének kezdeményezéséről, valamint a környezetvédelmi felülvizsgálat kezdeményezéséről vagy arról, hogy a tudomására jutott adatok további intézkedést nem igényelnek.</w:t>
      </w:r>
    </w:p>
    <w:p w:rsidR="0019125B" w:rsidRPr="00BD5EC6" w:rsidRDefault="0019125B" w:rsidP="00B71177">
      <w:pPr>
        <w:jc w:val="both"/>
      </w:pPr>
    </w:p>
    <w:p w:rsidR="0019125B" w:rsidRPr="00BD5EC6" w:rsidRDefault="0019125B" w:rsidP="009E17DD">
      <w:pPr>
        <w:spacing w:after="0"/>
        <w:jc w:val="both"/>
      </w:pPr>
      <w:r w:rsidRPr="00BD5EC6">
        <w:t xml:space="preserve">„35. § (5) </w:t>
      </w:r>
      <w:r w:rsidR="00B852E0" w:rsidRPr="00BD5EC6">
        <w:t xml:space="preserve">A vízvédelmi hatóság az (1) bekezdés </w:t>
      </w:r>
      <w:r w:rsidR="00B852E0" w:rsidRPr="00BD5EC6">
        <w:rPr>
          <w:i/>
          <w:iCs/>
        </w:rPr>
        <w:t xml:space="preserve">a) </w:t>
      </w:r>
      <w:r w:rsidR="00B852E0" w:rsidRPr="00BD5EC6">
        <w:t xml:space="preserve">és </w:t>
      </w:r>
      <w:r w:rsidR="00B852E0" w:rsidRPr="00BD5EC6">
        <w:rPr>
          <w:i/>
          <w:iCs/>
        </w:rPr>
        <w:t xml:space="preserve">d) </w:t>
      </w:r>
      <w:r w:rsidR="00B852E0" w:rsidRPr="00BD5EC6">
        <w:t xml:space="preserve">pontja szerinti adatokat a FAVI nyilvántartási rendszer keretében rögzíti, értékeli és szolgáltatja. Az (1) bekezdés </w:t>
      </w:r>
      <w:r w:rsidR="00B852E0" w:rsidRPr="00BD5EC6">
        <w:rPr>
          <w:i/>
          <w:iCs/>
        </w:rPr>
        <w:t xml:space="preserve">b) </w:t>
      </w:r>
      <w:r w:rsidR="00B852E0" w:rsidRPr="00BD5EC6">
        <w:t xml:space="preserve">pontja szerinti adatokat a FAVI-KÁRINFO nyilvántartási alrendszer keretében a környezetvédelmi hatóság rögzíti, értékeli és szolgáltatja. Az (1) bekezdés </w:t>
      </w:r>
      <w:r w:rsidR="00B852E0" w:rsidRPr="00BD5EC6">
        <w:rPr>
          <w:i/>
          <w:iCs/>
        </w:rPr>
        <w:t xml:space="preserve">c) </w:t>
      </w:r>
      <w:r w:rsidR="00B852E0" w:rsidRPr="00BD5EC6">
        <w:t>pontja szerinti adatokat a FAVI nyilvántartási rendszer keretében a 29. § (1) bekezdés szerinti kármentesítési monitoring esetében a környezetvédelmi hatóság, egyéb esetekben a vízvédelmi hatóság rögzíti, értékeli és szolgáltatja. Ezek mellett a területi vízügyi igazgatóság is adatot szolgáltat a FAVI részére.</w:t>
      </w:r>
      <w:r w:rsidRPr="00BD5EC6">
        <w:t>”</w:t>
      </w:r>
    </w:p>
    <w:p w:rsidR="0019125B" w:rsidRPr="00BD5EC6" w:rsidRDefault="0019125B">
      <w:pPr>
        <w:spacing w:after="0"/>
        <w:jc w:val="both"/>
      </w:pPr>
    </w:p>
    <w:p w:rsidR="0019125B" w:rsidRPr="00BD5EC6" w:rsidRDefault="0019125B" w:rsidP="0019125B">
      <w:pPr>
        <w:jc w:val="both"/>
      </w:pPr>
      <w:r w:rsidRPr="00BD5EC6">
        <w:t xml:space="preserve">A felszíni vizek </w:t>
      </w:r>
      <w:r w:rsidR="00AA6E48" w:rsidRPr="00BD5EC6">
        <w:t xml:space="preserve">védelmével kapcsolatos adatok minőségbiztosítását a felszíni vizek </w:t>
      </w:r>
      <w:r w:rsidRPr="00BD5EC6">
        <w:t xml:space="preserve">védelmének szabályairól szóló 220/2004. (VII. 21.) Korm. rendelet 26. § (3), 29. § (1) bekezdése és a 3. sz. melléklet 1.7. pontja </w:t>
      </w:r>
      <w:r w:rsidR="00AA6E48" w:rsidRPr="00BD5EC6">
        <w:t xml:space="preserve">az alábbiak </w:t>
      </w:r>
      <w:r w:rsidRPr="00BD5EC6">
        <w:t>szerint</w:t>
      </w:r>
      <w:r w:rsidR="00AA6E48" w:rsidRPr="00BD5EC6">
        <w:t xml:space="preserve"> határozza meg</w:t>
      </w:r>
      <w:r w:rsidRPr="00BD5EC6">
        <w:t>:</w:t>
      </w:r>
    </w:p>
    <w:p w:rsidR="0019125B" w:rsidRPr="00BD5EC6" w:rsidRDefault="0019125B" w:rsidP="0019125B">
      <w:pPr>
        <w:jc w:val="both"/>
      </w:pPr>
      <w:r w:rsidRPr="00BD5EC6">
        <w:t xml:space="preserve">„26. § (3) </w:t>
      </w:r>
      <w:r w:rsidR="00B852E0" w:rsidRPr="00BD5EC6">
        <w:t>Új létesítmények esetén a kibocsátó a próbaüzem lezárásáig akkreditált laboratórium által végzett - a próbaüzem elindítását követően minimum négy alkalommal azonos időközönként vett - mérési eredményekkel köteles igazolni, hogy az engedélyben előírt határértéket, illetve küszöbértéket tartósan és folyamatosan betartja.</w:t>
      </w:r>
      <w:r w:rsidRPr="00BD5EC6">
        <w:t>”</w:t>
      </w:r>
    </w:p>
    <w:p w:rsidR="0019125B" w:rsidRPr="00BD5EC6" w:rsidRDefault="0019125B" w:rsidP="0019125B">
      <w:pPr>
        <w:jc w:val="both"/>
      </w:pPr>
      <w:r w:rsidRPr="00BD5EC6">
        <w:t>„29. § (1)</w:t>
      </w:r>
      <w:r w:rsidR="00B852E0" w:rsidRPr="00BD5EC6">
        <w:t xml:space="preserve"> A</w:t>
      </w:r>
      <w:r w:rsidRPr="00BD5EC6">
        <w:t xml:space="preserve"> </w:t>
      </w:r>
      <w:r w:rsidR="00B852E0" w:rsidRPr="00BD5EC6">
        <w:t>kibocsátó önellenőrzésének megfelelőségét, valamint az önellenőrzésre nem kötelezett, illetve nem vállalkozott kibocsátó esetében a befogadóra vonatkozó határértékek betartását a vízvédelmi hatóság, továbbá közcsatornába bocsátás esetében a küszöbértékek betartását a vízvédelmi hatóság és a szolgáltató a használt és szennyvizek kibocsátásának ellenőrzésére vonatkozó részletes szabályokról szóló miniszteri rendeletben</w:t>
      </w:r>
      <w:r w:rsidR="00B852E0" w:rsidRPr="00BD5EC6">
        <w:rPr>
          <w:vertAlign w:val="superscript"/>
        </w:rPr>
        <w:t xml:space="preserve"> </w:t>
      </w:r>
      <w:r w:rsidR="00B852E0" w:rsidRPr="00BD5EC6">
        <w:t xml:space="preserve">foglaltak szerint ellenőrzi.” </w:t>
      </w:r>
    </w:p>
    <w:p w:rsidR="0019125B" w:rsidRPr="00BD5EC6" w:rsidRDefault="00132516" w:rsidP="0019125B">
      <w:pPr>
        <w:jc w:val="both"/>
      </w:pPr>
      <w:r w:rsidRPr="00BD5EC6">
        <w:t xml:space="preserve">A </w:t>
      </w:r>
      <w:r w:rsidR="0019125B" w:rsidRPr="00BD5EC6">
        <w:t>3. számú melléklet tartalmazza a szennyvízkibocsátás engedélyezéséhez benyújtandó engedélykérelmi dokumentáció tartalmi követelményeit, amelynek 1.7. pontja rendelkezik a benyújtásra kerülő adatok minőségéről:</w:t>
      </w:r>
    </w:p>
    <w:p w:rsidR="0019125B" w:rsidRPr="00BD5EC6" w:rsidRDefault="0019125B" w:rsidP="0019125B">
      <w:pPr>
        <w:jc w:val="both"/>
      </w:pPr>
      <w:r w:rsidRPr="00BD5EC6">
        <w:t>„1.7. Benyújtandó egyéb tervrészletek, adatok:</w:t>
      </w:r>
    </w:p>
    <w:p w:rsidR="0019125B" w:rsidRPr="00BD5EC6" w:rsidRDefault="0019125B" w:rsidP="0019125B">
      <w:pPr>
        <w:jc w:val="both"/>
      </w:pPr>
      <w:r w:rsidRPr="00BD5EC6">
        <w:t>d) szennyvízre, szennyvíziszapra vonatkozó - lehetőleg - akkreditált laboratórium által elvégzett önkontroll vizsgálati eredmények,”</w:t>
      </w:r>
    </w:p>
    <w:p w:rsidR="0019125B" w:rsidRPr="00BD5EC6" w:rsidRDefault="0019125B" w:rsidP="0019125B">
      <w:pPr>
        <w:jc w:val="both"/>
      </w:pPr>
      <w:r w:rsidRPr="00BD5EC6">
        <w:t xml:space="preserve">A használt és szennyvizek kibocsátásának ellenőrzésére vonatkozó részletes szabályokról szóló 27/2005. (XII. 6.) </w:t>
      </w:r>
      <w:proofErr w:type="spellStart"/>
      <w:r w:rsidRPr="00BD5EC6">
        <w:t>KvVM</w:t>
      </w:r>
      <w:proofErr w:type="spellEnd"/>
      <w:r w:rsidRPr="00BD5EC6">
        <w:t xml:space="preserve"> rendelet szerint: </w:t>
      </w:r>
    </w:p>
    <w:p w:rsidR="00B71177" w:rsidRPr="00BD5EC6" w:rsidRDefault="0019125B" w:rsidP="00B71177">
      <w:pPr>
        <w:spacing w:before="100" w:beforeAutospacing="1" w:after="100" w:afterAutospacing="1"/>
        <w:ind w:firstLine="240"/>
        <w:jc w:val="both"/>
      </w:pPr>
      <w:r w:rsidRPr="00BD5EC6">
        <w:t xml:space="preserve">„17. § (1) </w:t>
      </w:r>
      <w:r w:rsidR="00B71177" w:rsidRPr="00BD5EC6">
        <w:t>Az önellenőrzésre köteles, valamint az Európai Parlament és a Tanács 166/2006/EK rendelete I. mellékletébe tartozó tevékenységet végző kibocsátó a 4. sz. melléklet szerinti adatlapokat tölt ki, valamint - az üzemnapló adatai alapján - a jelentésköteles kibocsátásáról évente összefoglaló jelentést készít, amelyet elektronikus úton a tárgyévet követő év március 31-éig a hatósághoz benyújtja. A kibocsátó köteles az adatszolgáltatás teljes körűségét és a szolgáltatott adatoknak a kibocsátó egyéb nyilvántartási rendszerének, iratainak adattartalmával való egyezőségét biztosítani.</w:t>
      </w:r>
    </w:p>
    <w:p w:rsidR="00B71177" w:rsidRPr="00BD5EC6" w:rsidRDefault="00B71177" w:rsidP="00B71177">
      <w:pPr>
        <w:spacing w:before="100" w:beforeAutospacing="1" w:after="100" w:afterAutospacing="1"/>
        <w:ind w:firstLine="240"/>
        <w:jc w:val="both"/>
      </w:pPr>
      <w:r w:rsidRPr="00BD5EC6">
        <w:t>(2) A kibocsátó az adatszolgáltatás alapjául szolgáló iratok megőrzéséről köteles gondoskodni.</w:t>
      </w:r>
    </w:p>
    <w:p w:rsidR="00B71177" w:rsidRPr="00BD5EC6" w:rsidRDefault="00B71177" w:rsidP="00B71177">
      <w:pPr>
        <w:spacing w:before="100" w:beforeAutospacing="1" w:after="100" w:afterAutospacing="1"/>
        <w:ind w:firstLine="240"/>
        <w:jc w:val="both"/>
      </w:pPr>
      <w:r w:rsidRPr="00BD5EC6">
        <w:t>(3)</w:t>
      </w:r>
      <w:r w:rsidR="00BD5EC6">
        <w:t xml:space="preserve"> </w:t>
      </w:r>
      <w:r w:rsidRPr="00BD5EC6">
        <w:t>Önellenőrzésre kötelezett kibocsátó a jóváhagyott önellenőrzési terv szerint a kibocsátott szennyvíz vizsgálatát elvégzi, amelyről a vízvédelmi hatóságnak elektronikus úton adatot szolgáltat. Jóváhagyott önellenőrzési tervvel rendelkező kibocsátó 2015. január 1. után első alkalommal, az önellenőrzési terv szerinti első adatszolgáltatással egy időben a terv tartalmáról is elektronikus úton nyilatkozik.</w:t>
      </w:r>
    </w:p>
    <w:p w:rsidR="0019125B" w:rsidRPr="00BD5EC6" w:rsidRDefault="0019125B" w:rsidP="00AA6E48">
      <w:pPr>
        <w:spacing w:after="0"/>
        <w:jc w:val="both"/>
      </w:pPr>
    </w:p>
    <w:p w:rsidR="0019125B" w:rsidRPr="00BD5EC6" w:rsidRDefault="0019125B" w:rsidP="00AA6E48">
      <w:pPr>
        <w:spacing w:after="0"/>
        <w:jc w:val="both"/>
      </w:pPr>
    </w:p>
    <w:p w:rsidR="0019125B" w:rsidRPr="00BD5EC6" w:rsidRDefault="0019125B" w:rsidP="0019125B">
      <w:pPr>
        <w:jc w:val="both"/>
      </w:pPr>
      <w:r w:rsidRPr="00BD5EC6">
        <w:t xml:space="preserve">A levegő védelmével kapcsolatos </w:t>
      </w:r>
      <w:r w:rsidR="00E32344" w:rsidRPr="00BD5EC6">
        <w:t>adatok minőségbiztosítását a</w:t>
      </w:r>
      <w:r w:rsidR="00AA6E48" w:rsidRPr="00BD5EC6">
        <w:t xml:space="preserve"> levegő védelméről s</w:t>
      </w:r>
      <w:r w:rsidRPr="00BD5EC6">
        <w:t xml:space="preserve">zóló </w:t>
      </w:r>
      <w:r w:rsidR="007A5BEB" w:rsidRPr="00BD5EC6">
        <w:t>306</w:t>
      </w:r>
      <w:r w:rsidRPr="00BD5EC6">
        <w:t>/20</w:t>
      </w:r>
      <w:r w:rsidR="007A5BEB" w:rsidRPr="00BD5EC6">
        <w:t>10</w:t>
      </w:r>
      <w:r w:rsidRPr="00BD5EC6">
        <w:t>. (</w:t>
      </w:r>
      <w:r w:rsidR="007A5BEB" w:rsidRPr="00BD5EC6">
        <w:t>X</w:t>
      </w:r>
      <w:r w:rsidRPr="00BD5EC6">
        <w:t xml:space="preserve">II. </w:t>
      </w:r>
      <w:r w:rsidR="007A5BEB" w:rsidRPr="00BD5EC6">
        <w:t>23</w:t>
      </w:r>
      <w:r w:rsidRPr="00BD5EC6">
        <w:t xml:space="preserve">.) Korm. rendelet </w:t>
      </w:r>
      <w:r w:rsidR="007A5BEB" w:rsidRPr="00BD5EC6">
        <w:t>22</w:t>
      </w:r>
      <w:r w:rsidR="00DA4559" w:rsidRPr="00BD5EC6">
        <w:t xml:space="preserve">. </w:t>
      </w:r>
      <w:r w:rsidRPr="00BD5EC6">
        <w:t>§</w:t>
      </w:r>
      <w:r w:rsidR="00132516" w:rsidRPr="00BD5EC6">
        <w:t xml:space="preserve"> </w:t>
      </w:r>
      <w:r w:rsidRPr="00BD5EC6">
        <w:t>az alábbiak szerint határozza meg:</w:t>
      </w:r>
    </w:p>
    <w:p w:rsidR="00B71177" w:rsidRPr="00BD5EC6" w:rsidRDefault="0019125B" w:rsidP="00B71177">
      <w:pPr>
        <w:spacing w:before="100" w:beforeAutospacing="1" w:after="100" w:afterAutospacing="1"/>
        <w:ind w:firstLine="240"/>
        <w:jc w:val="both"/>
      </w:pPr>
      <w:r w:rsidRPr="00BD5EC6">
        <w:t>„</w:t>
      </w:r>
      <w:r w:rsidR="007A5BEB" w:rsidRPr="00BD5EC6">
        <w:t xml:space="preserve">22. § (1) </w:t>
      </w:r>
      <w:r w:rsidR="00B71177" w:rsidRPr="00BD5EC6">
        <w:t>A területi környezetvédelmi hatóság a hatáskörébe tartozó légszennyező forrás létesítése, teljesítménybővítése, élettartamát meghosszabbító felújítása, alkalmazott technológiájának váltása és működésének megkezdése esetén a levegővédelmi követelményeket - ha e rendelet másként nem rendelkezik - levegőtisztaság-védelmi engedélyben írja elő.</w:t>
      </w:r>
    </w:p>
    <w:p w:rsidR="00B71177" w:rsidRPr="00BD5EC6" w:rsidRDefault="00B71177" w:rsidP="00B71177">
      <w:pPr>
        <w:spacing w:before="100" w:beforeAutospacing="1" w:after="100" w:afterAutospacing="1"/>
        <w:ind w:firstLine="240"/>
        <w:jc w:val="both"/>
      </w:pPr>
      <w:r w:rsidRPr="00BD5EC6">
        <w:t>(2) A területi környezetvédelmi hatóság a levegőtisztaság-védelmi előírásokat</w:t>
      </w:r>
    </w:p>
    <w:p w:rsidR="00B71177" w:rsidRPr="00BD5EC6" w:rsidRDefault="00B71177" w:rsidP="00B71177">
      <w:pPr>
        <w:spacing w:before="100" w:beforeAutospacing="1" w:after="100" w:afterAutospacing="1"/>
        <w:ind w:firstLine="240"/>
        <w:jc w:val="both"/>
      </w:pPr>
      <w:proofErr w:type="gramStart"/>
      <w:r w:rsidRPr="00BD5EC6">
        <w:rPr>
          <w:i/>
          <w:iCs/>
        </w:rPr>
        <w:t>a</w:t>
      </w:r>
      <w:proofErr w:type="gramEnd"/>
      <w:r w:rsidRPr="00BD5EC6">
        <w:rPr>
          <w:i/>
          <w:iCs/>
        </w:rPr>
        <w:t xml:space="preserve">) </w:t>
      </w:r>
      <w:r w:rsidRPr="00BD5EC6">
        <w:t>egységes környezethasználati engedélyezési eljárás, illetve környezeti hatásvizsgálati eljárás hatálya alá tartozó légszennyező forrás esetén az engedélyezési eljárásában,</w:t>
      </w:r>
    </w:p>
    <w:p w:rsidR="00B71177" w:rsidRPr="00BD5EC6" w:rsidRDefault="00B71177" w:rsidP="00B71177">
      <w:pPr>
        <w:spacing w:before="100" w:beforeAutospacing="1" w:after="100" w:afterAutospacing="1" w:line="240" w:lineRule="auto"/>
        <w:ind w:firstLine="240"/>
        <w:jc w:val="both"/>
        <w:rPr>
          <w:rFonts w:eastAsia="Times New Roman" w:cs="Times New Roman"/>
          <w:lang w:eastAsia="hu-HU"/>
        </w:rPr>
      </w:pPr>
      <w:r w:rsidRPr="00BD5EC6">
        <w:rPr>
          <w:i/>
          <w:iCs/>
        </w:rPr>
        <w:t>b)</w:t>
      </w:r>
      <w:r w:rsidRPr="00BD5EC6">
        <w:rPr>
          <w:i/>
          <w:iCs/>
          <w:vertAlign w:val="superscript"/>
        </w:rPr>
        <w:t xml:space="preserve"> </w:t>
      </w:r>
      <w:r w:rsidRPr="00BD5EC6">
        <w:rPr>
          <w:rFonts w:eastAsia="Times New Roman" w:cs="Times New Roman"/>
          <w:lang w:eastAsia="hu-HU"/>
        </w:rPr>
        <w:t xml:space="preserve">az </w:t>
      </w:r>
      <w:r w:rsidRPr="00BD5EC6">
        <w:rPr>
          <w:rFonts w:eastAsia="Times New Roman" w:cs="Times New Roman"/>
          <w:i/>
          <w:iCs/>
          <w:lang w:eastAsia="hu-HU"/>
        </w:rPr>
        <w:t xml:space="preserve">a) </w:t>
      </w:r>
      <w:r w:rsidRPr="00BD5EC6">
        <w:rPr>
          <w:rFonts w:eastAsia="Times New Roman" w:cs="Times New Roman"/>
          <w:lang w:eastAsia="hu-HU"/>
        </w:rPr>
        <w:t>pont alá nem tartozó esetekben létesítésre irányuló más hatósági engedélyezési eljárásban történő szakhatósági hozzájárulás kiadása vagy a levegőtisztaság-védelmi szakkérdés vizsgálata során, vagy</w:t>
      </w:r>
    </w:p>
    <w:p w:rsidR="00B71177" w:rsidRPr="00BD5EC6" w:rsidRDefault="00B71177" w:rsidP="00B71177">
      <w:pPr>
        <w:spacing w:before="100" w:beforeAutospacing="1" w:after="100" w:afterAutospacing="1" w:line="240" w:lineRule="auto"/>
        <w:ind w:firstLine="240"/>
        <w:jc w:val="both"/>
        <w:rPr>
          <w:rFonts w:eastAsia="Times New Roman" w:cs="Times New Roman"/>
          <w:lang w:eastAsia="hu-HU"/>
        </w:rPr>
      </w:pPr>
      <w:r w:rsidRPr="00BD5EC6">
        <w:rPr>
          <w:rFonts w:eastAsia="Times New Roman" w:cs="Times New Roman"/>
          <w:i/>
          <w:iCs/>
          <w:lang w:eastAsia="hu-HU"/>
        </w:rPr>
        <w:t xml:space="preserve">c) </w:t>
      </w:r>
      <w:r w:rsidRPr="00BD5EC6">
        <w:rPr>
          <w:rFonts w:eastAsia="Times New Roman" w:cs="Times New Roman"/>
          <w:lang w:eastAsia="hu-HU"/>
        </w:rPr>
        <w:t xml:space="preserve">az </w:t>
      </w:r>
      <w:r w:rsidRPr="00BD5EC6">
        <w:rPr>
          <w:rFonts w:eastAsia="Times New Roman" w:cs="Times New Roman"/>
          <w:i/>
          <w:iCs/>
          <w:lang w:eastAsia="hu-HU"/>
        </w:rPr>
        <w:t xml:space="preserve">a) </w:t>
      </w:r>
      <w:r w:rsidRPr="00BD5EC6">
        <w:rPr>
          <w:rFonts w:eastAsia="Times New Roman" w:cs="Times New Roman"/>
          <w:lang w:eastAsia="hu-HU"/>
        </w:rPr>
        <w:t xml:space="preserve">és </w:t>
      </w:r>
      <w:r w:rsidRPr="00BD5EC6">
        <w:rPr>
          <w:rFonts w:eastAsia="Times New Roman" w:cs="Times New Roman"/>
          <w:i/>
          <w:iCs/>
          <w:lang w:eastAsia="hu-HU"/>
        </w:rPr>
        <w:t xml:space="preserve">b) </w:t>
      </w:r>
      <w:r w:rsidRPr="00BD5EC6">
        <w:rPr>
          <w:rFonts w:eastAsia="Times New Roman" w:cs="Times New Roman"/>
          <w:lang w:eastAsia="hu-HU"/>
        </w:rPr>
        <w:t xml:space="preserve">pont kivételével a </w:t>
      </w:r>
      <w:proofErr w:type="gramStart"/>
      <w:r w:rsidRPr="00BD5EC6">
        <w:rPr>
          <w:rFonts w:eastAsia="Times New Roman" w:cs="Times New Roman"/>
          <w:lang w:eastAsia="hu-HU"/>
        </w:rPr>
        <w:t>levegőtisztaság-védelmi engedélyezési</w:t>
      </w:r>
      <w:proofErr w:type="gramEnd"/>
      <w:r w:rsidRPr="00BD5EC6">
        <w:rPr>
          <w:rFonts w:eastAsia="Times New Roman" w:cs="Times New Roman"/>
          <w:lang w:eastAsia="hu-HU"/>
        </w:rPr>
        <w:t xml:space="preserve"> eljárásban</w:t>
      </w:r>
    </w:p>
    <w:p w:rsidR="00DA4559" w:rsidRPr="00BD5EC6" w:rsidRDefault="00DA4559" w:rsidP="00773794">
      <w:pPr>
        <w:spacing w:before="100" w:beforeAutospacing="1" w:after="100" w:afterAutospacing="1"/>
      </w:pPr>
      <w:r w:rsidRPr="00BD5EC6">
        <w:t>Az adatszolgáltatások rendjét a 306/2010.(XII.23.) Korm. rendelet 31-32.§</w:t>
      </w:r>
      <w:proofErr w:type="spellStart"/>
      <w:r w:rsidRPr="00BD5EC6">
        <w:t>-ai</w:t>
      </w:r>
      <w:proofErr w:type="spellEnd"/>
      <w:r w:rsidRPr="00BD5EC6">
        <w:t xml:space="preserve"> írják elő az alábbiak szerint:</w:t>
      </w:r>
    </w:p>
    <w:p w:rsidR="00DA4559" w:rsidRPr="00BD5EC6" w:rsidRDefault="00DA4559" w:rsidP="00773794">
      <w:pPr>
        <w:spacing w:before="100" w:beforeAutospacing="1" w:after="100" w:afterAutospacing="1"/>
        <w:ind w:firstLine="240"/>
        <w:jc w:val="both"/>
      </w:pPr>
      <w:r w:rsidRPr="00BD5EC6">
        <w:rPr>
          <w:b/>
          <w:bCs/>
        </w:rPr>
        <w:t xml:space="preserve">31. § </w:t>
      </w:r>
      <w:r w:rsidRPr="00BD5EC6">
        <w:t>(1)</w:t>
      </w:r>
      <w:r w:rsidRPr="00BD5EC6">
        <w:rPr>
          <w:vertAlign w:val="superscript"/>
        </w:rPr>
        <w:t xml:space="preserve"> </w:t>
      </w:r>
      <w:r w:rsidRPr="00BD5EC6">
        <w:t>Az engedélyköteles, illetve a 166/2006/EK Európai Parlamenti és Tanácsi rendelet (E-PRTR) I. melléklete szerinti légszennyező pont- és diffúz forrás (a továbbiakban: adatszolgáltatásra köteles légszennyező forrás) üzemeltetője legkésőbb a légszennyező forrás működési engedélykérelmének benyújtásával egyidejűleg, vagy az előzőektől eltérő esetben legkésőbb a tevékenység megkezdése előtt a területi környezetvédelmi hatóság részére a 4. melléklet szerinti adattartalommal levegőtisztaság-védelmi alapbejelentést tesz.</w:t>
      </w:r>
    </w:p>
    <w:p w:rsidR="00DA4559" w:rsidRPr="00BD5EC6" w:rsidRDefault="00DA4559" w:rsidP="00773794">
      <w:pPr>
        <w:spacing w:before="100" w:beforeAutospacing="1" w:after="100" w:afterAutospacing="1"/>
        <w:ind w:firstLine="240"/>
        <w:jc w:val="both"/>
      </w:pPr>
      <w:r w:rsidRPr="00BD5EC6">
        <w:t>(2)</w:t>
      </w:r>
      <w:r w:rsidR="00BD5EC6">
        <w:t xml:space="preserve"> </w:t>
      </w:r>
      <w:r w:rsidRPr="00BD5EC6">
        <w:t xml:space="preserve">Az adatszolgáltatásra köteles légszennyező forrás üzemeltetője a tárgyévet követő év március 31-ig a területi környezetvédelmi hatóság részére a 7. melléklet szerinti adattartalommal éves </w:t>
      </w:r>
      <w:proofErr w:type="gramStart"/>
      <w:r w:rsidRPr="00BD5EC6">
        <w:t>levegőtisztaság-védelmi jelentést</w:t>
      </w:r>
      <w:proofErr w:type="gramEnd"/>
      <w:r w:rsidRPr="00BD5EC6">
        <w:t xml:space="preserve"> nyújt be.</w:t>
      </w:r>
    </w:p>
    <w:p w:rsidR="00DA4559" w:rsidRPr="00BD5EC6" w:rsidRDefault="00DA4559" w:rsidP="00773794">
      <w:pPr>
        <w:spacing w:before="100" w:beforeAutospacing="1" w:after="100" w:afterAutospacing="1"/>
        <w:ind w:firstLine="240"/>
        <w:jc w:val="both"/>
      </w:pPr>
      <w:r w:rsidRPr="00BD5EC6">
        <w:t>(3) A területi környezetvédelmi hatóság a légszennyező forrás levegőterhelését befolyásoló műszaki, technológiai sajátosságai miatt e §</w:t>
      </w:r>
      <w:proofErr w:type="spellStart"/>
      <w:r w:rsidRPr="00BD5EC6">
        <w:t>-ban</w:t>
      </w:r>
      <w:proofErr w:type="spellEnd"/>
      <w:r w:rsidRPr="00BD5EC6">
        <w:t xml:space="preserve"> előírtaktól eltérő tartalmú, illetve gyakoriságú jelentéstételt engedélyezhet.</w:t>
      </w:r>
    </w:p>
    <w:p w:rsidR="00DA4559" w:rsidRPr="00BD5EC6" w:rsidRDefault="00DA4559" w:rsidP="00773794">
      <w:pPr>
        <w:spacing w:before="100" w:beforeAutospacing="1" w:after="100" w:afterAutospacing="1"/>
        <w:ind w:firstLine="240"/>
        <w:jc w:val="both"/>
      </w:pPr>
      <w:r w:rsidRPr="00BD5EC6">
        <w:t>(4) Az adatszolgáltatásra köteles légszennyező forrás üzemeltetője a levegőtisztaság-védelmi alapbejelentésben bekövetkező változásokat - beleértve a tevékenység megszűntetését is - a változás bekövetkezésétől számított 30 napon belül bejelenti a területi környezetvédelmi hatóság részére.</w:t>
      </w:r>
    </w:p>
    <w:p w:rsidR="00DA4559" w:rsidRPr="00BD5EC6" w:rsidRDefault="00DA4559" w:rsidP="00DA4559">
      <w:pPr>
        <w:spacing w:before="100" w:beforeAutospacing="1" w:after="100" w:afterAutospacing="1"/>
        <w:ind w:firstLine="240"/>
      </w:pPr>
      <w:r w:rsidRPr="00BD5EC6">
        <w:rPr>
          <w:b/>
          <w:bCs/>
        </w:rPr>
        <w:t xml:space="preserve">32. § </w:t>
      </w:r>
      <w:r w:rsidRPr="00BD5EC6">
        <w:t>(1) Az adatszolgáltatás elektronikus úton teljesítendő.</w:t>
      </w:r>
    </w:p>
    <w:p w:rsidR="00DA4559" w:rsidRPr="00BD5EC6" w:rsidRDefault="00DA4559" w:rsidP="00DA4559">
      <w:pPr>
        <w:spacing w:before="100" w:beforeAutospacing="1" w:after="100" w:afterAutospacing="1"/>
        <w:ind w:firstLine="240"/>
      </w:pPr>
      <w:r w:rsidRPr="00BD5EC6">
        <w:t xml:space="preserve">(2) Az adatszolgáltatás során közölt adatok </w:t>
      </w:r>
      <w:proofErr w:type="spellStart"/>
      <w:r w:rsidRPr="00BD5EC6">
        <w:t>teljeskörűségéért</w:t>
      </w:r>
      <w:proofErr w:type="spellEnd"/>
      <w:r w:rsidRPr="00BD5EC6">
        <w:t>, a bejelentésre kötelezettre érvényes számviteli szabályokkal, statisztikai rendszerrel, valamint egyéb nyilvántartási rendszereivel, mérési, megfigyelési adataival való egyezéséért a bejelentésre kötelezett a felelős. Az adatszolgáltatás során benyújtott dokumentációt legalább 5 évig meg kell őrizni.</w:t>
      </w:r>
    </w:p>
    <w:p w:rsidR="00DA4559" w:rsidRPr="00BD5EC6" w:rsidRDefault="00DA4559" w:rsidP="00DA4559">
      <w:pPr>
        <w:spacing w:before="100" w:beforeAutospacing="1" w:after="100" w:afterAutospacing="1"/>
        <w:ind w:firstLine="240"/>
      </w:pPr>
      <w:r w:rsidRPr="00BD5EC6">
        <w:t>(3) Az adatszolgáltatásra kötelezett légszennyező források üzemeltetőinek 31. § (2) bekezdése alapján tett jelentésében megadott levegőterhelési adatok interneten keresztül történő elérhetőségét az Országos Környezetvédelmi Információs Rendszer publikus felülete biztosítja.</w:t>
      </w:r>
    </w:p>
    <w:p w:rsidR="00DA4559" w:rsidRPr="00BD5EC6" w:rsidRDefault="00DA4559" w:rsidP="00DA4559">
      <w:pPr>
        <w:spacing w:before="100" w:beforeAutospacing="1" w:after="100" w:afterAutospacing="1"/>
        <w:ind w:firstLine="240"/>
      </w:pPr>
      <w:r w:rsidRPr="00BD5EC6">
        <w:t>(4) A (3) bekezdés szerinti levegőterhelési adatok a légszennyező források naptári évre vonatkozó légszennyező anyag kibocsátását tartalmazzák környezetvédelmi objektumonként, illetve területi bontásban megadva. Az adott naptári évre vonatkozó levegőterhelési adatokat legkésőbb a naptári évet követő év október 30-ig közzé kell tenni.</w:t>
      </w:r>
    </w:p>
    <w:p w:rsidR="0019125B" w:rsidRPr="00BD5EC6" w:rsidRDefault="0019125B" w:rsidP="009E17DD">
      <w:pPr>
        <w:jc w:val="both"/>
      </w:pPr>
      <w:r w:rsidRPr="00BD5EC6">
        <w:t xml:space="preserve">A hulladékokkal kapcsolatos adatok </w:t>
      </w:r>
      <w:proofErr w:type="gramStart"/>
      <w:r w:rsidRPr="00BD5EC6">
        <w:t xml:space="preserve">minőségbiztosítását </w:t>
      </w:r>
      <w:r w:rsidR="009E17DD" w:rsidRPr="00BD5EC6">
        <w:t xml:space="preserve"> a</w:t>
      </w:r>
      <w:proofErr w:type="gramEnd"/>
      <w:r w:rsidR="009E17DD" w:rsidRPr="00BD5EC6">
        <w:t xml:space="preserve"> hulladékkal kapcsolatos nyilvántartási és adatszolgáltatási kötelezettségekről szóló 309/2014. (XII. 11.) Korm. rendelet</w:t>
      </w:r>
      <w:r w:rsidRPr="00BD5EC6">
        <w:t xml:space="preserve"> </w:t>
      </w:r>
      <w:r w:rsidR="001C610B" w:rsidRPr="00BD5EC6">
        <w:t>15. § (</w:t>
      </w:r>
      <w:r w:rsidR="009E17DD" w:rsidRPr="00BD5EC6">
        <w:t>1</w:t>
      </w:r>
      <w:r w:rsidR="001C610B" w:rsidRPr="00BD5EC6">
        <w:t xml:space="preserve">) bekezdése </w:t>
      </w:r>
      <w:r w:rsidRPr="00BD5EC6">
        <w:t>szabályozza</w:t>
      </w:r>
      <w:r w:rsidR="00E32344" w:rsidRPr="00BD5EC6">
        <w:t>.</w:t>
      </w:r>
    </w:p>
    <w:p w:rsidR="009E17DD" w:rsidRPr="00BD5EC6" w:rsidRDefault="0019125B" w:rsidP="009E17DD">
      <w:pPr>
        <w:spacing w:before="100" w:beforeAutospacing="1" w:after="100" w:afterAutospacing="1"/>
        <w:ind w:firstLine="240"/>
      </w:pPr>
      <w:r w:rsidRPr="00BD5EC6">
        <w:t>„</w:t>
      </w:r>
      <w:r w:rsidR="001C610B" w:rsidRPr="00BD5EC6">
        <w:t>15. §</w:t>
      </w:r>
      <w:r w:rsidR="009E17DD" w:rsidRPr="00BD5EC6">
        <w:t xml:space="preserve"> A környezetvédelmi hatóság</w:t>
      </w:r>
    </w:p>
    <w:p w:rsidR="009E17DD" w:rsidRPr="00BD5EC6" w:rsidRDefault="009E17DD" w:rsidP="009E17DD">
      <w:pPr>
        <w:spacing w:before="100" w:beforeAutospacing="1" w:after="100" w:afterAutospacing="1"/>
        <w:ind w:firstLine="240"/>
      </w:pPr>
      <w:proofErr w:type="gramStart"/>
      <w:r w:rsidRPr="00BD5EC6">
        <w:rPr>
          <w:i/>
          <w:iCs/>
        </w:rPr>
        <w:t>a</w:t>
      </w:r>
      <w:proofErr w:type="gramEnd"/>
      <w:r w:rsidRPr="00BD5EC6">
        <w:rPr>
          <w:i/>
          <w:iCs/>
        </w:rPr>
        <w:t xml:space="preserve">) </w:t>
      </w:r>
      <w:r w:rsidRPr="00BD5EC6">
        <w:t>az éves adatszolgáltatásra kötelezettek befogadott adatait minden év legkésőbb július 31-ig,</w:t>
      </w:r>
    </w:p>
    <w:p w:rsidR="009E17DD" w:rsidRPr="00BD5EC6" w:rsidRDefault="009E17DD" w:rsidP="009E17DD">
      <w:pPr>
        <w:spacing w:before="100" w:beforeAutospacing="1" w:after="100" w:afterAutospacing="1"/>
        <w:ind w:firstLine="240"/>
      </w:pPr>
      <w:r w:rsidRPr="00BD5EC6">
        <w:rPr>
          <w:i/>
          <w:iCs/>
        </w:rPr>
        <w:t xml:space="preserve">b) </w:t>
      </w:r>
      <w:r w:rsidRPr="00BD5EC6">
        <w:t>a negyedéves adatszolgáltatásra kötelezettek befogadott adatait a tárgynegyedévet követő 60. napig feldolgozza és szakmailag ellenőrzi.</w:t>
      </w:r>
    </w:p>
    <w:p w:rsidR="009E17DD" w:rsidRPr="00BD5EC6" w:rsidRDefault="009E17DD" w:rsidP="009E17DD">
      <w:pPr>
        <w:spacing w:before="100" w:beforeAutospacing="1" w:after="100" w:afterAutospacing="1"/>
        <w:ind w:firstLine="240"/>
      </w:pPr>
      <w:r w:rsidRPr="00BD5EC6">
        <w:t>(2) Ha a tartalmilag feldolgozott adatot a környezetvédelmi hatóság a szakmai ellenőrzés során megfelelőnek találja, az adatszolgáltatást teljesítettnek tekinti.</w:t>
      </w:r>
    </w:p>
    <w:p w:rsidR="009E17DD" w:rsidRPr="00BD5EC6" w:rsidRDefault="009E17DD" w:rsidP="009E17DD">
      <w:pPr>
        <w:spacing w:before="100" w:beforeAutospacing="1" w:after="100" w:afterAutospacing="1"/>
        <w:ind w:firstLine="240"/>
      </w:pPr>
      <w:r w:rsidRPr="00BD5EC6">
        <w:t>(3) Ha a környezetvédelmi hatóság a szakmai ellenőrzés során hibát tár fel, az ügyfelet erről haladéktalanul, az értesítési tárhelyre küldött értesítéssel értesíti.</w:t>
      </w:r>
    </w:p>
    <w:p w:rsidR="0019125B" w:rsidRPr="00BD5EC6" w:rsidRDefault="0019125B" w:rsidP="001C610B">
      <w:pPr>
        <w:jc w:val="both"/>
      </w:pPr>
    </w:p>
    <w:p w:rsidR="00F86CA4" w:rsidRPr="00BD5EC6" w:rsidRDefault="00541306" w:rsidP="00DD5BA9">
      <w:pPr>
        <w:spacing w:after="0"/>
        <w:ind w:hanging="426"/>
        <w:jc w:val="both"/>
        <w:rPr>
          <w:b/>
          <w:i/>
          <w:u w:val="single"/>
        </w:rPr>
      </w:pPr>
      <w:r w:rsidRPr="00BD5EC6">
        <w:rPr>
          <w:b/>
          <w:i/>
        </w:rPr>
        <w:t>10</w:t>
      </w:r>
      <w:r w:rsidR="001A7D06" w:rsidRPr="00BD5EC6">
        <w:rPr>
          <w:b/>
          <w:i/>
        </w:rPr>
        <w:t>.</w:t>
      </w:r>
      <w:r w:rsidR="001A7D06" w:rsidRPr="00BD5EC6">
        <w:rPr>
          <w:b/>
          <w:i/>
        </w:rPr>
        <w:tab/>
      </w:r>
      <w:r w:rsidR="00F86CA4" w:rsidRPr="00BD5EC6">
        <w:rPr>
          <w:b/>
          <w:i/>
          <w:u w:val="single"/>
        </w:rPr>
        <w:t>10. cikk</w:t>
      </w:r>
      <w:r w:rsidR="00DD5BA9" w:rsidRPr="00BD5EC6">
        <w:rPr>
          <w:b/>
          <w:i/>
          <w:u w:val="single"/>
        </w:rPr>
        <w:t xml:space="preserve"> a minőségbiztosítás</w:t>
      </w:r>
    </w:p>
    <w:p w:rsidR="00F86CA4" w:rsidRPr="00BD5EC6" w:rsidRDefault="00F86CA4" w:rsidP="00F86CA4">
      <w:pPr>
        <w:jc w:val="both"/>
        <w:rPr>
          <w:i/>
        </w:rPr>
      </w:pPr>
      <w:r w:rsidRPr="00BD5EC6">
        <w:rPr>
          <w:i/>
        </w:rPr>
        <w:t xml:space="preserve">Ismertesse azokat a szabályokat, eljárásokat és mechanizmusokat, amelyek – a 10. cikk (Minőségfelmérés) előírásaira tekintettel – biztosítják a nemzeti </w:t>
      </w:r>
      <w:proofErr w:type="spellStart"/>
      <w:r w:rsidRPr="00BD5EC6">
        <w:rPr>
          <w:i/>
        </w:rPr>
        <w:t>PRTR-ben</w:t>
      </w:r>
      <w:proofErr w:type="spellEnd"/>
      <w:r w:rsidRPr="00BD5EC6">
        <w:rPr>
          <w:i/>
        </w:rPr>
        <w:t xml:space="preserve"> lévő adatok minőségét, és hogy ezek mit tártak fel a lejelentett adatok minősége kapcsán</w:t>
      </w:r>
    </w:p>
    <w:p w:rsidR="00A824E3" w:rsidRPr="00BD5EC6" w:rsidRDefault="00A824E3" w:rsidP="00DA179C">
      <w:pPr>
        <w:jc w:val="both"/>
        <w:rPr>
          <w:i/>
        </w:rPr>
      </w:pPr>
      <w:r w:rsidRPr="00BD5EC6">
        <w:t xml:space="preserve">A </w:t>
      </w:r>
      <w:r w:rsidR="00F24FBA" w:rsidRPr="00BD5EC6">
        <w:t>területi környezetvédelmi hatóság</w:t>
      </w:r>
      <w:r w:rsidRPr="00BD5EC6">
        <w:t xml:space="preserve"> felelős a PRTR adatbázisba kerülő adatok </w:t>
      </w:r>
      <w:proofErr w:type="spellStart"/>
      <w:r w:rsidRPr="00BD5EC6">
        <w:t>validálásáért</w:t>
      </w:r>
      <w:proofErr w:type="spellEnd"/>
      <w:r w:rsidRPr="00BD5EC6">
        <w:t xml:space="preserve">. A </w:t>
      </w:r>
      <w:proofErr w:type="spellStart"/>
      <w:r w:rsidRPr="00BD5EC6">
        <w:t>validálás</w:t>
      </w:r>
      <w:proofErr w:type="spellEnd"/>
      <w:r w:rsidRPr="00BD5EC6">
        <w:t xml:space="preserve"> során az üzemeltető által szolgáltatott adatokat a teljesség, egységesség, hitelesség szerint vizsgálják felül.</w:t>
      </w:r>
    </w:p>
    <w:p w:rsidR="006B48BE" w:rsidRPr="00BD5EC6" w:rsidRDefault="006B48BE" w:rsidP="00DA179C">
      <w:pPr>
        <w:spacing w:after="0" w:line="240" w:lineRule="auto"/>
        <w:jc w:val="both"/>
        <w:rPr>
          <w:rFonts w:eastAsia="Times New Roman" w:cs="Times New Roman"/>
        </w:rPr>
      </w:pPr>
      <w:r w:rsidRPr="00BD5EC6">
        <w:rPr>
          <w:rFonts w:eastAsia="Times New Roman" w:cs="Times New Roman"/>
        </w:rPr>
        <w:t xml:space="preserve">A hatóságok a környezetvédelmi adatszolgáltatást elektronikus úton, Ügyfélkapun történő benyújtást követően kapják meg. Az Általános Nyomtatványkitöltő Keretprogram (ÁNYK) által biztosított nyomtatványok kitöltése, valamint az Ügyfélkapu és az OKIR befogadása során egyes automatizált ellenőrzések biztosítják, hogy a beküldött adatszolgáltatások a lehető legkevesebb számszaki és adminisztratív hibát tartalmazzák. A beépített automatikus szakmai ellenőrzések segítik a hatósági munkavégzést, az adattartalom megfelelőségének vizsgálatát, </w:t>
      </w:r>
      <w:proofErr w:type="spellStart"/>
      <w:r w:rsidRPr="00BD5EC6">
        <w:rPr>
          <w:rFonts w:eastAsia="Times New Roman" w:cs="Times New Roman"/>
        </w:rPr>
        <w:t>validálását</w:t>
      </w:r>
      <w:proofErr w:type="spellEnd"/>
      <w:r w:rsidRPr="00BD5EC6">
        <w:rPr>
          <w:rFonts w:eastAsia="Times New Roman" w:cs="Times New Roman"/>
        </w:rPr>
        <w:t xml:space="preserve">. </w:t>
      </w:r>
      <w:proofErr w:type="gramStart"/>
      <w:r w:rsidRPr="00BD5EC6">
        <w:rPr>
          <w:rFonts w:eastAsia="Times New Roman" w:cs="Times New Roman"/>
        </w:rPr>
        <w:t>Ezenkívül</w:t>
      </w:r>
      <w:proofErr w:type="gramEnd"/>
      <w:r w:rsidRPr="00BD5EC6">
        <w:rPr>
          <w:rFonts w:eastAsia="Times New Roman" w:cs="Times New Roman"/>
        </w:rPr>
        <w:t xml:space="preserve"> a hatóság az ad</w:t>
      </w:r>
      <w:r w:rsidR="00A824E3" w:rsidRPr="00BD5EC6">
        <w:rPr>
          <w:rFonts w:eastAsia="Times New Roman" w:cs="Times New Roman"/>
        </w:rPr>
        <w:t>a</w:t>
      </w:r>
      <w:r w:rsidRPr="00BD5EC6">
        <w:rPr>
          <w:rFonts w:eastAsia="Times New Roman" w:cs="Times New Roman"/>
        </w:rPr>
        <w:t>tszolgáltatás elfogadása előtt ellenőrzi szakmailag az üzemeltető által jelentett adatokat.</w:t>
      </w:r>
    </w:p>
    <w:p w:rsidR="00572F97" w:rsidRPr="00BD5EC6" w:rsidRDefault="00572F97" w:rsidP="00DA179C">
      <w:pPr>
        <w:jc w:val="both"/>
      </w:pPr>
    </w:p>
    <w:p w:rsidR="00572F97" w:rsidRPr="00BD5EC6" w:rsidRDefault="00572F97" w:rsidP="00DA179C">
      <w:pPr>
        <w:jc w:val="both"/>
      </w:pPr>
      <w:r w:rsidRPr="00BD5EC6">
        <w:t xml:space="preserve">A PRTR szakrendszeri </w:t>
      </w:r>
      <w:proofErr w:type="spellStart"/>
      <w:r w:rsidRPr="00BD5EC6">
        <w:t>validáló</w:t>
      </w:r>
      <w:proofErr w:type="spellEnd"/>
      <w:r w:rsidRPr="00BD5EC6">
        <w:t xml:space="preserve"> funkció használata azoknál az adatszolgáltatásoknál merülhet fel, amelyekben éves kibocsátási (vagy hulladék elszállítási) adatokat jelentenek. Jelenleg ezek a következők:</w:t>
      </w:r>
    </w:p>
    <w:p w:rsidR="00572F97" w:rsidRPr="00BD5EC6" w:rsidRDefault="00572F97" w:rsidP="00DA179C">
      <w:pPr>
        <w:pStyle w:val="Listaszerbekezds"/>
        <w:numPr>
          <w:ilvl w:val="0"/>
          <w:numId w:val="25"/>
        </w:numPr>
        <w:jc w:val="both"/>
      </w:pPr>
      <w:r w:rsidRPr="00BD5EC6">
        <w:t>LAIR LM légszennyezés mértéke éves bejelentés (VMOKIR_LM)</w:t>
      </w:r>
    </w:p>
    <w:p w:rsidR="00572F97" w:rsidRPr="00BD5EC6" w:rsidRDefault="00572F97" w:rsidP="00DA179C">
      <w:pPr>
        <w:pStyle w:val="Listaszerbekezds"/>
        <w:numPr>
          <w:ilvl w:val="0"/>
          <w:numId w:val="25"/>
        </w:numPr>
        <w:jc w:val="both"/>
      </w:pPr>
      <w:r w:rsidRPr="00BD5EC6">
        <w:t>Hulladékkal kapcsolatos HIR-ÉV adatszolgáltatás (VMOKIR_HIR_EV)</w:t>
      </w:r>
    </w:p>
    <w:p w:rsidR="00CE0BEE" w:rsidRPr="00BD5EC6" w:rsidRDefault="00572F97" w:rsidP="00DA179C">
      <w:pPr>
        <w:pStyle w:val="Listaszerbekezds"/>
        <w:numPr>
          <w:ilvl w:val="0"/>
          <w:numId w:val="25"/>
        </w:numPr>
        <w:jc w:val="both"/>
      </w:pPr>
      <w:r w:rsidRPr="00BD5EC6">
        <w:t>FEVISZ VÉL vízminőség-védelmi éves jelentés (VMOKIR_VEL)</w:t>
      </w:r>
    </w:p>
    <w:p w:rsidR="00CE0BEE" w:rsidRPr="00BD5EC6" w:rsidRDefault="00CE0BEE" w:rsidP="00DA179C">
      <w:pPr>
        <w:pStyle w:val="Listaszerbekezds"/>
        <w:jc w:val="both"/>
      </w:pPr>
    </w:p>
    <w:p w:rsidR="00CE0BEE" w:rsidRPr="00BD5EC6" w:rsidRDefault="00CE0BEE" w:rsidP="00DA179C">
      <w:pPr>
        <w:jc w:val="both"/>
      </w:pPr>
      <w:r w:rsidRPr="00BD5EC6">
        <w:t>Annak érdekében, hogy a szakrendszeri adatokból az országos E-PRTR jelentés hatékonyan elkészíthető legyen, és az EU részéről ne merüljenek fel kifogások a magyar adatokkal kapcsolatban, kiemelten fontos, hogy az E-PRTR jelentésköteles adatszolgáltatók éves levegős és vizes jelentései valamint hulladékos adatszolgáltatásai, az adatlapok beérkezése után E-PRTR szempontból is felülvizsgálatra kerüljenek. A folyamat elején kiszűrhetők legyenek azok az adatszolgáltatások, amelyek a többi, hasonló tevékenységet végző telephelyekhez képest, vagy a telephely saját idősorát tekintve, indokolatlanul magas vagy alacsony kibocsátási adatokat tartalmaz</w:t>
      </w:r>
      <w:r w:rsidR="00A824E3" w:rsidRPr="00BD5EC6">
        <w:t xml:space="preserve">nak. </w:t>
      </w:r>
      <w:r w:rsidRPr="00BD5EC6">
        <w:t xml:space="preserve">Ezt az ellenőrző folyamatot támogatja a PRTR modul szakrendszeri </w:t>
      </w:r>
      <w:proofErr w:type="spellStart"/>
      <w:r w:rsidRPr="00BD5EC6">
        <w:t>validáló</w:t>
      </w:r>
      <w:proofErr w:type="spellEnd"/>
      <w:r w:rsidRPr="00BD5EC6">
        <w:t xml:space="preserve"> funkciója, amely szervesen beépül az elektronikusan érkező adatszolgáltatások ellenőrz</w:t>
      </w:r>
      <w:r w:rsidR="00A824E3" w:rsidRPr="00BD5EC6">
        <w:t xml:space="preserve">ési és elfogadási folyamatába. </w:t>
      </w:r>
    </w:p>
    <w:p w:rsidR="00CE0BEE" w:rsidRPr="00BD5EC6" w:rsidRDefault="00CE0BEE" w:rsidP="00E376DB">
      <w:pPr>
        <w:rPr>
          <w:b/>
          <w:u w:val="single"/>
        </w:rPr>
      </w:pPr>
      <w:bookmarkStart w:id="1" w:name="_Toc457775765"/>
      <w:r w:rsidRPr="00BD5EC6">
        <w:rPr>
          <w:b/>
          <w:u w:val="single"/>
        </w:rPr>
        <w:t xml:space="preserve">A PRTR szakrendszeri </w:t>
      </w:r>
      <w:proofErr w:type="spellStart"/>
      <w:r w:rsidRPr="00BD5EC6">
        <w:rPr>
          <w:b/>
          <w:u w:val="single"/>
        </w:rPr>
        <w:t>validálás</w:t>
      </w:r>
      <w:proofErr w:type="spellEnd"/>
      <w:r w:rsidRPr="00BD5EC6">
        <w:rPr>
          <w:b/>
          <w:u w:val="single"/>
        </w:rPr>
        <w:t xml:space="preserve"> lépései</w:t>
      </w:r>
      <w:bookmarkEnd w:id="1"/>
    </w:p>
    <w:p w:rsidR="00CE0BEE" w:rsidRPr="00BD5EC6" w:rsidRDefault="00CE0BEE" w:rsidP="00DA179C">
      <w:pPr>
        <w:jc w:val="both"/>
      </w:pPr>
      <w:r w:rsidRPr="00BD5EC6">
        <w:t xml:space="preserve">A </w:t>
      </w:r>
      <w:r w:rsidR="00DA179C" w:rsidRPr="00BD5EC6">
        <w:t xml:space="preserve">PRTR modul </w:t>
      </w:r>
      <w:proofErr w:type="spellStart"/>
      <w:r w:rsidR="00DA179C" w:rsidRPr="00BD5EC6">
        <w:t>validáló</w:t>
      </w:r>
      <w:proofErr w:type="spellEnd"/>
      <w:r w:rsidR="00DA179C" w:rsidRPr="00BD5EC6">
        <w:t xml:space="preserve"> eljárásnál</w:t>
      </w:r>
      <w:r w:rsidRPr="00BD5EC6">
        <w:t xml:space="preserve"> az ügyintéző több lépésben, az adatszolgáltatásból származó adatokat különböző referencia adatokkal veti össze. A </w:t>
      </w:r>
      <w:proofErr w:type="spellStart"/>
      <w:r w:rsidRPr="00BD5EC6">
        <w:t>validálás</w:t>
      </w:r>
      <w:proofErr w:type="spellEnd"/>
      <w:r w:rsidRPr="00BD5EC6">
        <w:t xml:space="preserve"> minden esetben szakmai mérlegelést jelent, amelynek során az adott szakterületet és az üzemeket jól ismerő ügyintéző megállapítja, hogy a jelentésben lévő kibocsátási adatok reálisak-e, az adatszolgáltatást el lehet-e fogadni vagy az adatszolgáltatónak a mennyiségeket felül kell vizsgálnia.</w:t>
      </w:r>
    </w:p>
    <w:p w:rsidR="00CE0BEE" w:rsidRPr="00BD5EC6" w:rsidRDefault="00CE0BEE" w:rsidP="00DA179C">
      <w:pPr>
        <w:jc w:val="both"/>
      </w:pPr>
      <w:r w:rsidRPr="00BD5EC6">
        <w:t xml:space="preserve">Az informatikai rendszer ezt a folyamatot úgy támogatja, hogy egymás mellé helyezi az adatszolgáltatásból származó kibocsátási (pl. hulladék elszállítási) adatokat az adott </w:t>
      </w:r>
      <w:proofErr w:type="spellStart"/>
      <w:r w:rsidRPr="00BD5EC6">
        <w:t>validálási</w:t>
      </w:r>
      <w:proofErr w:type="spellEnd"/>
      <w:r w:rsidRPr="00BD5EC6">
        <w:t xml:space="preserve"> lépésben vizsgálandó referencia adatokkal. </w:t>
      </w:r>
    </w:p>
    <w:p w:rsidR="00CE0BEE" w:rsidRPr="00BD5EC6" w:rsidRDefault="00CE0BEE" w:rsidP="00DA179C">
      <w:pPr>
        <w:jc w:val="both"/>
      </w:pPr>
      <w:r w:rsidRPr="00BD5EC6">
        <w:t xml:space="preserve">Ha valamelyik szennyezőanyag tekintetében a kibocsátott mennyiség túlságosan alacsony vagy túlságosan magas, akkor a probléma hibalistára vehető, és a hibalista visszaküldésével az ügyintéző felszólíthatja az üzemeltetőt az adatszolgáltatás kijavítására. </w:t>
      </w:r>
    </w:p>
    <w:p w:rsidR="0096654C" w:rsidRPr="00BD5EC6" w:rsidRDefault="00E376DB" w:rsidP="00DA179C">
      <w:pPr>
        <w:spacing w:after="120"/>
        <w:jc w:val="both"/>
      </w:pPr>
      <w:r w:rsidRPr="00BD5EC6">
        <w:t xml:space="preserve">A </w:t>
      </w:r>
      <w:proofErr w:type="spellStart"/>
      <w:r w:rsidRPr="00BD5EC6">
        <w:t>validálási</w:t>
      </w:r>
      <w:proofErr w:type="spellEnd"/>
      <w:r w:rsidRPr="00BD5EC6">
        <w:t xml:space="preserve"> lépésekkel</w:t>
      </w:r>
      <w:r w:rsidR="0096654C" w:rsidRPr="00BD5EC6">
        <w:t xml:space="preserve"> a következő összehasonlításokat lehet elvégezni:</w:t>
      </w:r>
    </w:p>
    <w:p w:rsidR="0096654C" w:rsidRPr="00BD5EC6" w:rsidRDefault="0096654C" w:rsidP="00DA179C">
      <w:pPr>
        <w:pStyle w:val="Listaszerbekezds"/>
        <w:numPr>
          <w:ilvl w:val="0"/>
          <w:numId w:val="27"/>
        </w:numPr>
        <w:ind w:left="426" w:hanging="426"/>
        <w:jc w:val="both"/>
      </w:pPr>
      <w:r w:rsidRPr="00BD5EC6">
        <w:t>kibocsátott mennyiségek összehasonlítása a telephely korábbi kibocsátásaival,</w:t>
      </w:r>
    </w:p>
    <w:p w:rsidR="0096654C" w:rsidRPr="00BD5EC6" w:rsidRDefault="0096654C">
      <w:pPr>
        <w:pStyle w:val="Listaszerbekezds"/>
        <w:numPr>
          <w:ilvl w:val="0"/>
          <w:numId w:val="27"/>
        </w:numPr>
        <w:ind w:left="426" w:hanging="426"/>
        <w:jc w:val="both"/>
      </w:pPr>
      <w:r w:rsidRPr="00BD5EC6">
        <w:t>egy anyagra vonatkozó kibocsátási idősor elemzése,</w:t>
      </w:r>
    </w:p>
    <w:p w:rsidR="0096654C" w:rsidRPr="00BD5EC6" w:rsidRDefault="0096654C">
      <w:pPr>
        <w:pStyle w:val="Listaszerbekezds"/>
        <w:numPr>
          <w:ilvl w:val="0"/>
          <w:numId w:val="27"/>
        </w:numPr>
        <w:ind w:left="426" w:hanging="426"/>
        <w:jc w:val="both"/>
      </w:pPr>
      <w:r w:rsidRPr="00BD5EC6">
        <w:t>kibocsátott mennyiségek összehasonlítása országos adatokkal,</w:t>
      </w:r>
    </w:p>
    <w:p w:rsidR="0096654C" w:rsidRPr="00BD5EC6" w:rsidRDefault="0096654C">
      <w:pPr>
        <w:pStyle w:val="Listaszerbekezds"/>
        <w:numPr>
          <w:ilvl w:val="0"/>
          <w:numId w:val="27"/>
        </w:numPr>
        <w:ind w:left="426" w:hanging="426"/>
        <w:jc w:val="both"/>
      </w:pPr>
      <w:r w:rsidRPr="00BD5EC6">
        <w:t>kibocsátott mennyiségek összehasonlítása az illetékes hatóság működési területére vonatkozó mennyiségekkel,</w:t>
      </w:r>
    </w:p>
    <w:p w:rsidR="0096654C" w:rsidRPr="00BD5EC6" w:rsidRDefault="0096654C">
      <w:pPr>
        <w:pStyle w:val="Listaszerbekezds"/>
        <w:numPr>
          <w:ilvl w:val="0"/>
          <w:numId w:val="27"/>
        </w:numPr>
        <w:ind w:left="426" w:hanging="426"/>
        <w:jc w:val="both"/>
      </w:pPr>
      <w:r w:rsidRPr="00BD5EC6">
        <w:t>kibocsátott mennyiségek összehasonlítása EU összes adatokkal,</w:t>
      </w:r>
    </w:p>
    <w:p w:rsidR="0096654C" w:rsidRPr="00BD5EC6" w:rsidRDefault="0096654C">
      <w:pPr>
        <w:pStyle w:val="Listaszerbekezds"/>
        <w:numPr>
          <w:ilvl w:val="0"/>
          <w:numId w:val="27"/>
        </w:numPr>
        <w:ind w:left="426" w:hanging="426"/>
        <w:jc w:val="both"/>
      </w:pPr>
      <w:r w:rsidRPr="00BD5EC6">
        <w:t>kibocsátott mennyiségek összehasonlítása NFR LRTAP adatokkal,</w:t>
      </w:r>
    </w:p>
    <w:p w:rsidR="0096654C" w:rsidRPr="00BD5EC6" w:rsidRDefault="0096654C">
      <w:pPr>
        <w:pStyle w:val="Listaszerbekezds"/>
        <w:numPr>
          <w:ilvl w:val="0"/>
          <w:numId w:val="27"/>
        </w:numPr>
        <w:ind w:left="426" w:hanging="426"/>
        <w:jc w:val="both"/>
      </w:pPr>
      <w:r w:rsidRPr="00BD5EC6">
        <w:t>kibocsátott mennyiségek összehasonlítása ÜHG (UNFCCC) adatokkal,</w:t>
      </w:r>
    </w:p>
    <w:p w:rsidR="00E376DB" w:rsidRPr="00BD5EC6" w:rsidRDefault="0096654C" w:rsidP="00773794">
      <w:pPr>
        <w:pStyle w:val="Listaszerbekezds"/>
        <w:rPr>
          <w:highlight w:val="yellow"/>
        </w:rPr>
      </w:pPr>
      <w:proofErr w:type="gramStart"/>
      <w:r w:rsidRPr="00BD5EC6">
        <w:t>komponensek</w:t>
      </w:r>
      <w:proofErr w:type="gramEnd"/>
      <w:r w:rsidRPr="00BD5EC6">
        <w:t xml:space="preserve"> vizsgálata a PRTR tevékenység besorolás függvényében.</w:t>
      </w:r>
    </w:p>
    <w:p w:rsidR="00E917BF" w:rsidRPr="00BD5EC6" w:rsidRDefault="00E376DB" w:rsidP="00704E97">
      <w:pPr>
        <w:jc w:val="both"/>
      </w:pPr>
      <w:r w:rsidRPr="00BD5EC6">
        <w:t xml:space="preserve">Az üzemeltető által beküldött adatokat az illetékes hatóságok ellenőrzés és </w:t>
      </w:r>
      <w:proofErr w:type="spellStart"/>
      <w:r w:rsidRPr="00BD5EC6">
        <w:t>validálás</w:t>
      </w:r>
      <w:proofErr w:type="spellEnd"/>
      <w:r w:rsidRPr="00BD5EC6">
        <w:t xml:space="preserve"> után elfogadják, ezzel megtörténik a</w:t>
      </w:r>
      <w:r w:rsidR="00483A19" w:rsidRPr="00BD5EC6">
        <w:t>z illetékességi terület szerinti</w:t>
      </w:r>
      <w:r w:rsidRPr="00BD5EC6">
        <w:t xml:space="preserve"> PRTR adatok elfogadása. Az országos adatok elfogadása csak a hatóságok által ellenőrzött és elfogadott adatok rendelkezésre állása után történhet meg. A minisztériumi PRTR vezetői státusszal rendelkező felhasználó ezután </w:t>
      </w:r>
      <w:proofErr w:type="spellStart"/>
      <w:r w:rsidRPr="00BD5EC6">
        <w:t>validálja</w:t>
      </w:r>
      <w:proofErr w:type="spellEnd"/>
      <w:r w:rsidRPr="00BD5EC6">
        <w:t xml:space="preserve"> az az évi adatokat és készíti el a PRTR jelentést a jelentett adatokból. Az OKIR továbbfejlesztése kapcsán elkészült a</w:t>
      </w:r>
      <w:r w:rsidR="00E917BF" w:rsidRPr="00BD5EC6">
        <w:t xml:space="preserve"> PRTR jelentéskészítő modul</w:t>
      </w:r>
      <w:r w:rsidR="00483A19" w:rsidRPr="00BD5EC6">
        <w:t>ja</w:t>
      </w:r>
      <w:r w:rsidR="00E917BF" w:rsidRPr="00BD5EC6">
        <w:t xml:space="preserve"> is, mellyel az Európai honlapra </w:t>
      </w:r>
      <w:r w:rsidR="00483A19" w:rsidRPr="00BD5EC6">
        <w:t xml:space="preserve">a </w:t>
      </w:r>
      <w:r w:rsidR="00E917BF" w:rsidRPr="00BD5EC6">
        <w:t>feltöltés</w:t>
      </w:r>
      <w:r w:rsidR="00483A19" w:rsidRPr="00BD5EC6">
        <w:t>hez</w:t>
      </w:r>
      <w:r w:rsidR="00E917BF" w:rsidRPr="00BD5EC6">
        <w:t xml:space="preserve"> </w:t>
      </w:r>
      <w:r w:rsidR="00483A19" w:rsidRPr="00BD5EC6">
        <w:t>szükséges</w:t>
      </w:r>
      <w:r w:rsidR="00E917BF" w:rsidRPr="00BD5EC6">
        <w:t xml:space="preserve"> </w:t>
      </w:r>
      <w:proofErr w:type="spellStart"/>
      <w:r w:rsidR="00E917BF" w:rsidRPr="00BD5EC6">
        <w:t>xml</w:t>
      </w:r>
      <w:proofErr w:type="spellEnd"/>
      <w:r w:rsidR="00E917BF" w:rsidRPr="00BD5EC6">
        <w:t xml:space="preserve"> file állítható elő.</w:t>
      </w:r>
    </w:p>
    <w:p w:rsidR="00BD5EC6" w:rsidRPr="00773794" w:rsidRDefault="00BD5EC6" w:rsidP="00704E97">
      <w:pPr>
        <w:jc w:val="both"/>
        <w:rPr>
          <w:noProof/>
          <w:lang w:eastAsia="hu-HU"/>
        </w:rPr>
      </w:pPr>
    </w:p>
    <w:p w:rsidR="00F86CA4" w:rsidRPr="00BD5EC6" w:rsidRDefault="00A2084A">
      <w:pPr>
        <w:jc w:val="both"/>
      </w:pPr>
      <w:r w:rsidRPr="00BD5EC6">
        <w:t xml:space="preserve">Az üzemeltető által szolgáltatott adatok teljessége a </w:t>
      </w:r>
      <w:r w:rsidR="001B559B" w:rsidRPr="00BD5EC6">
        <w:t>környezetvédelmi hatóság</w:t>
      </w:r>
      <w:r w:rsidRPr="00BD5EC6">
        <w:t xml:space="preserve"> értékelése szerint általánosan jó. A jelentett adatok az I. mellékletben megadott tevékenységekre és a II. mellékletben meghatározott szennyezőanyagok küszöbértékeket meghaladó mennyiségeire vonatkoznak. </w:t>
      </w:r>
    </w:p>
    <w:p w:rsidR="00F86CA4" w:rsidRPr="00BD5EC6" w:rsidRDefault="00541306" w:rsidP="00DD5BA9">
      <w:pPr>
        <w:ind w:hanging="426"/>
        <w:jc w:val="both"/>
        <w:rPr>
          <w:b/>
          <w:i/>
          <w:u w:val="single"/>
        </w:rPr>
      </w:pPr>
      <w:r w:rsidRPr="00BD5EC6">
        <w:rPr>
          <w:b/>
          <w:i/>
        </w:rPr>
        <w:t>11</w:t>
      </w:r>
      <w:r w:rsidR="001A7D06" w:rsidRPr="00BD5EC6">
        <w:rPr>
          <w:b/>
          <w:i/>
        </w:rPr>
        <w:t>.</w:t>
      </w:r>
      <w:r w:rsidR="001A7D06" w:rsidRPr="00BD5EC6">
        <w:rPr>
          <w:b/>
          <w:i/>
        </w:rPr>
        <w:tab/>
      </w:r>
      <w:r w:rsidR="00F86CA4" w:rsidRPr="00BD5EC6">
        <w:rPr>
          <w:b/>
          <w:i/>
          <w:u w:val="single"/>
        </w:rPr>
        <w:t>11. cikk</w:t>
      </w:r>
      <w:r w:rsidR="00132516" w:rsidRPr="00BD5EC6">
        <w:rPr>
          <w:b/>
          <w:i/>
          <w:u w:val="single"/>
        </w:rPr>
        <w:t xml:space="preserve"> </w:t>
      </w:r>
      <w:r w:rsidR="005D3EE2" w:rsidRPr="00BD5EC6">
        <w:rPr>
          <w:b/>
          <w:i/>
          <w:u w:val="single"/>
        </w:rPr>
        <w:t>a nyilvános hozzáférés az információhoz</w:t>
      </w:r>
    </w:p>
    <w:p w:rsidR="00F86CA4" w:rsidRPr="00BD5EC6" w:rsidRDefault="00F86CA4" w:rsidP="00F86CA4">
      <w:pPr>
        <w:jc w:val="both"/>
        <w:rPr>
          <w:i/>
        </w:rPr>
      </w:pPr>
      <w:r w:rsidRPr="00BD5EC6">
        <w:rPr>
          <w:i/>
        </w:rPr>
        <w:t xml:space="preserve">Ismertesse, hogy – a 11. cikk (Nyilvános hozzáférés az információkhoz) előírásaira tekintettel – milyen </w:t>
      </w:r>
      <w:proofErr w:type="gramStart"/>
      <w:r w:rsidRPr="00BD5EC6">
        <w:rPr>
          <w:i/>
        </w:rPr>
        <w:t>mód(</w:t>
      </w:r>
      <w:proofErr w:type="gramEnd"/>
      <w:r w:rsidRPr="00BD5EC6">
        <w:rPr>
          <w:i/>
        </w:rPr>
        <w:t>ok)</w:t>
      </w:r>
      <w:proofErr w:type="spellStart"/>
      <w:r w:rsidRPr="00BD5EC6">
        <w:rPr>
          <w:i/>
        </w:rPr>
        <w:t>on</w:t>
      </w:r>
      <w:proofErr w:type="spellEnd"/>
      <w:r w:rsidRPr="00BD5EC6">
        <w:rPr>
          <w:i/>
        </w:rPr>
        <w:t xml:space="preserve"> segítik elő a nyilvánosság hozzáférését a nyilvántartásban lévő információkhoz.</w:t>
      </w:r>
    </w:p>
    <w:p w:rsidR="00477E53" w:rsidRPr="00BD5EC6" w:rsidRDefault="00F86CA4" w:rsidP="00477E53">
      <w:pPr>
        <w:spacing w:after="0"/>
        <w:jc w:val="both"/>
        <w:rPr>
          <w:rFonts w:eastAsia="Times New Roman" w:cs="Times New Roman"/>
          <w:bCs/>
        </w:rPr>
      </w:pPr>
      <w:r w:rsidRPr="00BD5EC6">
        <w:t xml:space="preserve">A PRTR adatok a nyilvánosság hozzáférésének megkönnyítése céljára kifejlesztett honlapon keresztül érhetők el. </w:t>
      </w:r>
      <w:r w:rsidR="00477E53" w:rsidRPr="00BD5EC6">
        <w:rPr>
          <w:rFonts w:eastAsia="Times New Roman" w:cs="Times New Roman"/>
          <w:bCs/>
        </w:rPr>
        <w:t xml:space="preserve">A fejlesztés eredményeképpen létrejött a megújult OKIR nyilvánosság tájékoztatásához szükséges publikus, internetes felülete. Az internetes honlapon megjelenő környezeti információk tekintetében az ún. </w:t>
      </w:r>
      <w:proofErr w:type="gramStart"/>
      <w:r w:rsidR="00477E53" w:rsidRPr="00BD5EC6">
        <w:rPr>
          <w:rFonts w:eastAsia="Times New Roman" w:cs="Times New Roman"/>
          <w:bCs/>
        </w:rPr>
        <w:t>nyilvánosságra</w:t>
      </w:r>
      <w:proofErr w:type="gramEnd"/>
      <w:r w:rsidR="00477E53" w:rsidRPr="00BD5EC6">
        <w:rPr>
          <w:rFonts w:eastAsia="Times New Roman" w:cs="Times New Roman"/>
          <w:bCs/>
        </w:rPr>
        <w:t xml:space="preserve"> hozandó közérdekű adatok ingyen elérhetők.</w:t>
      </w:r>
    </w:p>
    <w:p w:rsidR="00F86CA4" w:rsidRPr="00BD5EC6" w:rsidRDefault="00F86CA4" w:rsidP="00773794">
      <w:pPr>
        <w:jc w:val="both"/>
      </w:pPr>
      <w:r w:rsidRPr="00BD5EC6">
        <w:t>A honlap címe:</w:t>
      </w:r>
      <w:r w:rsidR="00477E53" w:rsidRPr="00BD5EC6">
        <w:rPr>
          <w:rStyle w:val="Hiperhivatkozs"/>
          <w:color w:val="auto"/>
        </w:rPr>
        <w:t xml:space="preserve"> </w:t>
      </w:r>
      <w:hyperlink r:id="rId15" w:history="1">
        <w:r w:rsidR="00477E53" w:rsidRPr="00BD5EC6">
          <w:rPr>
            <w:rStyle w:val="Hiperhivatkozs"/>
          </w:rPr>
          <w:t>http://web.okir.hu/hu/eprtr</w:t>
        </w:r>
      </w:hyperlink>
      <w:proofErr w:type="gramStart"/>
      <w:r w:rsidR="00477E53" w:rsidRPr="00BD5EC6">
        <w:t>.</w:t>
      </w:r>
      <w:r w:rsidR="00DD5BA9" w:rsidRPr="00BD5EC6">
        <w:rPr>
          <w:rStyle w:val="Hiperhivatkozs"/>
          <w:color w:val="auto"/>
          <w:u w:val="none"/>
        </w:rPr>
        <w:t>.</w:t>
      </w:r>
      <w:proofErr w:type="gramEnd"/>
      <w:r w:rsidR="00DD5BA9" w:rsidRPr="00BD5EC6">
        <w:rPr>
          <w:rStyle w:val="Hiperhivatkozs"/>
          <w:color w:val="auto"/>
          <w:u w:val="none"/>
        </w:rPr>
        <w:t xml:space="preserve"> Ezen k</w:t>
      </w:r>
      <w:r w:rsidR="00541306" w:rsidRPr="00BD5EC6">
        <w:rPr>
          <w:rStyle w:val="Hiperhivatkozs"/>
          <w:color w:val="auto"/>
          <w:u w:val="none"/>
        </w:rPr>
        <w:t>í</w:t>
      </w:r>
      <w:r w:rsidR="00DD5BA9" w:rsidRPr="00BD5EC6">
        <w:rPr>
          <w:rStyle w:val="Hiperhivatkozs"/>
          <w:color w:val="auto"/>
          <w:u w:val="none"/>
        </w:rPr>
        <w:t>v</w:t>
      </w:r>
      <w:r w:rsidR="00541306" w:rsidRPr="00BD5EC6">
        <w:rPr>
          <w:rStyle w:val="Hiperhivatkozs"/>
          <w:color w:val="auto"/>
          <w:u w:val="none"/>
        </w:rPr>
        <w:t>ü</w:t>
      </w:r>
      <w:r w:rsidR="00DD5BA9" w:rsidRPr="00BD5EC6">
        <w:rPr>
          <w:rStyle w:val="Hiperhivatkozs"/>
          <w:color w:val="auto"/>
          <w:u w:val="none"/>
        </w:rPr>
        <w:t xml:space="preserve">l a PRTR adatok elérhetők még az EU nyilvánosság tájékoztatására létesített honlapon </w:t>
      </w:r>
      <w:hyperlink r:id="rId16" w:tgtFrame="_blank" w:history="1">
        <w:r w:rsidR="00DD5BA9" w:rsidRPr="00BD5EC6">
          <w:rPr>
            <w:rStyle w:val="Hiperhivatkozs"/>
            <w:color w:val="auto"/>
          </w:rPr>
          <w:t>http://prtr.ec.europa.eu/</w:t>
        </w:r>
      </w:hyperlink>
      <w:r w:rsidR="00BD5EC6">
        <w:rPr>
          <w:rStyle w:val="Hiperhivatkozs"/>
          <w:color w:val="auto"/>
        </w:rPr>
        <w:t xml:space="preserve"> .</w:t>
      </w:r>
    </w:p>
    <w:p w:rsidR="00F86CA4" w:rsidRPr="00BD5EC6" w:rsidRDefault="00F86CA4" w:rsidP="0054364C">
      <w:pPr>
        <w:spacing w:after="0"/>
        <w:jc w:val="both"/>
      </w:pPr>
    </w:p>
    <w:p w:rsidR="00F86CA4" w:rsidRPr="00BD5EC6" w:rsidRDefault="007E5272" w:rsidP="00DD5BA9">
      <w:pPr>
        <w:spacing w:after="0"/>
        <w:ind w:hanging="426"/>
        <w:jc w:val="both"/>
        <w:rPr>
          <w:b/>
          <w:i/>
          <w:u w:val="single"/>
        </w:rPr>
      </w:pPr>
      <w:r w:rsidRPr="00BD5EC6">
        <w:rPr>
          <w:b/>
          <w:i/>
        </w:rPr>
        <w:t>1</w:t>
      </w:r>
      <w:r w:rsidR="00541306" w:rsidRPr="00BD5EC6">
        <w:rPr>
          <w:b/>
          <w:i/>
        </w:rPr>
        <w:t>2</w:t>
      </w:r>
      <w:r w:rsidR="001A7D06" w:rsidRPr="00BD5EC6">
        <w:rPr>
          <w:b/>
          <w:i/>
        </w:rPr>
        <w:t>.</w:t>
      </w:r>
      <w:r w:rsidR="001A7D06" w:rsidRPr="00BD5EC6">
        <w:rPr>
          <w:b/>
          <w:i/>
        </w:rPr>
        <w:tab/>
      </w:r>
      <w:r w:rsidR="00F86CA4" w:rsidRPr="00BD5EC6">
        <w:rPr>
          <w:b/>
          <w:i/>
          <w:u w:val="single"/>
        </w:rPr>
        <w:t>12. cikk</w:t>
      </w:r>
      <w:r w:rsidR="005D3EE2" w:rsidRPr="00BD5EC6">
        <w:rPr>
          <w:b/>
          <w:i/>
          <w:u w:val="single"/>
        </w:rPr>
        <w:t xml:space="preserve"> a bizalmas adatkezelés</w:t>
      </w:r>
    </w:p>
    <w:p w:rsidR="00DD5BA9" w:rsidRPr="00BD5EC6" w:rsidRDefault="00DD5BA9" w:rsidP="00F86CA4">
      <w:pPr>
        <w:jc w:val="both"/>
      </w:pPr>
    </w:p>
    <w:p w:rsidR="00F86CA4" w:rsidRPr="00BD5EC6" w:rsidRDefault="00F86CA4" w:rsidP="00F86CA4">
      <w:pPr>
        <w:jc w:val="both"/>
        <w:rPr>
          <w:i/>
        </w:rPr>
      </w:pPr>
      <w:r w:rsidRPr="00BD5EC6">
        <w:rPr>
          <w:i/>
        </w:rPr>
        <w:t xml:space="preserve">Ahol a nyilvántartás bármely részét bizalmasan kezelik, adja meg, hogy – a 12. cikk (Bizalmasság) előírásaira tekintettel – milyen típusú információkat lehet visszatartani, és hogy milyen gyakorisággal történik információ-visszatartás. </w:t>
      </w:r>
      <w:r w:rsidR="001B559B" w:rsidRPr="00BD5EC6">
        <w:rPr>
          <w:i/>
        </w:rPr>
        <w:t>Kérjük,</w:t>
      </w:r>
      <w:r w:rsidRPr="00BD5EC6">
        <w:rPr>
          <w:i/>
        </w:rPr>
        <w:t xml:space="preserve"> írja le észrevételeit azokkal a gyakorlati tapasztalatokkal és kihívásokkal kapcsolatosan, amelyekkel a bizalmassági igények kezelése során találkoztak, különösen a 2. bekezdésben meghatározott előírásokra tekintettel.</w:t>
      </w:r>
    </w:p>
    <w:p w:rsidR="00F86CA4" w:rsidRPr="00BD5EC6" w:rsidRDefault="00D400B6" w:rsidP="00F86CA4">
      <w:pPr>
        <w:jc w:val="both"/>
        <w:rPr>
          <w:rFonts w:ascii="Calibri" w:hAnsi="Calibri"/>
        </w:rPr>
      </w:pPr>
      <w:r w:rsidRPr="00BD5EC6">
        <w:rPr>
          <w:rFonts w:ascii="Calibri" w:hAnsi="Calibri"/>
        </w:rPr>
        <w:t xml:space="preserve">Az üzemeltetők részéről bizalmas adatkezelésre irányuló igény, kérés az adatszolgáltatás során nem </w:t>
      </w:r>
      <w:r w:rsidR="00DD5BA9" w:rsidRPr="00BD5EC6">
        <w:rPr>
          <w:rFonts w:ascii="Calibri" w:hAnsi="Calibri"/>
        </w:rPr>
        <w:t>érkezett</w:t>
      </w:r>
      <w:r w:rsidRPr="00BD5EC6">
        <w:rPr>
          <w:rFonts w:ascii="Calibri" w:hAnsi="Calibri"/>
        </w:rPr>
        <w:t>.</w:t>
      </w:r>
    </w:p>
    <w:p w:rsidR="00F86CA4" w:rsidRPr="00BD5EC6" w:rsidRDefault="007E5272" w:rsidP="00DD5BA9">
      <w:pPr>
        <w:ind w:hanging="426"/>
        <w:jc w:val="both"/>
        <w:rPr>
          <w:b/>
          <w:i/>
          <w:u w:val="single"/>
        </w:rPr>
      </w:pPr>
      <w:r w:rsidRPr="00BD5EC6">
        <w:rPr>
          <w:b/>
          <w:i/>
        </w:rPr>
        <w:t>1</w:t>
      </w:r>
      <w:r w:rsidR="00541306" w:rsidRPr="00BD5EC6">
        <w:rPr>
          <w:b/>
          <w:i/>
        </w:rPr>
        <w:t>3</w:t>
      </w:r>
      <w:r w:rsidR="001A7D06" w:rsidRPr="00BD5EC6">
        <w:rPr>
          <w:b/>
          <w:i/>
        </w:rPr>
        <w:t>.</w:t>
      </w:r>
      <w:r w:rsidR="001A7D06" w:rsidRPr="00BD5EC6">
        <w:rPr>
          <w:b/>
          <w:i/>
        </w:rPr>
        <w:tab/>
      </w:r>
      <w:r w:rsidR="00F86CA4" w:rsidRPr="00BD5EC6">
        <w:rPr>
          <w:b/>
          <w:i/>
          <w:u w:val="single"/>
        </w:rPr>
        <w:t>13. cikk</w:t>
      </w:r>
      <w:r w:rsidR="001B559B" w:rsidRPr="00BD5EC6">
        <w:rPr>
          <w:b/>
          <w:i/>
          <w:u w:val="single"/>
        </w:rPr>
        <w:t xml:space="preserve"> a</w:t>
      </w:r>
      <w:r w:rsidR="005D3EE2" w:rsidRPr="00BD5EC6">
        <w:rPr>
          <w:b/>
          <w:i/>
          <w:u w:val="single"/>
        </w:rPr>
        <w:t xml:space="preserve"> nyilvánosság részvétele a nemzeti PRTR kialakításában</w:t>
      </w:r>
    </w:p>
    <w:p w:rsidR="00F86CA4" w:rsidRPr="00BD5EC6" w:rsidRDefault="009909F7" w:rsidP="009909F7">
      <w:pPr>
        <w:jc w:val="both"/>
        <w:rPr>
          <w:i/>
        </w:rPr>
      </w:pPr>
      <w:r w:rsidRPr="00BD5EC6">
        <w:rPr>
          <w:i/>
        </w:rPr>
        <w:t>Ismertesse a nemzeti PRTR rendszer fejlesztésében való nyilvános részvétel lehetőségeit a 13. cikkel (A nyilvánosság részvétele a nemzeti szennyezőanyag-kibocsátási és szállítási nyilvántartások kialakításában) összhangban, továbbá a nyilvánosságnak a rendszer fejlesztésében történő részvételével kapcsolatos összes releváns tapasztalatot.</w:t>
      </w:r>
    </w:p>
    <w:p w:rsidR="00D400B6" w:rsidRPr="00BD5EC6" w:rsidRDefault="005D3EE2" w:rsidP="00D400B6">
      <w:pPr>
        <w:jc w:val="both"/>
      </w:pPr>
      <w:r w:rsidRPr="00BD5EC6">
        <w:t>A</w:t>
      </w:r>
      <w:r w:rsidR="00D400B6" w:rsidRPr="00BD5EC6">
        <w:t xml:space="preserve"> PRTR </w:t>
      </w:r>
      <w:r w:rsidR="005E2DC0" w:rsidRPr="00BD5EC6">
        <w:t>JK</w:t>
      </w:r>
      <w:r w:rsidR="00D400B6" w:rsidRPr="00BD5EC6">
        <w:t xml:space="preserve"> magyarországi törvénybe iktatása előtt a környezetvédelemért felelős tárca a civilek és a </w:t>
      </w:r>
      <w:proofErr w:type="spellStart"/>
      <w:r w:rsidR="00D400B6" w:rsidRPr="00BD5EC6">
        <w:t>PRTR-ben</w:t>
      </w:r>
      <w:proofErr w:type="spellEnd"/>
      <w:r w:rsidR="00D400B6" w:rsidRPr="00BD5EC6">
        <w:t xml:space="preserve"> érintett nagyobb gazdasági szereplőket képviselő szervezetek részvételével konzultációs lehetőséget biztosított. A szakmai konzultáció témája a nemzeti PRTR nyilvántartás kialakításához kapcsolódott. A Konzultáció keretében </w:t>
      </w:r>
      <w:r w:rsidR="005101A5" w:rsidRPr="00BD5EC6">
        <w:t xml:space="preserve">előadás hangzott el </w:t>
      </w:r>
      <w:r w:rsidR="00D400B6" w:rsidRPr="00BD5EC6">
        <w:t xml:space="preserve">a PRTR </w:t>
      </w:r>
      <w:r w:rsidR="005101A5" w:rsidRPr="00BD5EC6">
        <w:t>kialakításának</w:t>
      </w:r>
      <w:r w:rsidR="00D400B6" w:rsidRPr="00BD5EC6">
        <w:t xml:space="preserve"> helyzetéről, a </w:t>
      </w:r>
      <w:r w:rsidR="005101A5" w:rsidRPr="00BD5EC6">
        <w:t xml:space="preserve">kapcsolódó </w:t>
      </w:r>
      <w:r w:rsidR="00D400B6" w:rsidRPr="00BD5EC6">
        <w:t xml:space="preserve">jogszabályi változásokról, valamint a további fejlesztési irányokról, terveinkről. Ennek keretében </w:t>
      </w:r>
      <w:r w:rsidR="005101A5" w:rsidRPr="00BD5EC6">
        <w:t xml:space="preserve">a résztvevő felek tájékoztatást kaptak a környezetvédelemért felelős tárca </w:t>
      </w:r>
      <w:r w:rsidR="00D400B6" w:rsidRPr="00BD5EC6">
        <w:t>szakmai álláspontjá</w:t>
      </w:r>
      <w:r w:rsidR="005101A5" w:rsidRPr="00BD5EC6">
        <w:t xml:space="preserve">ról a nemzeti </w:t>
      </w:r>
      <w:r w:rsidR="00D400B6" w:rsidRPr="00BD5EC6">
        <w:t>PRTR kialakításá</w:t>
      </w:r>
      <w:r w:rsidR="005101A5" w:rsidRPr="00BD5EC6">
        <w:t>val kapcsolatban</w:t>
      </w:r>
      <w:r w:rsidR="00D400B6" w:rsidRPr="00BD5EC6">
        <w:t xml:space="preserve">. </w:t>
      </w:r>
      <w:r w:rsidR="005101A5" w:rsidRPr="00BD5EC6">
        <w:t xml:space="preserve">Ennek kapcsán elmondtuk, hogy a nemzeti </w:t>
      </w:r>
      <w:r w:rsidR="00D400B6" w:rsidRPr="00BD5EC6">
        <w:t xml:space="preserve">PRTR rendszer az E-PRTR </w:t>
      </w:r>
      <w:r w:rsidR="005101A5" w:rsidRPr="00BD5EC6">
        <w:t xml:space="preserve">rendeletben előírt </w:t>
      </w:r>
      <w:r w:rsidR="00D400B6" w:rsidRPr="00BD5EC6">
        <w:t>rendszert követi. Nem célunk két párhuzamos rendszer fenntartása egymás mellett, ugyanakkor nyitottak vagyunk bármilyen szalmailag jól megalapozott kezdeményezés fogadására a PRTR rendszer fejlesztéséhez kapcsolódóan. A megbeszélés során elhangzott, hogy a minisztérium számít a civil szervezetek segítségére a</w:t>
      </w:r>
      <w:r w:rsidR="00132516" w:rsidRPr="00BD5EC6">
        <w:t>z</w:t>
      </w:r>
      <w:r w:rsidR="00D400B6" w:rsidRPr="00BD5EC6">
        <w:t xml:space="preserve"> E-PRTR, PRTR adatok értékelésében, valamint a PRTR honlap kialakításában. Az értékelésben egységes értelmezést kellene adni az adatoknak.</w:t>
      </w:r>
    </w:p>
    <w:p w:rsidR="009909F7" w:rsidRPr="00BD5EC6" w:rsidRDefault="005D45E7" w:rsidP="00D400B6">
      <w:pPr>
        <w:jc w:val="both"/>
      </w:pPr>
      <w:r w:rsidRPr="00BD5EC6">
        <w:t>Az Új Magyarország Fejlesztési Terv</w:t>
      </w:r>
      <w:r w:rsidR="0098761A" w:rsidRPr="00BD5EC6">
        <w:t xml:space="preserve"> keretein belül</w:t>
      </w:r>
      <w:r w:rsidRPr="00BD5EC6">
        <w:t xml:space="preserve">, a Környezet és Energia Operatív Program </w:t>
      </w:r>
      <w:r w:rsidR="0098761A" w:rsidRPr="00BD5EC6">
        <w:t>PRTR pályázati fejlesztési tervét</w:t>
      </w:r>
      <w:r w:rsidR="001B559B" w:rsidRPr="00BD5EC6">
        <w:t>,</w:t>
      </w:r>
      <w:r w:rsidRPr="00BD5EC6">
        <w:t xml:space="preserve"> kidolgozása során mind a környezetvédelemért felelős minisztérium, mind a Nemzeti Fejlesztési Ügynökség a tervezeteket nyilvános véleményezésre, partnerségi vitára bocsátotta, valamint a Nemzeti Fejlesztési Ügynökség a civil szervezetek számára több körben nyilvános szakmai fórumot és szakmai egyeztető megbeszélést szervezett. </w:t>
      </w:r>
    </w:p>
    <w:p w:rsidR="003B5EAC" w:rsidRPr="00BD5EC6" w:rsidRDefault="0096654C" w:rsidP="00D400B6">
      <w:pPr>
        <w:jc w:val="both"/>
      </w:pPr>
      <w:r w:rsidRPr="00BD5EC6">
        <w:t xml:space="preserve">2014-ben </w:t>
      </w:r>
      <w:r w:rsidRPr="00BD5EC6">
        <w:rPr>
          <w:rFonts w:cs="Times New Roman"/>
        </w:rPr>
        <w:t>a K</w:t>
      </w:r>
      <w:r w:rsidR="00632229" w:rsidRPr="00BD5EC6">
        <w:rPr>
          <w:rFonts w:cs="Times New Roman"/>
        </w:rPr>
        <w:t>EOP-6.3.0/2F/11-2012-0002. „</w:t>
      </w:r>
      <w:r w:rsidR="00632229" w:rsidRPr="00BD5EC6">
        <w:rPr>
          <w:rFonts w:eastAsia="Times New Roman" w:cs="Times New Roman"/>
          <w:color w:val="000000"/>
          <w:lang w:eastAsia="x-none"/>
        </w:rPr>
        <w:t>OKIR Környezet- és természetvédelmi alapinfrastruktúra fejlesztés, alrendszerek továbbfejlesztése” nevű</w:t>
      </w:r>
      <w:r w:rsidRPr="00BD5EC6">
        <w:rPr>
          <w:rFonts w:cs="Times New Roman"/>
        </w:rPr>
        <w:t xml:space="preserve"> projekt végrehajtása során az Országos Környezetvédelmi Információs Rendszer </w:t>
      </w:r>
      <w:r w:rsidR="003B5EAC" w:rsidRPr="00BD5EC6">
        <w:t>megújult. 2015-tól elektro</w:t>
      </w:r>
      <w:r w:rsidRPr="00BD5EC6">
        <w:t>ni</w:t>
      </w:r>
      <w:r w:rsidR="003B5EAC" w:rsidRPr="00BD5EC6">
        <w:t>k</w:t>
      </w:r>
      <w:r w:rsidRPr="00BD5EC6">
        <w:t>ussá vált a</w:t>
      </w:r>
      <w:r w:rsidR="003B5EAC" w:rsidRPr="00BD5EC6">
        <w:t xml:space="preserve"> környezeti adatokról az adatszolgáltatás. </w:t>
      </w:r>
      <w:r w:rsidRPr="00BD5EC6">
        <w:t>A megújult rendszer</w:t>
      </w:r>
      <w:r w:rsidR="00E917BF" w:rsidRPr="00BD5EC6">
        <w:t>r</w:t>
      </w:r>
      <w:r w:rsidRPr="00BD5EC6">
        <w:t>ől képzéseket tartottunk mind a hatóság, mind az üzemeltetők részére 2014, 2015 és 2016 során (lásd bővebben 15 pont).</w:t>
      </w:r>
    </w:p>
    <w:p w:rsidR="009909F7" w:rsidRPr="00BD5EC6" w:rsidRDefault="001A7D06" w:rsidP="005D3EE2">
      <w:pPr>
        <w:ind w:hanging="426"/>
        <w:jc w:val="both"/>
        <w:rPr>
          <w:b/>
          <w:i/>
          <w:u w:val="single"/>
        </w:rPr>
      </w:pPr>
      <w:r w:rsidRPr="00BD5EC6">
        <w:rPr>
          <w:b/>
          <w:i/>
        </w:rPr>
        <w:t>1</w:t>
      </w:r>
      <w:r w:rsidR="00541306" w:rsidRPr="00BD5EC6">
        <w:rPr>
          <w:b/>
          <w:i/>
        </w:rPr>
        <w:t>4</w:t>
      </w:r>
      <w:r w:rsidRPr="00BD5EC6">
        <w:rPr>
          <w:b/>
          <w:i/>
        </w:rPr>
        <w:t>.</w:t>
      </w:r>
      <w:r w:rsidRPr="00BD5EC6">
        <w:rPr>
          <w:b/>
          <w:i/>
        </w:rPr>
        <w:tab/>
      </w:r>
      <w:r w:rsidR="009909F7" w:rsidRPr="00BD5EC6">
        <w:rPr>
          <w:b/>
          <w:i/>
          <w:u w:val="single"/>
        </w:rPr>
        <w:t>14</w:t>
      </w:r>
      <w:proofErr w:type="gramStart"/>
      <w:r w:rsidR="009909F7" w:rsidRPr="00BD5EC6">
        <w:rPr>
          <w:b/>
          <w:i/>
          <w:u w:val="single"/>
        </w:rPr>
        <w:t>.cikk</w:t>
      </w:r>
      <w:proofErr w:type="gramEnd"/>
      <w:r w:rsidR="005D3EE2" w:rsidRPr="00BD5EC6">
        <w:rPr>
          <w:b/>
          <w:i/>
          <w:u w:val="single"/>
        </w:rPr>
        <w:t xml:space="preserve"> az igazságszolgáltatáshoz való jog biztosítása</w:t>
      </w:r>
    </w:p>
    <w:p w:rsidR="009909F7" w:rsidRPr="00BD5EC6" w:rsidRDefault="009909F7" w:rsidP="009909F7">
      <w:pPr>
        <w:jc w:val="both"/>
        <w:rPr>
          <w:i/>
        </w:rPr>
      </w:pPr>
      <w:r w:rsidRPr="00BD5EC6">
        <w:rPr>
          <w:i/>
        </w:rPr>
        <w:t>Ismertesse a törvény által meghatározott felülvizsgálati eljárást, amely mindenki számára nyitva áll, ha úgy véli, hogy információkérelmét figyelmen kívül hagyták, jogtalanul elutasították, vagy egyéb tekintetben nem kezeltek a 14. cikk (Az igazságszolgáltatáshoz való jog biztosítása) rendelkezéseivel összhangban, és ennek bármely alkalmazását.</w:t>
      </w:r>
    </w:p>
    <w:p w:rsidR="009909F7" w:rsidRPr="00BD5EC6" w:rsidRDefault="00A2084A" w:rsidP="009909F7">
      <w:pPr>
        <w:jc w:val="both"/>
      </w:pPr>
      <w:r w:rsidRPr="00BD5EC6">
        <w:t xml:space="preserve">Az információs önrendelkezési jogról és az információszabadságról szóló </w:t>
      </w:r>
      <w:r w:rsidR="00C466F6" w:rsidRPr="00BD5EC6">
        <w:t>2011. évi CXII. törvény</w:t>
      </w:r>
      <w:r w:rsidRPr="00BD5EC6">
        <w:t xml:space="preserve"> biztosítja, hogy amennyiben </w:t>
      </w:r>
      <w:r w:rsidR="00C466F6" w:rsidRPr="00BD5EC6">
        <w:t xml:space="preserve">az érintett </w:t>
      </w:r>
      <w:r w:rsidRPr="00BD5EC6">
        <w:t>közérdekű adatra vonatkozó igényét nem teljesítik, az igénylő a bírósághoz fordulhat. A megtagadás jogszerűségét és megalapozottságát az adatot kezelő szerv köteles bizonyítani. A per megindítására a megtagadás közlésétől, illetve a 15 napos adatnyújtási határidő eredménytelen leteltétől számított 30 nap áll az érintett rendelkezésére. A bíróság ezekben az ügyekben soron kívül jár el.</w:t>
      </w:r>
    </w:p>
    <w:p w:rsidR="00A675D5" w:rsidRPr="00BD5EC6" w:rsidRDefault="00A675D5" w:rsidP="00A675D5">
      <w:pPr>
        <w:ind w:hanging="426"/>
        <w:jc w:val="both"/>
        <w:rPr>
          <w:b/>
          <w:i/>
          <w:u w:val="single"/>
        </w:rPr>
      </w:pPr>
      <w:r w:rsidRPr="00BD5EC6">
        <w:rPr>
          <w:b/>
          <w:i/>
        </w:rPr>
        <w:t>1</w:t>
      </w:r>
      <w:r w:rsidR="00541306" w:rsidRPr="00BD5EC6">
        <w:rPr>
          <w:b/>
          <w:i/>
        </w:rPr>
        <w:t>5</w:t>
      </w:r>
      <w:r w:rsidRPr="00BD5EC6">
        <w:rPr>
          <w:b/>
          <w:i/>
        </w:rPr>
        <w:t>.</w:t>
      </w:r>
      <w:r w:rsidRPr="00BD5EC6">
        <w:rPr>
          <w:b/>
          <w:i/>
        </w:rPr>
        <w:tab/>
      </w:r>
      <w:r w:rsidRPr="00BD5EC6">
        <w:rPr>
          <w:b/>
          <w:i/>
          <w:u w:val="single"/>
        </w:rPr>
        <w:t xml:space="preserve">15. cikk a </w:t>
      </w:r>
      <w:r w:rsidR="000D1745" w:rsidRPr="00BD5EC6">
        <w:rPr>
          <w:b/>
          <w:i/>
          <w:u w:val="single"/>
        </w:rPr>
        <w:t>„</w:t>
      </w:r>
      <w:proofErr w:type="spellStart"/>
      <w:r w:rsidR="000D1745" w:rsidRPr="00BD5EC6">
        <w:rPr>
          <w:b/>
          <w:i/>
          <w:u w:val="single"/>
        </w:rPr>
        <w:t>capacity</w:t>
      </w:r>
      <w:proofErr w:type="spellEnd"/>
      <w:r w:rsidR="000D1745" w:rsidRPr="00BD5EC6">
        <w:rPr>
          <w:b/>
          <w:i/>
          <w:u w:val="single"/>
        </w:rPr>
        <w:t xml:space="preserve"> building”</w:t>
      </w:r>
    </w:p>
    <w:p w:rsidR="000D1745" w:rsidRPr="00BD5EC6" w:rsidRDefault="000D1745" w:rsidP="009909F7">
      <w:pPr>
        <w:jc w:val="both"/>
        <w:rPr>
          <w:i/>
        </w:rPr>
      </w:pPr>
      <w:r w:rsidRPr="00BD5EC6">
        <w:rPr>
          <w:i/>
        </w:rPr>
        <w:t xml:space="preserve">Ismertesse, hogy a fél hogyan mozdította elő, hogy a nyilvánosság tájékozott legyen a </w:t>
      </w:r>
      <w:proofErr w:type="spellStart"/>
      <w:r w:rsidRPr="00BD5EC6">
        <w:rPr>
          <w:i/>
        </w:rPr>
        <w:t>PRTR-jével</w:t>
      </w:r>
      <w:proofErr w:type="spellEnd"/>
      <w:r w:rsidRPr="00BD5EC6">
        <w:rPr>
          <w:i/>
        </w:rPr>
        <w:t xml:space="preserve"> kapcsolatban és – a 15. cikkel (kapacitásépítés) összhangban részletezze az alábbiakat:</w:t>
      </w:r>
    </w:p>
    <w:p w:rsidR="000D1745" w:rsidRPr="00BD5EC6" w:rsidRDefault="000D1745" w:rsidP="000D1745">
      <w:pPr>
        <w:jc w:val="both"/>
        <w:rPr>
          <w:i/>
        </w:rPr>
      </w:pPr>
      <w:r w:rsidRPr="00BD5EC6">
        <w:rPr>
          <w:i/>
        </w:rPr>
        <w:t>(a)</w:t>
      </w:r>
      <w:r w:rsidRPr="00BD5EC6">
        <w:rPr>
          <w:i/>
        </w:rPr>
        <w:tab/>
        <w:t xml:space="preserve">Arra irányuló erőfeszítések, hogy megfelelő kapacitásépítést és útmutatást nyújtsanak a közhatóságoknak és </w:t>
      </w:r>
      <w:r w:rsidR="0021423B" w:rsidRPr="00BD5EC6">
        <w:rPr>
          <w:i/>
        </w:rPr>
        <w:t>szerveknek,</w:t>
      </w:r>
      <w:r w:rsidRPr="00BD5EC6">
        <w:rPr>
          <w:i/>
        </w:rPr>
        <w:t xml:space="preserve"> annak érdekében, hogy segítsék őket a </w:t>
      </w:r>
      <w:r w:rsidR="005E2DC0" w:rsidRPr="00BD5EC6">
        <w:rPr>
          <w:i/>
        </w:rPr>
        <w:t>JK</w:t>
      </w:r>
      <w:r w:rsidRPr="00BD5EC6">
        <w:rPr>
          <w:i/>
        </w:rPr>
        <w:t xml:space="preserve"> szerinti feladataik elvégzésében;</w:t>
      </w:r>
    </w:p>
    <w:p w:rsidR="00995033" w:rsidRPr="00BD5EC6" w:rsidRDefault="00995033" w:rsidP="00995033">
      <w:pPr>
        <w:jc w:val="both"/>
      </w:pPr>
      <w:r w:rsidRPr="00BD5EC6">
        <w:t>2007,2008, 2009-ben a Környezetvédelemért felelős tárca 1-1 napos továbbképzést adott a környezetvédelmi hatóságok jogi és szakmai képviselőinek a PRTR bevezetésével kapcsolatos jogszabályi változásokról valamint az adatszolgáltatás végrehajtásával kapcsolatos tapasztalatokról.</w:t>
      </w:r>
    </w:p>
    <w:p w:rsidR="003D4E52" w:rsidRPr="00BD5EC6" w:rsidRDefault="00285B09" w:rsidP="00995033">
      <w:pPr>
        <w:jc w:val="both"/>
      </w:pPr>
      <w:r w:rsidRPr="00BD5EC6">
        <w:t>Az új elektron</w:t>
      </w:r>
      <w:r w:rsidR="003D4E52" w:rsidRPr="00BD5EC6">
        <w:t xml:space="preserve">ikus adatszolgáltatáson alapuló </w:t>
      </w:r>
      <w:r w:rsidR="00663E61" w:rsidRPr="00BD5EC6">
        <w:t xml:space="preserve">Országos Környezetvédelmi Információs </w:t>
      </w:r>
      <w:r w:rsidR="003D4E52" w:rsidRPr="00BD5EC6">
        <w:t xml:space="preserve">Rendszer </w:t>
      </w:r>
      <w:r w:rsidR="00663E61" w:rsidRPr="00BD5EC6">
        <w:t>ismertetése</w:t>
      </w:r>
      <w:r w:rsidRPr="00BD5EC6">
        <w:t xml:space="preserve"> kapcsán </w:t>
      </w:r>
      <w:r w:rsidR="003B5EAC" w:rsidRPr="00BD5EC6">
        <w:t>2014.</w:t>
      </w:r>
      <w:r w:rsidRPr="00BD5EC6">
        <w:t xml:space="preserve"> március 12-én</w:t>
      </w:r>
      <w:r w:rsidR="00663E61" w:rsidRPr="00BD5EC6">
        <w:t>,</w:t>
      </w:r>
      <w:r w:rsidRPr="00BD5EC6">
        <w:t xml:space="preserve"> december 2-án</w:t>
      </w:r>
      <w:r w:rsidR="00663E61" w:rsidRPr="00BD5EC6">
        <w:t>, 2015. március 3-án, október 7-én, 2016. január 28-án, február 16-án</w:t>
      </w:r>
      <w:r w:rsidRPr="00BD5EC6">
        <w:t xml:space="preserve"> tartott </w:t>
      </w:r>
      <w:r w:rsidR="001430E3" w:rsidRPr="00BD5EC6">
        <w:t xml:space="preserve">képzést a környezetvédelmi adatszolgáltatással érintett </w:t>
      </w:r>
      <w:r w:rsidR="001B18FE" w:rsidRPr="00BD5EC6">
        <w:t>üzemeltetőknek a</w:t>
      </w:r>
      <w:r w:rsidR="003D4E52" w:rsidRPr="00BD5EC6">
        <w:t xml:space="preserve"> </w:t>
      </w:r>
      <w:r w:rsidR="001F3F8F" w:rsidRPr="00BD5EC6">
        <w:t>Műszaki és Természettudományi Egyesületek Szövetsége (</w:t>
      </w:r>
      <w:r w:rsidR="003D4E52" w:rsidRPr="00BD5EC6">
        <w:t>MTESZ</w:t>
      </w:r>
      <w:r w:rsidR="001F3F8F" w:rsidRPr="00BD5EC6">
        <w:t>)</w:t>
      </w:r>
      <w:r w:rsidR="003D4E52" w:rsidRPr="00BD5EC6">
        <w:t xml:space="preserve"> </w:t>
      </w:r>
      <w:r w:rsidRPr="00BD5EC6">
        <w:t>a Mi</w:t>
      </w:r>
      <w:r w:rsidR="000A0656" w:rsidRPr="00BD5EC6">
        <w:t>nisztérium</w:t>
      </w:r>
      <w:r w:rsidR="001B18FE" w:rsidRPr="00BD5EC6">
        <w:t xml:space="preserve">, a civil és gazdasági szervezetek szakértőinek bevonásával </w:t>
      </w:r>
      <w:r w:rsidRPr="00BD5EC6">
        <w:t>a Vegyipari Dolgozók Szakszervezetének Székházában</w:t>
      </w:r>
      <w:r w:rsidR="000A0656" w:rsidRPr="00BD5EC6">
        <w:t>.</w:t>
      </w:r>
    </w:p>
    <w:p w:rsidR="003B5EAC" w:rsidRPr="00BD5EC6" w:rsidRDefault="001F3F8F" w:rsidP="00995033">
      <w:pPr>
        <w:jc w:val="both"/>
      </w:pPr>
      <w:r w:rsidRPr="00BD5EC6">
        <w:t xml:space="preserve">A Környezetvédelmi Szolgáltatók és Gyártók </w:t>
      </w:r>
      <w:r w:rsidR="001B18FE" w:rsidRPr="00BD5EC6">
        <w:t>Szövetsége (KSZGYSZ) tagszervezeteinek</w:t>
      </w:r>
      <w:r w:rsidRPr="00BD5EC6">
        <w:t xml:space="preserve"> </w:t>
      </w:r>
      <w:r w:rsidR="001B18FE" w:rsidRPr="00BD5EC6">
        <w:t xml:space="preserve">az OKIR, LAIR, PRTR témakörökben, </w:t>
      </w:r>
      <w:r w:rsidRPr="00BD5EC6">
        <w:t>az új rendszer működését 2014. november 18-án</w:t>
      </w:r>
      <w:r w:rsidR="001B18FE" w:rsidRPr="00BD5EC6">
        <w:t xml:space="preserve"> </w:t>
      </w:r>
      <w:r w:rsidR="00663E61" w:rsidRPr="00BD5EC6">
        <w:t xml:space="preserve">és 2015. december 7-én </w:t>
      </w:r>
      <w:r w:rsidR="001B18FE" w:rsidRPr="00BD5EC6">
        <w:t>mutatta be e.</w:t>
      </w:r>
      <w:r w:rsidRPr="00BD5EC6">
        <w:t xml:space="preserve"> </w:t>
      </w:r>
    </w:p>
    <w:p w:rsidR="00A31703" w:rsidRPr="00BD5EC6" w:rsidRDefault="00663E61" w:rsidP="00995033">
      <w:pPr>
        <w:jc w:val="both"/>
      </w:pPr>
      <w:r w:rsidRPr="00BD5EC6">
        <w:t>2015. február 24.-én,</w:t>
      </w:r>
      <w:r w:rsidR="00A31703" w:rsidRPr="00BD5EC6">
        <w:t xml:space="preserve"> október 14-én</w:t>
      </w:r>
      <w:r w:rsidRPr="00BD5EC6">
        <w:t xml:space="preserve">, </w:t>
      </w:r>
      <w:r w:rsidR="001430E3" w:rsidRPr="00BD5EC6">
        <w:t>2015.</w:t>
      </w:r>
      <w:r w:rsidRPr="00BD5EC6">
        <w:t>december 14-15-én, 2016. március 2-án</w:t>
      </w:r>
      <w:r w:rsidR="00A31703" w:rsidRPr="00BD5EC6">
        <w:t xml:space="preserve"> tartott képzést a Minisztérium az illetékes kormányhivatalok adatszolgáltatással foglalkozó munkatársainak</w:t>
      </w:r>
      <w:r w:rsidRPr="00BD5EC6">
        <w:t xml:space="preserve"> az új OKIR működéséről</w:t>
      </w:r>
      <w:r w:rsidR="00A31703" w:rsidRPr="00BD5EC6">
        <w:t xml:space="preserve">. </w:t>
      </w:r>
      <w:r w:rsidR="00947280" w:rsidRPr="00BD5EC6">
        <w:t>2015 decemberében az összes kormányhivatal illetékes munkatársai részvételével zajlott le az OKIR internetes és felhasználó</w:t>
      </w:r>
      <w:r w:rsidR="001430E3" w:rsidRPr="00BD5EC6">
        <w:t>i</w:t>
      </w:r>
      <w:r w:rsidR="00947280" w:rsidRPr="00BD5EC6">
        <w:t xml:space="preserve"> felületének használatával kapcsolatos képzés, melyet a programok</w:t>
      </w:r>
      <w:r w:rsidR="001430E3" w:rsidRPr="00BD5EC6">
        <w:t>at</w:t>
      </w:r>
      <w:r w:rsidR="00947280" w:rsidRPr="00BD5EC6">
        <w:t xml:space="preserve"> </w:t>
      </w:r>
      <w:r w:rsidR="001430E3" w:rsidRPr="00BD5EC6">
        <w:t>ki</w:t>
      </w:r>
      <w:r w:rsidR="00947280" w:rsidRPr="00BD5EC6">
        <w:t>fejlesztő</w:t>
      </w:r>
      <w:r w:rsidR="001430E3" w:rsidRPr="00BD5EC6">
        <w:t xml:space="preserve"> informatikusok</w:t>
      </w:r>
      <w:r w:rsidR="00947280" w:rsidRPr="00BD5EC6">
        <w:t xml:space="preserve"> tartottak. </w:t>
      </w:r>
    </w:p>
    <w:p w:rsidR="00FB0011" w:rsidRPr="00BD5EC6" w:rsidRDefault="001430E3" w:rsidP="00773794">
      <w:pPr>
        <w:spacing w:after="0" w:line="240" w:lineRule="auto"/>
        <w:jc w:val="both"/>
      </w:pPr>
      <w:r w:rsidRPr="00BD5EC6">
        <w:t>2016. január 20-án a Herman Ottó Intézet szervezett képzést és konzultációt az üzemeltetők részére.</w:t>
      </w:r>
    </w:p>
    <w:p w:rsidR="00FB0011" w:rsidRPr="00BD5EC6" w:rsidRDefault="00FB0011" w:rsidP="00773794">
      <w:pPr>
        <w:spacing w:after="0" w:line="240" w:lineRule="auto"/>
        <w:jc w:val="both"/>
      </w:pPr>
    </w:p>
    <w:p w:rsidR="000D1745" w:rsidRPr="00BD5EC6" w:rsidRDefault="000D1745" w:rsidP="001B559B">
      <w:pPr>
        <w:ind w:left="709" w:hanging="709"/>
      </w:pPr>
      <w:r w:rsidRPr="00BD5EC6">
        <w:t>(b)</w:t>
      </w:r>
      <w:r w:rsidRPr="00BD5EC6">
        <w:tab/>
        <w:t>Segítség és útmutatás a nyilvánosságnak a nemzeti nyilvántartáshoz való hozzáféréshez és az abban szereplő információk felhasználásának megértéséhez.</w:t>
      </w:r>
    </w:p>
    <w:p w:rsidR="00663E61" w:rsidRPr="00BD5EC6" w:rsidRDefault="00DA0248" w:rsidP="000D1745">
      <w:hyperlink r:id="rId17" w:history="1">
        <w:r w:rsidR="00663E61" w:rsidRPr="00BD5EC6">
          <w:rPr>
            <w:rStyle w:val="Hiperhivatkozs"/>
          </w:rPr>
          <w:t>http://web.okir.hu/hu/eprtr</w:t>
        </w:r>
      </w:hyperlink>
    </w:p>
    <w:p w:rsidR="00663E61" w:rsidRDefault="00DA0248" w:rsidP="000D1745">
      <w:hyperlink r:id="rId18" w:history="1">
        <w:r w:rsidR="00BD5EC6" w:rsidRPr="00773794">
          <w:rPr>
            <w:rStyle w:val="Hiperhivatkozs"/>
          </w:rPr>
          <w:t>http://web.okir.hu/hu/tart/index/50/Adatok_lekerdezese</w:t>
        </w:r>
      </w:hyperlink>
    </w:p>
    <w:p w:rsidR="00BD5EC6" w:rsidRPr="00BD5EC6" w:rsidRDefault="00BD5EC6" w:rsidP="000D1745"/>
    <w:p w:rsidR="009909F7" w:rsidRPr="00BD5EC6" w:rsidRDefault="001A7D06" w:rsidP="005D3EE2">
      <w:pPr>
        <w:ind w:hanging="426"/>
        <w:jc w:val="both"/>
        <w:rPr>
          <w:b/>
          <w:i/>
          <w:u w:val="single"/>
        </w:rPr>
      </w:pPr>
      <w:r w:rsidRPr="00BD5EC6">
        <w:rPr>
          <w:b/>
          <w:i/>
        </w:rPr>
        <w:t>1</w:t>
      </w:r>
      <w:r w:rsidR="00541306" w:rsidRPr="00BD5EC6">
        <w:rPr>
          <w:b/>
          <w:i/>
        </w:rPr>
        <w:t>6</w:t>
      </w:r>
      <w:r w:rsidRPr="00BD5EC6">
        <w:rPr>
          <w:b/>
          <w:i/>
        </w:rPr>
        <w:t>.</w:t>
      </w:r>
      <w:r w:rsidRPr="00BD5EC6">
        <w:rPr>
          <w:b/>
          <w:i/>
        </w:rPr>
        <w:tab/>
      </w:r>
      <w:r w:rsidR="009909F7" w:rsidRPr="00BD5EC6">
        <w:rPr>
          <w:b/>
          <w:i/>
          <w:u w:val="single"/>
        </w:rPr>
        <w:t>1</w:t>
      </w:r>
      <w:r w:rsidR="00A675D5" w:rsidRPr="00BD5EC6">
        <w:rPr>
          <w:b/>
          <w:i/>
          <w:u w:val="single"/>
        </w:rPr>
        <w:t>6</w:t>
      </w:r>
      <w:r w:rsidR="009909F7" w:rsidRPr="00BD5EC6">
        <w:rPr>
          <w:b/>
          <w:i/>
          <w:u w:val="single"/>
        </w:rPr>
        <w:t>. cikk</w:t>
      </w:r>
      <w:r w:rsidR="005D3EE2" w:rsidRPr="00BD5EC6">
        <w:rPr>
          <w:b/>
          <w:i/>
          <w:u w:val="single"/>
        </w:rPr>
        <w:t xml:space="preserve"> a </w:t>
      </w:r>
      <w:r w:rsidR="00A675D5" w:rsidRPr="00BD5EC6">
        <w:rPr>
          <w:b/>
          <w:i/>
          <w:u w:val="single"/>
        </w:rPr>
        <w:t xml:space="preserve">nemzetközi </w:t>
      </w:r>
      <w:r w:rsidR="0087620C" w:rsidRPr="00BD5EC6">
        <w:rPr>
          <w:b/>
          <w:i/>
          <w:u w:val="single"/>
        </w:rPr>
        <w:t>e</w:t>
      </w:r>
      <w:r w:rsidR="00A675D5" w:rsidRPr="00BD5EC6">
        <w:rPr>
          <w:b/>
          <w:i/>
          <w:u w:val="single"/>
        </w:rPr>
        <w:t>gyüttműködés</w:t>
      </w:r>
    </w:p>
    <w:p w:rsidR="009909F7" w:rsidRPr="00BD5EC6" w:rsidRDefault="009909F7" w:rsidP="009909F7">
      <w:pPr>
        <w:jc w:val="both"/>
        <w:rPr>
          <w:i/>
        </w:rPr>
      </w:pPr>
      <w:r w:rsidRPr="00BD5EC6">
        <w:rPr>
          <w:i/>
        </w:rPr>
        <w:t>Ismertesse, hogy a fél – megfelelő módon – hogyan működött együtt más felekkel és hogyan segítette őket, és hogyan ösztönözte az együttműködést a releváns nemzetközi szervezetek között, különösen:</w:t>
      </w:r>
    </w:p>
    <w:p w:rsidR="009909F7" w:rsidRPr="00BD5EC6" w:rsidRDefault="009909F7" w:rsidP="009909F7">
      <w:pPr>
        <w:jc w:val="both"/>
        <w:rPr>
          <w:i/>
        </w:rPr>
      </w:pPr>
      <w:r w:rsidRPr="00BD5EC6">
        <w:rPr>
          <w:i/>
        </w:rPr>
        <w:t>(a)</w:t>
      </w:r>
      <w:r w:rsidRPr="00BD5EC6">
        <w:rPr>
          <w:i/>
        </w:rPr>
        <w:tab/>
        <w:t xml:space="preserve">Az 1. bekezdés a) </w:t>
      </w:r>
      <w:proofErr w:type="spellStart"/>
      <w:r w:rsidRPr="00BD5EC6">
        <w:rPr>
          <w:i/>
        </w:rPr>
        <w:t>albekezdésével</w:t>
      </w:r>
      <w:proofErr w:type="spellEnd"/>
      <w:r w:rsidRPr="00BD5EC6">
        <w:rPr>
          <w:i/>
        </w:rPr>
        <w:t xml:space="preserve"> összhangban a </w:t>
      </w:r>
      <w:r w:rsidR="005E2DC0" w:rsidRPr="00BD5EC6">
        <w:rPr>
          <w:i/>
        </w:rPr>
        <w:t>JK</w:t>
      </w:r>
      <w:r w:rsidRPr="00BD5EC6">
        <w:rPr>
          <w:i/>
        </w:rPr>
        <w:t xml:space="preserve"> célkitűzéseit támogató nemzetközi tevékenységekben;</w:t>
      </w:r>
    </w:p>
    <w:p w:rsidR="009909F7" w:rsidRPr="00BD5EC6" w:rsidRDefault="009909F7" w:rsidP="009909F7">
      <w:pPr>
        <w:jc w:val="both"/>
        <w:rPr>
          <w:i/>
        </w:rPr>
      </w:pPr>
      <w:r w:rsidRPr="00BD5EC6">
        <w:rPr>
          <w:i/>
        </w:rPr>
        <w:t>(b)</w:t>
      </w:r>
      <w:r w:rsidRPr="00BD5EC6">
        <w:rPr>
          <w:i/>
        </w:rPr>
        <w:tab/>
        <w:t xml:space="preserve">Az 1. bekezdés b) </w:t>
      </w:r>
      <w:proofErr w:type="spellStart"/>
      <w:r w:rsidRPr="00BD5EC6">
        <w:rPr>
          <w:i/>
        </w:rPr>
        <w:t>albekezdésével</w:t>
      </w:r>
      <w:proofErr w:type="spellEnd"/>
      <w:r w:rsidRPr="00BD5EC6">
        <w:rPr>
          <w:i/>
        </w:rPr>
        <w:t xml:space="preserve"> összhangban az érintett felek közötti kölcsönös megállapodás alapján, a nemzeti rendszerek e </w:t>
      </w:r>
      <w:r w:rsidR="005E2DC0" w:rsidRPr="00BD5EC6">
        <w:rPr>
          <w:i/>
        </w:rPr>
        <w:t>JK</w:t>
      </w:r>
      <w:r w:rsidRPr="00BD5EC6">
        <w:rPr>
          <w:i/>
        </w:rPr>
        <w:t xml:space="preserve"> szerinti kivitelezésében;</w:t>
      </w:r>
    </w:p>
    <w:p w:rsidR="009909F7" w:rsidRPr="00BD5EC6" w:rsidRDefault="009909F7" w:rsidP="009909F7">
      <w:pPr>
        <w:jc w:val="both"/>
        <w:rPr>
          <w:i/>
        </w:rPr>
      </w:pPr>
      <w:r w:rsidRPr="00BD5EC6">
        <w:rPr>
          <w:i/>
        </w:rPr>
        <w:t>(c)</w:t>
      </w:r>
      <w:r w:rsidRPr="00BD5EC6">
        <w:rPr>
          <w:i/>
        </w:rPr>
        <w:tab/>
        <w:t xml:space="preserve">Az 1. bekezdés c) </w:t>
      </w:r>
      <w:proofErr w:type="spellStart"/>
      <w:r w:rsidRPr="00BD5EC6">
        <w:rPr>
          <w:i/>
        </w:rPr>
        <w:t>albekezdésével</w:t>
      </w:r>
      <w:proofErr w:type="spellEnd"/>
      <w:r w:rsidRPr="00BD5EC6">
        <w:rPr>
          <w:i/>
        </w:rPr>
        <w:t xml:space="preserve"> összhangban a </w:t>
      </w:r>
      <w:r w:rsidR="005E2DC0" w:rsidRPr="00BD5EC6">
        <w:rPr>
          <w:i/>
        </w:rPr>
        <w:t>JK</w:t>
      </w:r>
      <w:r w:rsidRPr="00BD5EC6">
        <w:rPr>
          <w:i/>
        </w:rPr>
        <w:t xml:space="preserve"> szerinti, a határvidékeken történő kibocsátásokra és szállításokra vonatkozó információk megosztásában;</w:t>
      </w:r>
    </w:p>
    <w:p w:rsidR="009909F7" w:rsidRPr="00BD5EC6" w:rsidRDefault="009909F7" w:rsidP="009909F7">
      <w:pPr>
        <w:jc w:val="both"/>
        <w:rPr>
          <w:i/>
        </w:rPr>
      </w:pPr>
      <w:r w:rsidRPr="00BD5EC6">
        <w:rPr>
          <w:i/>
        </w:rPr>
        <w:t>(d)</w:t>
      </w:r>
      <w:r w:rsidRPr="00BD5EC6">
        <w:rPr>
          <w:i/>
        </w:rPr>
        <w:tab/>
        <w:t xml:space="preserve">Az 1. bekezdés d) </w:t>
      </w:r>
      <w:proofErr w:type="spellStart"/>
      <w:r w:rsidRPr="00BD5EC6">
        <w:rPr>
          <w:i/>
        </w:rPr>
        <w:t>albekezdésével</w:t>
      </w:r>
      <w:proofErr w:type="spellEnd"/>
      <w:r w:rsidRPr="00BD5EC6">
        <w:rPr>
          <w:i/>
        </w:rPr>
        <w:t xml:space="preserve"> összhangban a felek közötti szállításokra vonatkozó, e </w:t>
      </w:r>
      <w:r w:rsidR="005E2DC0" w:rsidRPr="00BD5EC6">
        <w:rPr>
          <w:i/>
        </w:rPr>
        <w:t>JK</w:t>
      </w:r>
      <w:r w:rsidRPr="00BD5EC6">
        <w:rPr>
          <w:i/>
        </w:rPr>
        <w:t xml:space="preserve"> szerinti információk megosztásában;</w:t>
      </w:r>
    </w:p>
    <w:p w:rsidR="009909F7" w:rsidRPr="00BD5EC6" w:rsidRDefault="009909F7" w:rsidP="009909F7">
      <w:pPr>
        <w:jc w:val="both"/>
        <w:rPr>
          <w:i/>
        </w:rPr>
      </w:pPr>
      <w:r w:rsidRPr="00BD5EC6">
        <w:rPr>
          <w:i/>
        </w:rPr>
        <w:t>(e)</w:t>
      </w:r>
      <w:r w:rsidRPr="00BD5EC6">
        <w:rPr>
          <w:i/>
        </w:rPr>
        <w:tab/>
      </w:r>
      <w:proofErr w:type="gramStart"/>
      <w:r w:rsidRPr="00BD5EC6">
        <w:rPr>
          <w:i/>
        </w:rPr>
        <w:t>A</w:t>
      </w:r>
      <w:proofErr w:type="gramEnd"/>
      <w:r w:rsidRPr="00BD5EC6">
        <w:rPr>
          <w:i/>
        </w:rPr>
        <w:t xml:space="preserve"> 2. bekezdés c) </w:t>
      </w:r>
      <w:proofErr w:type="spellStart"/>
      <w:r w:rsidRPr="00BD5EC6">
        <w:rPr>
          <w:i/>
        </w:rPr>
        <w:t>albekezdésével</w:t>
      </w:r>
      <w:proofErr w:type="spellEnd"/>
      <w:r w:rsidRPr="00BD5EC6">
        <w:rPr>
          <w:i/>
        </w:rPr>
        <w:t xml:space="preserve"> összhangban, a fejlődő országnak vagy átmeneti gazdaságú országnak minősülő feleknek az e </w:t>
      </w:r>
      <w:proofErr w:type="spellStart"/>
      <w:r w:rsidR="005E2DC0" w:rsidRPr="00BD5EC6">
        <w:rPr>
          <w:i/>
        </w:rPr>
        <w:t>JK</w:t>
      </w:r>
      <w:r w:rsidRPr="00BD5EC6">
        <w:rPr>
          <w:i/>
        </w:rPr>
        <w:t>höz</w:t>
      </w:r>
      <w:proofErr w:type="spellEnd"/>
      <w:r w:rsidRPr="00BD5EC6">
        <w:rPr>
          <w:i/>
        </w:rPr>
        <w:t xml:space="preserve"> kapcsolódó kérdésekben történő szaktanácsadás-nyújtáson keresztül.</w:t>
      </w:r>
    </w:p>
    <w:p w:rsidR="001816F3" w:rsidRPr="00BD5EC6" w:rsidRDefault="001816F3" w:rsidP="001816F3">
      <w:pPr>
        <w:jc w:val="both"/>
      </w:pPr>
      <w:r w:rsidRPr="00BD5EC6">
        <w:t xml:space="preserve">2007. október 17-én PRTR konzultációt tartottunk a REC (Közép- és Kelet-Európai Regionális Környezetvédelmi Központ) </w:t>
      </w:r>
      <w:r w:rsidR="00E01F54" w:rsidRPr="00BD5EC6">
        <w:t>által Szentendrén 2007. október 15-16-án megrendezésre kerül</w:t>
      </w:r>
      <w:r w:rsidR="00995033" w:rsidRPr="00BD5EC6">
        <w:t>t</w:t>
      </w:r>
      <w:r w:rsidR="00E01F54" w:rsidRPr="00BD5EC6">
        <w:t xml:space="preserve"> „EPER és PRTR rendszerek kialakítása és működtetése Dél-kelet Európában” c. EU által finanszírozott projekt keretében megrendeze</w:t>
      </w:r>
      <w:r w:rsidR="00995033" w:rsidRPr="00BD5EC6">
        <w:t>tt</w:t>
      </w:r>
      <w:r w:rsidR="00E01F54" w:rsidRPr="00BD5EC6">
        <w:t xml:space="preserve"> tréning program keretében a Minisztériumban. </w:t>
      </w:r>
      <w:r w:rsidRPr="00BD5EC6">
        <w:t>A konzultáció</w:t>
      </w:r>
      <w:r w:rsidR="00E01F54" w:rsidRPr="00BD5EC6">
        <w:t>n</w:t>
      </w:r>
      <w:r w:rsidR="00132516" w:rsidRPr="00BD5EC6">
        <w:t xml:space="preserve"> </w:t>
      </w:r>
      <w:r w:rsidR="00E01F54" w:rsidRPr="00BD5EC6">
        <w:t xml:space="preserve">az EPER adatszolgáltatással, valamint az E-PRTR, </w:t>
      </w:r>
      <w:proofErr w:type="spellStart"/>
      <w:r w:rsidR="00E01F54" w:rsidRPr="00BD5EC6">
        <w:t>PRTR-rel</w:t>
      </w:r>
      <w:proofErr w:type="spellEnd"/>
      <w:r w:rsidR="00E01F54" w:rsidRPr="00BD5EC6">
        <w:t xml:space="preserve"> kapcsolatban folyó előkészületek</w:t>
      </w:r>
      <w:r w:rsidR="00456FD1" w:rsidRPr="00BD5EC6">
        <w:t>ről esett szó, valamint a magyar szakemberek átadták tapasztalataikat</w:t>
      </w:r>
      <w:r w:rsidR="00E01F54" w:rsidRPr="00BD5EC6">
        <w:t xml:space="preserve"> a REC projektben résztvevő országok képviselői számára</w:t>
      </w:r>
      <w:r w:rsidR="00456FD1" w:rsidRPr="00BD5EC6">
        <w:t>.</w:t>
      </w:r>
    </w:p>
    <w:p w:rsidR="0098761A" w:rsidRPr="00BD5EC6" w:rsidRDefault="001B0050" w:rsidP="0098761A">
      <w:pPr>
        <w:jc w:val="both"/>
      </w:pPr>
      <w:r w:rsidRPr="00BD5EC6">
        <w:t>A</w:t>
      </w:r>
      <w:r w:rsidR="0098761A" w:rsidRPr="00BD5EC6">
        <w:t xml:space="preserve"> Környezetvédel</w:t>
      </w:r>
      <w:r w:rsidR="007F7ED8" w:rsidRPr="00BD5EC6">
        <w:t>e</w:t>
      </w:r>
      <w:r w:rsidR="0098761A" w:rsidRPr="00BD5EC6">
        <w:t>m</w:t>
      </w:r>
      <w:r w:rsidR="007F7ED8" w:rsidRPr="00BD5EC6">
        <w:t xml:space="preserve">ért felelős tárca PRTR szakterületért felelős főosztálya </w:t>
      </w:r>
      <w:r w:rsidR="0098761A" w:rsidRPr="00BD5EC6">
        <w:t>kétnapos szakmai konzultáció</w:t>
      </w:r>
      <w:r w:rsidR="00456FD1" w:rsidRPr="00BD5EC6">
        <w:t>t tartott</w:t>
      </w:r>
      <w:r w:rsidR="0098761A" w:rsidRPr="00BD5EC6">
        <w:t xml:space="preserve"> 2009. június 2-3-án</w:t>
      </w:r>
      <w:r w:rsidR="00456FD1" w:rsidRPr="00BD5EC6">
        <w:t xml:space="preserve"> a </w:t>
      </w:r>
      <w:proofErr w:type="spellStart"/>
      <w:r w:rsidR="00456FD1" w:rsidRPr="00BD5EC6">
        <w:t>PRTR-ben</w:t>
      </w:r>
      <w:proofErr w:type="spellEnd"/>
      <w:r w:rsidR="00456FD1" w:rsidRPr="00BD5EC6">
        <w:t xml:space="preserve"> érintett üzemek</w:t>
      </w:r>
      <w:r w:rsidR="00C2305E" w:rsidRPr="00BD5EC6">
        <w:t>,</w:t>
      </w:r>
      <w:r w:rsidR="00132516" w:rsidRPr="00BD5EC6">
        <w:t xml:space="preserve"> </w:t>
      </w:r>
      <w:r w:rsidR="00C2305E" w:rsidRPr="00BD5EC6">
        <w:t xml:space="preserve">képviselők </w:t>
      </w:r>
      <w:r w:rsidR="00456FD1" w:rsidRPr="00BD5EC6">
        <w:t>számára</w:t>
      </w:r>
      <w:r w:rsidR="0098761A" w:rsidRPr="00BD5EC6">
        <w:t>.</w:t>
      </w:r>
      <w:r w:rsidR="00132516" w:rsidRPr="00BD5EC6">
        <w:t xml:space="preserve"> </w:t>
      </w:r>
      <w:r w:rsidR="0098761A" w:rsidRPr="00BD5EC6">
        <w:t xml:space="preserve">A rendezvény fő témája és célja volt a PRTR hatálya alá tartozó telephelyek üzemeltetőinek tájékoztatása, elsősorban az </w:t>
      </w:r>
      <w:proofErr w:type="spellStart"/>
      <w:r w:rsidR="0098761A" w:rsidRPr="00BD5EC6">
        <w:t>E-PRTR-hez</w:t>
      </w:r>
      <w:proofErr w:type="spellEnd"/>
      <w:r w:rsidR="0098761A" w:rsidRPr="00BD5EC6">
        <w:t xml:space="preserve"> kapcsolódó jogszabályi és adatszolgáltatási kötelezettségekről</w:t>
      </w:r>
      <w:r w:rsidRPr="00BD5EC6">
        <w:t xml:space="preserve"> szóló be</w:t>
      </w:r>
      <w:r w:rsidR="00C2305E" w:rsidRPr="00BD5EC6">
        <w:t>mutató előadás, valamint a felmerült kérdések megbeszélése</w:t>
      </w:r>
      <w:r w:rsidR="00FF6F59" w:rsidRPr="00BD5EC6">
        <w:t>.</w:t>
      </w:r>
      <w:r w:rsidR="0098761A" w:rsidRPr="00BD5EC6">
        <w:t xml:space="preserve"> Tájékoztatást </w:t>
      </w:r>
      <w:r w:rsidR="00C2305E" w:rsidRPr="00BD5EC6">
        <w:t>adtunk</w:t>
      </w:r>
      <w:r w:rsidR="00132516" w:rsidRPr="00BD5EC6">
        <w:t xml:space="preserve"> </w:t>
      </w:r>
      <w:r w:rsidR="00456FD1" w:rsidRPr="00BD5EC6">
        <w:t xml:space="preserve">még </w:t>
      </w:r>
      <w:r w:rsidR="0098761A" w:rsidRPr="00BD5EC6">
        <w:t xml:space="preserve">a </w:t>
      </w:r>
      <w:proofErr w:type="spellStart"/>
      <w:r w:rsidRPr="00BD5EC6">
        <w:t>PRTR-rel</w:t>
      </w:r>
      <w:proofErr w:type="spellEnd"/>
      <w:r w:rsidR="0098761A" w:rsidRPr="00BD5EC6">
        <w:t xml:space="preserve"> kapcsolatos fejlesztési </w:t>
      </w:r>
      <w:r w:rsidR="00C2305E" w:rsidRPr="00BD5EC6">
        <w:t>terveinkről</w:t>
      </w:r>
      <w:r w:rsidR="0098761A" w:rsidRPr="00BD5EC6">
        <w:t xml:space="preserve"> és a</w:t>
      </w:r>
      <w:r w:rsidR="007F7ED8" w:rsidRPr="00BD5EC6">
        <w:t>z</w:t>
      </w:r>
      <w:r w:rsidR="00132516" w:rsidRPr="00BD5EC6">
        <w:t xml:space="preserve"> </w:t>
      </w:r>
      <w:r w:rsidR="00C2305E" w:rsidRPr="00BD5EC6">
        <w:t xml:space="preserve">első </w:t>
      </w:r>
      <w:r w:rsidR="0098761A" w:rsidRPr="00BD5EC6">
        <w:t>adatszolgáltatás tapasztalatairól. A két nap alatt 11 előadás hangzott el</w:t>
      </w:r>
      <w:r w:rsidR="001816F3" w:rsidRPr="00BD5EC6">
        <w:t xml:space="preserve"> a </w:t>
      </w:r>
      <w:r w:rsidR="00456FD1" w:rsidRPr="00BD5EC6">
        <w:t>különböző</w:t>
      </w:r>
      <w:r w:rsidR="001816F3" w:rsidRPr="00BD5EC6">
        <w:t xml:space="preserve"> témakörökben (lásd PRTR honlapot)</w:t>
      </w:r>
      <w:r w:rsidR="007F7ED8" w:rsidRPr="00BD5EC6">
        <w:t>.</w:t>
      </w:r>
    </w:p>
    <w:p w:rsidR="00A675D5" w:rsidRPr="00BD5EC6" w:rsidRDefault="00A675D5" w:rsidP="009909F7">
      <w:pPr>
        <w:jc w:val="both"/>
      </w:pPr>
    </w:p>
    <w:p w:rsidR="009909F7" w:rsidRPr="00BD5EC6" w:rsidRDefault="001A7D06" w:rsidP="00BD3A7B">
      <w:pPr>
        <w:ind w:hanging="426"/>
        <w:jc w:val="both"/>
        <w:rPr>
          <w:i/>
        </w:rPr>
      </w:pPr>
      <w:r w:rsidRPr="00BD5EC6">
        <w:rPr>
          <w:b/>
        </w:rPr>
        <w:t>1</w:t>
      </w:r>
      <w:r w:rsidR="00541306" w:rsidRPr="00BD5EC6">
        <w:rPr>
          <w:b/>
        </w:rPr>
        <w:t>7</w:t>
      </w:r>
      <w:r w:rsidRPr="00BD5EC6">
        <w:t>.</w:t>
      </w:r>
      <w:r w:rsidRPr="00BD5EC6">
        <w:tab/>
      </w:r>
      <w:r w:rsidR="005E2DC0" w:rsidRPr="00BD5EC6">
        <w:rPr>
          <w:i/>
        </w:rPr>
        <w:t xml:space="preserve">Írja le a </w:t>
      </w:r>
      <w:proofErr w:type="spellStart"/>
      <w:r w:rsidR="005E2DC0" w:rsidRPr="00BD5EC6">
        <w:rPr>
          <w:i/>
        </w:rPr>
        <w:t>JK-</w:t>
      </w:r>
      <w:r w:rsidR="009909F7" w:rsidRPr="00BD5EC6">
        <w:rPr>
          <w:i/>
        </w:rPr>
        <w:t>nek</w:t>
      </w:r>
      <w:proofErr w:type="spellEnd"/>
      <w:r w:rsidR="009909F7" w:rsidRPr="00BD5EC6">
        <w:rPr>
          <w:i/>
        </w:rPr>
        <w:t xml:space="preserve"> az adott fél általi végrehajtása – vagy aláírók esetében, a végrehajtás előkészítése – szempontjából releváns bármely további észrevételét. Felhívjuk a feleket és aláírókat, hogy határozzák meg a nyilvántartás létrehozatala, valamint az adatgyűjtés és az adatbevitel során tapasztalt kihívásokat és akadályokat.</w:t>
      </w:r>
    </w:p>
    <w:p w:rsidR="009909F7" w:rsidRPr="00BD5EC6" w:rsidRDefault="004B46D4" w:rsidP="009909F7">
      <w:pPr>
        <w:jc w:val="both"/>
      </w:pPr>
      <w:r w:rsidRPr="00BD5EC6">
        <w:t>Nincsenek további észrevételeink a PRTR nyilvántartás létrehozása és működtetésével kapcsolatosan.</w:t>
      </w:r>
    </w:p>
    <w:sectPr w:rsidR="009909F7" w:rsidRPr="00BD5EC6" w:rsidSect="001C2D3F">
      <w:footerReference w:type="default" r:id="rId19"/>
      <w:pgSz w:w="11906" w:h="16838"/>
      <w:pgMar w:top="1417" w:right="1416"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867" w:rsidRDefault="00DE7867" w:rsidP="00836F57">
      <w:pPr>
        <w:spacing w:after="0" w:line="240" w:lineRule="auto"/>
      </w:pPr>
      <w:r>
        <w:separator/>
      </w:r>
    </w:p>
  </w:endnote>
  <w:endnote w:type="continuationSeparator" w:id="0">
    <w:p w:rsidR="00DE7867" w:rsidRDefault="00DE7867" w:rsidP="00836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8871774"/>
      <w:docPartObj>
        <w:docPartGallery w:val="Page Numbers (Bottom of Page)"/>
        <w:docPartUnique/>
      </w:docPartObj>
    </w:sdtPr>
    <w:sdtEndPr/>
    <w:sdtContent>
      <w:p w:rsidR="00DE7867" w:rsidRDefault="00DE7867">
        <w:pPr>
          <w:pStyle w:val="llb"/>
          <w:jc w:val="right"/>
        </w:pPr>
        <w:r>
          <w:fldChar w:fldCharType="begin"/>
        </w:r>
        <w:r>
          <w:instrText>PAGE   \* MERGEFORMAT</w:instrText>
        </w:r>
        <w:r>
          <w:fldChar w:fldCharType="separate"/>
        </w:r>
        <w:r w:rsidR="00DA0248">
          <w:rPr>
            <w:noProof/>
          </w:rPr>
          <w:t>2</w:t>
        </w:r>
        <w:r>
          <w:fldChar w:fldCharType="end"/>
        </w:r>
      </w:p>
    </w:sdtContent>
  </w:sdt>
  <w:p w:rsidR="00DE7867" w:rsidRDefault="00DE786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867" w:rsidRDefault="00DE7867" w:rsidP="00836F57">
      <w:pPr>
        <w:spacing w:after="0" w:line="240" w:lineRule="auto"/>
      </w:pPr>
      <w:r>
        <w:separator/>
      </w:r>
    </w:p>
  </w:footnote>
  <w:footnote w:type="continuationSeparator" w:id="0">
    <w:p w:rsidR="00DE7867" w:rsidRDefault="00DE7867" w:rsidP="00836F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0927"/>
    <w:multiLevelType w:val="hybridMultilevel"/>
    <w:tmpl w:val="464C3BB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41D71BF"/>
    <w:multiLevelType w:val="hybridMultilevel"/>
    <w:tmpl w:val="CECC1316"/>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6BC086B"/>
    <w:multiLevelType w:val="hybridMultilevel"/>
    <w:tmpl w:val="4ACA8658"/>
    <w:lvl w:ilvl="0" w:tplc="39CEF0F0">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8F97AE1"/>
    <w:multiLevelType w:val="hybridMultilevel"/>
    <w:tmpl w:val="12A005D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2230B11"/>
    <w:multiLevelType w:val="hybridMultilevel"/>
    <w:tmpl w:val="838E4DFA"/>
    <w:lvl w:ilvl="0" w:tplc="8AA67712">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ADC30F6"/>
    <w:multiLevelType w:val="hybridMultilevel"/>
    <w:tmpl w:val="5FFCD1D2"/>
    <w:lvl w:ilvl="0" w:tplc="7C44A598">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F967B26"/>
    <w:multiLevelType w:val="hybridMultilevel"/>
    <w:tmpl w:val="82D4830A"/>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nsid w:val="203710FD"/>
    <w:multiLevelType w:val="hybridMultilevel"/>
    <w:tmpl w:val="B8B47AA4"/>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8">
    <w:nsid w:val="23FA5D95"/>
    <w:multiLevelType w:val="hybridMultilevel"/>
    <w:tmpl w:val="D5440A38"/>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85036DA"/>
    <w:multiLevelType w:val="hybridMultilevel"/>
    <w:tmpl w:val="2B54AFEC"/>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B8078EC"/>
    <w:multiLevelType w:val="hybridMultilevel"/>
    <w:tmpl w:val="4E126B8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1750EE5"/>
    <w:multiLevelType w:val="hybridMultilevel"/>
    <w:tmpl w:val="9A0A0F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3E1046C"/>
    <w:multiLevelType w:val="hybridMultilevel"/>
    <w:tmpl w:val="490A9002"/>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CD5763A"/>
    <w:multiLevelType w:val="hybridMultilevel"/>
    <w:tmpl w:val="D0D4D13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nsid w:val="405B17E2"/>
    <w:multiLevelType w:val="hybridMultilevel"/>
    <w:tmpl w:val="69A419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1A22400"/>
    <w:multiLevelType w:val="hybridMultilevel"/>
    <w:tmpl w:val="71A8BC2A"/>
    <w:lvl w:ilvl="0" w:tplc="A2C6127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4E424B8"/>
    <w:multiLevelType w:val="hybridMultilevel"/>
    <w:tmpl w:val="3E0E02B2"/>
    <w:lvl w:ilvl="0" w:tplc="5D0E5CBE">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46947117"/>
    <w:multiLevelType w:val="hybridMultilevel"/>
    <w:tmpl w:val="CB2CF39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48F52919"/>
    <w:multiLevelType w:val="hybridMultilevel"/>
    <w:tmpl w:val="06041E1E"/>
    <w:lvl w:ilvl="0" w:tplc="0E58B570">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502F7424"/>
    <w:multiLevelType w:val="hybridMultilevel"/>
    <w:tmpl w:val="8452E2FA"/>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0">
    <w:nsid w:val="51C71093"/>
    <w:multiLevelType w:val="hybridMultilevel"/>
    <w:tmpl w:val="FE68887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55D62C10"/>
    <w:multiLevelType w:val="hybridMultilevel"/>
    <w:tmpl w:val="528C5B02"/>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56F70743"/>
    <w:multiLevelType w:val="hybridMultilevel"/>
    <w:tmpl w:val="F8EE853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59915DE5"/>
    <w:multiLevelType w:val="hybridMultilevel"/>
    <w:tmpl w:val="FAF8A746"/>
    <w:lvl w:ilvl="0" w:tplc="3C0E7744">
      <w:numFmt w:val="bullet"/>
      <w:lvlText w:val="-"/>
      <w:lvlJc w:val="left"/>
      <w:pPr>
        <w:ind w:left="1068" w:hanging="360"/>
      </w:pPr>
      <w:rPr>
        <w:rFonts w:ascii="Calibri" w:eastAsiaTheme="minorHAnsi" w:hAnsi="Calibri" w:cstheme="minorBid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4">
    <w:nsid w:val="5B632201"/>
    <w:multiLevelType w:val="hybridMultilevel"/>
    <w:tmpl w:val="0846B718"/>
    <w:lvl w:ilvl="0" w:tplc="9F8C6510">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654E2268"/>
    <w:multiLevelType w:val="hybridMultilevel"/>
    <w:tmpl w:val="60948D06"/>
    <w:lvl w:ilvl="0" w:tplc="B84A6CC0">
      <w:start w:val="1"/>
      <w:numFmt w:val="lowerLetter"/>
      <w:lvlText w:val="(%1)"/>
      <w:lvlJc w:val="left"/>
      <w:pPr>
        <w:ind w:left="2000" w:hanging="1320"/>
      </w:pPr>
      <w:rPr>
        <w:rFonts w:hint="default"/>
      </w:rPr>
    </w:lvl>
    <w:lvl w:ilvl="1" w:tplc="040E0019" w:tentative="1">
      <w:start w:val="1"/>
      <w:numFmt w:val="lowerLetter"/>
      <w:lvlText w:val="%2."/>
      <w:lvlJc w:val="left"/>
      <w:pPr>
        <w:ind w:left="1760" w:hanging="360"/>
      </w:pPr>
    </w:lvl>
    <w:lvl w:ilvl="2" w:tplc="040E001B" w:tentative="1">
      <w:start w:val="1"/>
      <w:numFmt w:val="lowerRoman"/>
      <w:lvlText w:val="%3."/>
      <w:lvlJc w:val="right"/>
      <w:pPr>
        <w:ind w:left="2480" w:hanging="180"/>
      </w:pPr>
    </w:lvl>
    <w:lvl w:ilvl="3" w:tplc="040E000F" w:tentative="1">
      <w:start w:val="1"/>
      <w:numFmt w:val="decimal"/>
      <w:lvlText w:val="%4."/>
      <w:lvlJc w:val="left"/>
      <w:pPr>
        <w:ind w:left="3200" w:hanging="360"/>
      </w:pPr>
    </w:lvl>
    <w:lvl w:ilvl="4" w:tplc="040E0019" w:tentative="1">
      <w:start w:val="1"/>
      <w:numFmt w:val="lowerLetter"/>
      <w:lvlText w:val="%5."/>
      <w:lvlJc w:val="left"/>
      <w:pPr>
        <w:ind w:left="3920" w:hanging="360"/>
      </w:pPr>
    </w:lvl>
    <w:lvl w:ilvl="5" w:tplc="040E001B" w:tentative="1">
      <w:start w:val="1"/>
      <w:numFmt w:val="lowerRoman"/>
      <w:lvlText w:val="%6."/>
      <w:lvlJc w:val="right"/>
      <w:pPr>
        <w:ind w:left="4640" w:hanging="180"/>
      </w:pPr>
    </w:lvl>
    <w:lvl w:ilvl="6" w:tplc="040E000F" w:tentative="1">
      <w:start w:val="1"/>
      <w:numFmt w:val="decimal"/>
      <w:lvlText w:val="%7."/>
      <w:lvlJc w:val="left"/>
      <w:pPr>
        <w:ind w:left="5360" w:hanging="360"/>
      </w:pPr>
    </w:lvl>
    <w:lvl w:ilvl="7" w:tplc="040E0019" w:tentative="1">
      <w:start w:val="1"/>
      <w:numFmt w:val="lowerLetter"/>
      <w:lvlText w:val="%8."/>
      <w:lvlJc w:val="left"/>
      <w:pPr>
        <w:ind w:left="6080" w:hanging="360"/>
      </w:pPr>
    </w:lvl>
    <w:lvl w:ilvl="8" w:tplc="040E001B" w:tentative="1">
      <w:start w:val="1"/>
      <w:numFmt w:val="lowerRoman"/>
      <w:lvlText w:val="%9."/>
      <w:lvlJc w:val="right"/>
      <w:pPr>
        <w:ind w:left="6800" w:hanging="180"/>
      </w:pPr>
    </w:lvl>
  </w:abstractNum>
  <w:abstractNum w:abstractNumId="26">
    <w:nsid w:val="68F663FE"/>
    <w:multiLevelType w:val="hybridMultilevel"/>
    <w:tmpl w:val="9F424B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CE43873"/>
    <w:multiLevelType w:val="hybridMultilevel"/>
    <w:tmpl w:val="A9EE9B48"/>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8">
    <w:nsid w:val="6D1B0337"/>
    <w:multiLevelType w:val="hybridMultilevel"/>
    <w:tmpl w:val="AFBC6A7A"/>
    <w:lvl w:ilvl="0" w:tplc="C608D868">
      <w:numFmt w:val="bullet"/>
      <w:lvlText w:val="-"/>
      <w:lvlJc w:val="left"/>
      <w:pPr>
        <w:ind w:left="360" w:firstLine="0"/>
      </w:pPr>
      <w:rPr>
        <w:rFonts w:asciiTheme="minorHAnsi" w:eastAsiaTheme="minorHAnsi" w:hAnsiTheme="minorHAns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75C302F7"/>
    <w:multiLevelType w:val="hybridMultilevel"/>
    <w:tmpl w:val="DBB8AF5E"/>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78AD5044"/>
    <w:multiLevelType w:val="hybridMultilevel"/>
    <w:tmpl w:val="53BCE96E"/>
    <w:lvl w:ilvl="0" w:tplc="93BE52F8">
      <w:start w:val="1"/>
      <w:numFmt w:val="decimal"/>
      <w:lvlText w:val="%1."/>
      <w:lvlJc w:val="left"/>
      <w:pPr>
        <w:ind w:left="-66" w:hanging="360"/>
      </w:pPr>
      <w:rPr>
        <w:rFonts w:hint="default"/>
      </w:rPr>
    </w:lvl>
    <w:lvl w:ilvl="1" w:tplc="040E0019" w:tentative="1">
      <w:start w:val="1"/>
      <w:numFmt w:val="lowerLetter"/>
      <w:lvlText w:val="%2."/>
      <w:lvlJc w:val="left"/>
      <w:pPr>
        <w:ind w:left="654" w:hanging="360"/>
      </w:pPr>
    </w:lvl>
    <w:lvl w:ilvl="2" w:tplc="040E001B" w:tentative="1">
      <w:start w:val="1"/>
      <w:numFmt w:val="lowerRoman"/>
      <w:lvlText w:val="%3."/>
      <w:lvlJc w:val="right"/>
      <w:pPr>
        <w:ind w:left="1374" w:hanging="180"/>
      </w:pPr>
    </w:lvl>
    <w:lvl w:ilvl="3" w:tplc="040E000F" w:tentative="1">
      <w:start w:val="1"/>
      <w:numFmt w:val="decimal"/>
      <w:lvlText w:val="%4."/>
      <w:lvlJc w:val="left"/>
      <w:pPr>
        <w:ind w:left="2094" w:hanging="360"/>
      </w:pPr>
    </w:lvl>
    <w:lvl w:ilvl="4" w:tplc="040E0019" w:tentative="1">
      <w:start w:val="1"/>
      <w:numFmt w:val="lowerLetter"/>
      <w:lvlText w:val="%5."/>
      <w:lvlJc w:val="left"/>
      <w:pPr>
        <w:ind w:left="2814" w:hanging="360"/>
      </w:pPr>
    </w:lvl>
    <w:lvl w:ilvl="5" w:tplc="040E001B" w:tentative="1">
      <w:start w:val="1"/>
      <w:numFmt w:val="lowerRoman"/>
      <w:lvlText w:val="%6."/>
      <w:lvlJc w:val="right"/>
      <w:pPr>
        <w:ind w:left="3534" w:hanging="180"/>
      </w:pPr>
    </w:lvl>
    <w:lvl w:ilvl="6" w:tplc="040E000F" w:tentative="1">
      <w:start w:val="1"/>
      <w:numFmt w:val="decimal"/>
      <w:lvlText w:val="%7."/>
      <w:lvlJc w:val="left"/>
      <w:pPr>
        <w:ind w:left="4254" w:hanging="360"/>
      </w:pPr>
    </w:lvl>
    <w:lvl w:ilvl="7" w:tplc="040E0019" w:tentative="1">
      <w:start w:val="1"/>
      <w:numFmt w:val="lowerLetter"/>
      <w:lvlText w:val="%8."/>
      <w:lvlJc w:val="left"/>
      <w:pPr>
        <w:ind w:left="4974" w:hanging="360"/>
      </w:pPr>
    </w:lvl>
    <w:lvl w:ilvl="8" w:tplc="040E001B" w:tentative="1">
      <w:start w:val="1"/>
      <w:numFmt w:val="lowerRoman"/>
      <w:lvlText w:val="%9."/>
      <w:lvlJc w:val="right"/>
      <w:pPr>
        <w:ind w:left="5694" w:hanging="180"/>
      </w:pPr>
    </w:lvl>
  </w:abstractNum>
  <w:abstractNum w:abstractNumId="31">
    <w:nsid w:val="7A085C6C"/>
    <w:multiLevelType w:val="hybridMultilevel"/>
    <w:tmpl w:val="C3ECBD3C"/>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2">
    <w:nsid w:val="7AF54F82"/>
    <w:multiLevelType w:val="hybridMultilevel"/>
    <w:tmpl w:val="C1FEA9DC"/>
    <w:lvl w:ilvl="0" w:tplc="6ED67464">
      <w:start w:val="1"/>
      <w:numFmt w:val="lowerLetter"/>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7D631FAF"/>
    <w:multiLevelType w:val="hybridMultilevel"/>
    <w:tmpl w:val="73F88C1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5"/>
  </w:num>
  <w:num w:numId="2">
    <w:abstractNumId w:val="17"/>
  </w:num>
  <w:num w:numId="3">
    <w:abstractNumId w:val="10"/>
  </w:num>
  <w:num w:numId="4">
    <w:abstractNumId w:val="3"/>
  </w:num>
  <w:num w:numId="5">
    <w:abstractNumId w:val="5"/>
  </w:num>
  <w:num w:numId="6">
    <w:abstractNumId w:val="22"/>
  </w:num>
  <w:num w:numId="7">
    <w:abstractNumId w:val="30"/>
  </w:num>
  <w:num w:numId="8">
    <w:abstractNumId w:val="15"/>
  </w:num>
  <w:num w:numId="9">
    <w:abstractNumId w:val="16"/>
  </w:num>
  <w:num w:numId="10">
    <w:abstractNumId w:val="33"/>
  </w:num>
  <w:num w:numId="11">
    <w:abstractNumId w:val="0"/>
  </w:num>
  <w:num w:numId="12">
    <w:abstractNumId w:val="18"/>
  </w:num>
  <w:num w:numId="13">
    <w:abstractNumId w:val="4"/>
  </w:num>
  <w:num w:numId="14">
    <w:abstractNumId w:val="32"/>
  </w:num>
  <w:num w:numId="15">
    <w:abstractNumId w:val="19"/>
  </w:num>
  <w:num w:numId="16">
    <w:abstractNumId w:val="2"/>
  </w:num>
  <w:num w:numId="17">
    <w:abstractNumId w:val="6"/>
  </w:num>
  <w:num w:numId="18">
    <w:abstractNumId w:val="31"/>
  </w:num>
  <w:num w:numId="19">
    <w:abstractNumId w:val="1"/>
  </w:num>
  <w:num w:numId="20">
    <w:abstractNumId w:val="29"/>
  </w:num>
  <w:num w:numId="21">
    <w:abstractNumId w:val="12"/>
  </w:num>
  <w:num w:numId="22">
    <w:abstractNumId w:val="24"/>
  </w:num>
  <w:num w:numId="23">
    <w:abstractNumId w:val="9"/>
  </w:num>
  <w:num w:numId="24">
    <w:abstractNumId w:val="21"/>
  </w:num>
  <w:num w:numId="25">
    <w:abstractNumId w:val="11"/>
  </w:num>
  <w:num w:numId="26">
    <w:abstractNumId w:val="26"/>
  </w:num>
  <w:num w:numId="27">
    <w:abstractNumId w:val="20"/>
  </w:num>
  <w:num w:numId="28">
    <w:abstractNumId w:val="8"/>
  </w:num>
  <w:num w:numId="29">
    <w:abstractNumId w:val="27"/>
  </w:num>
  <w:num w:numId="30">
    <w:abstractNumId w:val="14"/>
  </w:num>
  <w:num w:numId="31">
    <w:abstractNumId w:val="23"/>
  </w:num>
  <w:num w:numId="32">
    <w:abstractNumId w:val="7"/>
  </w:num>
  <w:num w:numId="33">
    <w:abstractNumId w:val="13"/>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333"/>
    <w:rsid w:val="00003E52"/>
    <w:rsid w:val="00006C3C"/>
    <w:rsid w:val="00012557"/>
    <w:rsid w:val="000163D5"/>
    <w:rsid w:val="0002071F"/>
    <w:rsid w:val="00020F62"/>
    <w:rsid w:val="0003085B"/>
    <w:rsid w:val="00034F30"/>
    <w:rsid w:val="00062A6B"/>
    <w:rsid w:val="00071856"/>
    <w:rsid w:val="0008439D"/>
    <w:rsid w:val="00084D9A"/>
    <w:rsid w:val="00085B18"/>
    <w:rsid w:val="00096B0C"/>
    <w:rsid w:val="00096B99"/>
    <w:rsid w:val="000972C4"/>
    <w:rsid w:val="000A0656"/>
    <w:rsid w:val="000A532E"/>
    <w:rsid w:val="000A6EDC"/>
    <w:rsid w:val="000B0694"/>
    <w:rsid w:val="000C72B6"/>
    <w:rsid w:val="000D1111"/>
    <w:rsid w:val="000D1745"/>
    <w:rsid w:val="000E1CC3"/>
    <w:rsid w:val="000F69E7"/>
    <w:rsid w:val="00100F27"/>
    <w:rsid w:val="00107D03"/>
    <w:rsid w:val="001108B5"/>
    <w:rsid w:val="00126E10"/>
    <w:rsid w:val="0013083C"/>
    <w:rsid w:val="00132516"/>
    <w:rsid w:val="00136DE5"/>
    <w:rsid w:val="0013774D"/>
    <w:rsid w:val="001430E3"/>
    <w:rsid w:val="0015003B"/>
    <w:rsid w:val="00151B68"/>
    <w:rsid w:val="00157541"/>
    <w:rsid w:val="00173F21"/>
    <w:rsid w:val="00181097"/>
    <w:rsid w:val="001816F3"/>
    <w:rsid w:val="0019125B"/>
    <w:rsid w:val="0019391B"/>
    <w:rsid w:val="001A7D06"/>
    <w:rsid w:val="001B0050"/>
    <w:rsid w:val="001B18FE"/>
    <w:rsid w:val="001B559B"/>
    <w:rsid w:val="001C2D3F"/>
    <w:rsid w:val="001C2D9E"/>
    <w:rsid w:val="001C610B"/>
    <w:rsid w:val="001E7A7F"/>
    <w:rsid w:val="001F3F8F"/>
    <w:rsid w:val="0021083F"/>
    <w:rsid w:val="0021423B"/>
    <w:rsid w:val="00253148"/>
    <w:rsid w:val="00261F0C"/>
    <w:rsid w:val="00264D71"/>
    <w:rsid w:val="00280D77"/>
    <w:rsid w:val="00285B09"/>
    <w:rsid w:val="002A3EB8"/>
    <w:rsid w:val="002A7C31"/>
    <w:rsid w:val="002B7CB2"/>
    <w:rsid w:val="002D6FED"/>
    <w:rsid w:val="002E1BE0"/>
    <w:rsid w:val="002E4332"/>
    <w:rsid w:val="002F7D22"/>
    <w:rsid w:val="0032060A"/>
    <w:rsid w:val="0034439F"/>
    <w:rsid w:val="0036457A"/>
    <w:rsid w:val="003733B0"/>
    <w:rsid w:val="003738CB"/>
    <w:rsid w:val="00377330"/>
    <w:rsid w:val="00392A5A"/>
    <w:rsid w:val="00394F94"/>
    <w:rsid w:val="003B460C"/>
    <w:rsid w:val="003B5EAC"/>
    <w:rsid w:val="003D4E52"/>
    <w:rsid w:val="003D5A5A"/>
    <w:rsid w:val="003E346B"/>
    <w:rsid w:val="003E5358"/>
    <w:rsid w:val="0040090E"/>
    <w:rsid w:val="00411CCE"/>
    <w:rsid w:val="00422231"/>
    <w:rsid w:val="004372E2"/>
    <w:rsid w:val="00446791"/>
    <w:rsid w:val="00456FD1"/>
    <w:rsid w:val="0046420F"/>
    <w:rsid w:val="00466D97"/>
    <w:rsid w:val="0047748D"/>
    <w:rsid w:val="00477E53"/>
    <w:rsid w:val="00483A19"/>
    <w:rsid w:val="00485827"/>
    <w:rsid w:val="004B0D56"/>
    <w:rsid w:val="004B1334"/>
    <w:rsid w:val="004B3126"/>
    <w:rsid w:val="004B3FBC"/>
    <w:rsid w:val="004B46D4"/>
    <w:rsid w:val="004D1146"/>
    <w:rsid w:val="004F02A5"/>
    <w:rsid w:val="004F69D8"/>
    <w:rsid w:val="00500B8D"/>
    <w:rsid w:val="00507380"/>
    <w:rsid w:val="005101A5"/>
    <w:rsid w:val="00512274"/>
    <w:rsid w:val="005206BB"/>
    <w:rsid w:val="00525957"/>
    <w:rsid w:val="00541306"/>
    <w:rsid w:val="0054364C"/>
    <w:rsid w:val="0057298C"/>
    <w:rsid w:val="00572F97"/>
    <w:rsid w:val="00575DB4"/>
    <w:rsid w:val="005D3EE2"/>
    <w:rsid w:val="005D45E7"/>
    <w:rsid w:val="005D79A5"/>
    <w:rsid w:val="005E14C3"/>
    <w:rsid w:val="005E2DC0"/>
    <w:rsid w:val="005E331C"/>
    <w:rsid w:val="00603F41"/>
    <w:rsid w:val="00613CD3"/>
    <w:rsid w:val="00632229"/>
    <w:rsid w:val="00653D37"/>
    <w:rsid w:val="00656B2B"/>
    <w:rsid w:val="0066223D"/>
    <w:rsid w:val="00663CE9"/>
    <w:rsid w:val="00663E61"/>
    <w:rsid w:val="00666D0A"/>
    <w:rsid w:val="0068572C"/>
    <w:rsid w:val="00691246"/>
    <w:rsid w:val="0069162C"/>
    <w:rsid w:val="006A4600"/>
    <w:rsid w:val="006A4E49"/>
    <w:rsid w:val="006B48BE"/>
    <w:rsid w:val="006D1C72"/>
    <w:rsid w:val="006D5C3C"/>
    <w:rsid w:val="006E2646"/>
    <w:rsid w:val="00700984"/>
    <w:rsid w:val="00704E97"/>
    <w:rsid w:val="0071372B"/>
    <w:rsid w:val="00726D53"/>
    <w:rsid w:val="00766795"/>
    <w:rsid w:val="00773794"/>
    <w:rsid w:val="007A5BEB"/>
    <w:rsid w:val="007A66A2"/>
    <w:rsid w:val="007B72B2"/>
    <w:rsid w:val="007E5272"/>
    <w:rsid w:val="007E5456"/>
    <w:rsid w:val="007E78F5"/>
    <w:rsid w:val="007F7ED8"/>
    <w:rsid w:val="00811E0F"/>
    <w:rsid w:val="0081221D"/>
    <w:rsid w:val="00821A93"/>
    <w:rsid w:val="008229B0"/>
    <w:rsid w:val="00823F19"/>
    <w:rsid w:val="00827010"/>
    <w:rsid w:val="00832F15"/>
    <w:rsid w:val="008366EE"/>
    <w:rsid w:val="00836F57"/>
    <w:rsid w:val="00843518"/>
    <w:rsid w:val="0085441D"/>
    <w:rsid w:val="00855F27"/>
    <w:rsid w:val="00861B9C"/>
    <w:rsid w:val="00863133"/>
    <w:rsid w:val="008660B6"/>
    <w:rsid w:val="008703FD"/>
    <w:rsid w:val="0087620C"/>
    <w:rsid w:val="008C336E"/>
    <w:rsid w:val="008C71C3"/>
    <w:rsid w:val="008D5579"/>
    <w:rsid w:val="008E2B53"/>
    <w:rsid w:val="008E5AF1"/>
    <w:rsid w:val="00906501"/>
    <w:rsid w:val="00923884"/>
    <w:rsid w:val="00937933"/>
    <w:rsid w:val="00947280"/>
    <w:rsid w:val="0096654C"/>
    <w:rsid w:val="00970D0E"/>
    <w:rsid w:val="00974556"/>
    <w:rsid w:val="0098591F"/>
    <w:rsid w:val="0098761A"/>
    <w:rsid w:val="009909F7"/>
    <w:rsid w:val="00995033"/>
    <w:rsid w:val="009A0588"/>
    <w:rsid w:val="009A4498"/>
    <w:rsid w:val="009A7434"/>
    <w:rsid w:val="009B0B0A"/>
    <w:rsid w:val="009B4CA1"/>
    <w:rsid w:val="009C3587"/>
    <w:rsid w:val="009C765D"/>
    <w:rsid w:val="009D280E"/>
    <w:rsid w:val="009E1666"/>
    <w:rsid w:val="009E17DD"/>
    <w:rsid w:val="009E6E12"/>
    <w:rsid w:val="009F71E0"/>
    <w:rsid w:val="00A03028"/>
    <w:rsid w:val="00A2084A"/>
    <w:rsid w:val="00A23142"/>
    <w:rsid w:val="00A276F0"/>
    <w:rsid w:val="00A31703"/>
    <w:rsid w:val="00A36754"/>
    <w:rsid w:val="00A41493"/>
    <w:rsid w:val="00A41C01"/>
    <w:rsid w:val="00A66821"/>
    <w:rsid w:val="00A675D5"/>
    <w:rsid w:val="00A67F52"/>
    <w:rsid w:val="00A72A89"/>
    <w:rsid w:val="00A7301C"/>
    <w:rsid w:val="00A7399D"/>
    <w:rsid w:val="00A824E3"/>
    <w:rsid w:val="00A95A8E"/>
    <w:rsid w:val="00A95C0B"/>
    <w:rsid w:val="00AA6E48"/>
    <w:rsid w:val="00AB2F99"/>
    <w:rsid w:val="00AB4E6D"/>
    <w:rsid w:val="00AD28D9"/>
    <w:rsid w:val="00AE3B5E"/>
    <w:rsid w:val="00B147CA"/>
    <w:rsid w:val="00B2303A"/>
    <w:rsid w:val="00B24C57"/>
    <w:rsid w:val="00B27FA4"/>
    <w:rsid w:val="00B4648C"/>
    <w:rsid w:val="00B61F1D"/>
    <w:rsid w:val="00B71177"/>
    <w:rsid w:val="00B8435D"/>
    <w:rsid w:val="00B852E0"/>
    <w:rsid w:val="00BB0B5E"/>
    <w:rsid w:val="00BB428E"/>
    <w:rsid w:val="00BD1BD4"/>
    <w:rsid w:val="00BD3A7B"/>
    <w:rsid w:val="00BD5EC6"/>
    <w:rsid w:val="00C040BD"/>
    <w:rsid w:val="00C15875"/>
    <w:rsid w:val="00C20154"/>
    <w:rsid w:val="00C2260B"/>
    <w:rsid w:val="00C2305E"/>
    <w:rsid w:val="00C23202"/>
    <w:rsid w:val="00C41587"/>
    <w:rsid w:val="00C466F6"/>
    <w:rsid w:val="00C63757"/>
    <w:rsid w:val="00C669CA"/>
    <w:rsid w:val="00C6770E"/>
    <w:rsid w:val="00C71DD7"/>
    <w:rsid w:val="00C803D4"/>
    <w:rsid w:val="00C96DCC"/>
    <w:rsid w:val="00CB42F7"/>
    <w:rsid w:val="00CC4548"/>
    <w:rsid w:val="00CD659B"/>
    <w:rsid w:val="00CE0BEE"/>
    <w:rsid w:val="00CE33A8"/>
    <w:rsid w:val="00CE668B"/>
    <w:rsid w:val="00CF130A"/>
    <w:rsid w:val="00CF74F1"/>
    <w:rsid w:val="00D1486B"/>
    <w:rsid w:val="00D21A9B"/>
    <w:rsid w:val="00D35333"/>
    <w:rsid w:val="00D36BD4"/>
    <w:rsid w:val="00D400B6"/>
    <w:rsid w:val="00D43EF7"/>
    <w:rsid w:val="00D44851"/>
    <w:rsid w:val="00D55E30"/>
    <w:rsid w:val="00D81927"/>
    <w:rsid w:val="00DA0248"/>
    <w:rsid w:val="00DA179C"/>
    <w:rsid w:val="00DA4559"/>
    <w:rsid w:val="00DA681A"/>
    <w:rsid w:val="00DA7CF8"/>
    <w:rsid w:val="00DC133D"/>
    <w:rsid w:val="00DD42C9"/>
    <w:rsid w:val="00DD53D0"/>
    <w:rsid w:val="00DD5BA9"/>
    <w:rsid w:val="00DE34BA"/>
    <w:rsid w:val="00DE7867"/>
    <w:rsid w:val="00DF632B"/>
    <w:rsid w:val="00E01F54"/>
    <w:rsid w:val="00E30E2B"/>
    <w:rsid w:val="00E32344"/>
    <w:rsid w:val="00E376DB"/>
    <w:rsid w:val="00E419E9"/>
    <w:rsid w:val="00E8463F"/>
    <w:rsid w:val="00E8641F"/>
    <w:rsid w:val="00E91370"/>
    <w:rsid w:val="00E917BF"/>
    <w:rsid w:val="00E929D4"/>
    <w:rsid w:val="00EB0917"/>
    <w:rsid w:val="00EC5508"/>
    <w:rsid w:val="00EE0531"/>
    <w:rsid w:val="00EE4E7C"/>
    <w:rsid w:val="00EE678A"/>
    <w:rsid w:val="00F02C07"/>
    <w:rsid w:val="00F07E32"/>
    <w:rsid w:val="00F112A9"/>
    <w:rsid w:val="00F24F3F"/>
    <w:rsid w:val="00F24FBA"/>
    <w:rsid w:val="00F62820"/>
    <w:rsid w:val="00F80003"/>
    <w:rsid w:val="00F86CA4"/>
    <w:rsid w:val="00FA0226"/>
    <w:rsid w:val="00FA0275"/>
    <w:rsid w:val="00FB0011"/>
    <w:rsid w:val="00FF6F5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77E53"/>
  </w:style>
  <w:style w:type="paragraph" w:styleId="Cmsor1">
    <w:name w:val="heading 1"/>
    <w:basedOn w:val="Norml"/>
    <w:link w:val="Cmsor1Char"/>
    <w:uiPriority w:val="9"/>
    <w:qFormat/>
    <w:rsid w:val="00D55E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semiHidden/>
    <w:unhideWhenUsed/>
    <w:qFormat/>
    <w:rsid w:val="00411CC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35333"/>
    <w:rPr>
      <w:color w:val="0000FF" w:themeColor="hyperlink"/>
      <w:u w:val="single"/>
    </w:rPr>
  </w:style>
  <w:style w:type="table" w:styleId="Rcsostblzat">
    <w:name w:val="Table Grid"/>
    <w:basedOn w:val="Normltblzat"/>
    <w:rsid w:val="0013774D"/>
    <w:pPr>
      <w:suppressAutoHyphens/>
      <w:spacing w:after="0" w:line="240" w:lineRule="atLeast"/>
    </w:pPr>
    <w:rPr>
      <w:rFonts w:ascii="Times New Roman" w:eastAsia="Times New Roman" w:hAnsi="Times New Roman" w:cs="Times New Roman"/>
      <w:sz w:val="20"/>
      <w:szCs w:val="20"/>
      <w:lang w:val="en-US"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lista_2"/>
    <w:basedOn w:val="Norml"/>
    <w:link w:val="ListaszerbekezdsChar"/>
    <w:uiPriority w:val="34"/>
    <w:qFormat/>
    <w:rsid w:val="00F62820"/>
    <w:pPr>
      <w:ind w:left="720"/>
      <w:contextualSpacing/>
    </w:pPr>
  </w:style>
  <w:style w:type="paragraph" w:styleId="Buborkszveg">
    <w:name w:val="Balloon Text"/>
    <w:basedOn w:val="Norml"/>
    <w:link w:val="BuborkszvegChar"/>
    <w:uiPriority w:val="99"/>
    <w:semiHidden/>
    <w:unhideWhenUsed/>
    <w:rsid w:val="00B147C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147CA"/>
    <w:rPr>
      <w:rFonts w:ascii="Tahoma" w:hAnsi="Tahoma" w:cs="Tahoma"/>
      <w:sz w:val="16"/>
      <w:szCs w:val="16"/>
    </w:rPr>
  </w:style>
  <w:style w:type="paragraph" w:styleId="lfej">
    <w:name w:val="header"/>
    <w:basedOn w:val="Norml"/>
    <w:link w:val="lfejChar"/>
    <w:uiPriority w:val="99"/>
    <w:unhideWhenUsed/>
    <w:rsid w:val="00836F57"/>
    <w:pPr>
      <w:tabs>
        <w:tab w:val="center" w:pos="4536"/>
        <w:tab w:val="right" w:pos="9072"/>
      </w:tabs>
      <w:spacing w:after="0" w:line="240" w:lineRule="auto"/>
    </w:pPr>
  </w:style>
  <w:style w:type="character" w:customStyle="1" w:styleId="lfejChar">
    <w:name w:val="Élőfej Char"/>
    <w:basedOn w:val="Bekezdsalapbettpusa"/>
    <w:link w:val="lfej"/>
    <w:uiPriority w:val="99"/>
    <w:rsid w:val="00836F57"/>
  </w:style>
  <w:style w:type="paragraph" w:styleId="llb">
    <w:name w:val="footer"/>
    <w:basedOn w:val="Norml"/>
    <w:link w:val="llbChar"/>
    <w:uiPriority w:val="99"/>
    <w:unhideWhenUsed/>
    <w:rsid w:val="00836F57"/>
    <w:pPr>
      <w:tabs>
        <w:tab w:val="center" w:pos="4536"/>
        <w:tab w:val="right" w:pos="9072"/>
      </w:tabs>
      <w:spacing w:after="0" w:line="240" w:lineRule="auto"/>
    </w:pPr>
  </w:style>
  <w:style w:type="character" w:customStyle="1" w:styleId="llbChar">
    <w:name w:val="Élőláb Char"/>
    <w:basedOn w:val="Bekezdsalapbettpusa"/>
    <w:link w:val="llb"/>
    <w:uiPriority w:val="99"/>
    <w:rsid w:val="00836F57"/>
  </w:style>
  <w:style w:type="character" w:styleId="Jegyzethivatkozs">
    <w:name w:val="annotation reference"/>
    <w:basedOn w:val="Bekezdsalapbettpusa"/>
    <w:uiPriority w:val="99"/>
    <w:semiHidden/>
    <w:unhideWhenUsed/>
    <w:rsid w:val="00AB2F99"/>
    <w:rPr>
      <w:sz w:val="16"/>
      <w:szCs w:val="16"/>
    </w:rPr>
  </w:style>
  <w:style w:type="paragraph" w:styleId="Jegyzetszveg">
    <w:name w:val="annotation text"/>
    <w:basedOn w:val="Norml"/>
    <w:link w:val="JegyzetszvegChar"/>
    <w:uiPriority w:val="99"/>
    <w:semiHidden/>
    <w:unhideWhenUsed/>
    <w:rsid w:val="00AB2F99"/>
    <w:pPr>
      <w:spacing w:line="240" w:lineRule="auto"/>
    </w:pPr>
    <w:rPr>
      <w:sz w:val="20"/>
      <w:szCs w:val="20"/>
    </w:rPr>
  </w:style>
  <w:style w:type="character" w:customStyle="1" w:styleId="JegyzetszvegChar">
    <w:name w:val="Jegyzetszöveg Char"/>
    <w:basedOn w:val="Bekezdsalapbettpusa"/>
    <w:link w:val="Jegyzetszveg"/>
    <w:uiPriority w:val="99"/>
    <w:semiHidden/>
    <w:rsid w:val="00AB2F99"/>
    <w:rPr>
      <w:sz w:val="20"/>
      <w:szCs w:val="20"/>
    </w:rPr>
  </w:style>
  <w:style w:type="paragraph" w:styleId="Megjegyzstrgya">
    <w:name w:val="annotation subject"/>
    <w:basedOn w:val="Jegyzetszveg"/>
    <w:next w:val="Jegyzetszveg"/>
    <w:link w:val="MegjegyzstrgyaChar"/>
    <w:uiPriority w:val="99"/>
    <w:semiHidden/>
    <w:unhideWhenUsed/>
    <w:rsid w:val="00AB2F99"/>
    <w:rPr>
      <w:b/>
      <w:bCs/>
    </w:rPr>
  </w:style>
  <w:style w:type="character" w:customStyle="1" w:styleId="MegjegyzstrgyaChar">
    <w:name w:val="Megjegyzés tárgya Char"/>
    <w:basedOn w:val="JegyzetszvegChar"/>
    <w:link w:val="Megjegyzstrgya"/>
    <w:uiPriority w:val="99"/>
    <w:semiHidden/>
    <w:rsid w:val="00AB2F99"/>
    <w:rPr>
      <w:b/>
      <w:bCs/>
      <w:sz w:val="20"/>
      <w:szCs w:val="20"/>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uiPriority w:val="34"/>
    <w:qFormat/>
    <w:locked/>
    <w:rsid w:val="00D55E30"/>
  </w:style>
  <w:style w:type="character" w:customStyle="1" w:styleId="Cmsor1Char">
    <w:name w:val="Címsor 1 Char"/>
    <w:basedOn w:val="Bekezdsalapbettpusa"/>
    <w:link w:val="Cmsor1"/>
    <w:uiPriority w:val="9"/>
    <w:rsid w:val="00D55E30"/>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semiHidden/>
    <w:rsid w:val="00411CCE"/>
    <w:rPr>
      <w:rFonts w:asciiTheme="majorHAnsi" w:eastAsiaTheme="majorEastAsia" w:hAnsiTheme="majorHAnsi" w:cstheme="majorBidi"/>
      <w:b/>
      <w:bCs/>
      <w:color w:val="4F81BD" w:themeColor="accent1"/>
      <w:sz w:val="26"/>
      <w:szCs w:val="26"/>
    </w:rPr>
  </w:style>
  <w:style w:type="paragraph" w:styleId="Cm">
    <w:name w:val="Title"/>
    <w:basedOn w:val="Norml"/>
    <w:link w:val="CmChar"/>
    <w:qFormat/>
    <w:rsid w:val="00C63757"/>
    <w:pPr>
      <w:keepNext/>
      <w:widowControl w:val="0"/>
      <w:suppressAutoHyphens/>
      <w:spacing w:before="240" w:after="120" w:line="240" w:lineRule="auto"/>
    </w:pPr>
    <w:rPr>
      <w:rFonts w:ascii="Times New Roman" w:eastAsia="Microsoft YaHei" w:hAnsi="Times New Roman" w:cs="Mangal"/>
      <w:color w:val="808080" w:themeColor="background1" w:themeShade="80"/>
      <w:sz w:val="36"/>
      <w:szCs w:val="28"/>
      <w:lang w:eastAsia="hu-HU"/>
    </w:rPr>
  </w:style>
  <w:style w:type="character" w:customStyle="1" w:styleId="CmChar">
    <w:name w:val="Cím Char"/>
    <w:basedOn w:val="Bekezdsalapbettpusa"/>
    <w:link w:val="Cm"/>
    <w:rsid w:val="00C63757"/>
    <w:rPr>
      <w:rFonts w:ascii="Times New Roman" w:eastAsia="Microsoft YaHei" w:hAnsi="Times New Roman" w:cs="Mangal"/>
      <w:color w:val="808080" w:themeColor="background1" w:themeShade="80"/>
      <w:sz w:val="36"/>
      <w:szCs w:val="28"/>
      <w:lang w:eastAsia="hu-HU"/>
    </w:rPr>
  </w:style>
  <w:style w:type="paragraph" w:styleId="Szvegtrzs">
    <w:name w:val="Body Text"/>
    <w:basedOn w:val="Norml"/>
    <w:link w:val="SzvegtrzsChar"/>
    <w:rsid w:val="00C63757"/>
    <w:pPr>
      <w:widowControl w:val="0"/>
      <w:suppressAutoHyphens/>
      <w:spacing w:after="120" w:line="288" w:lineRule="auto"/>
      <w:ind w:right="125"/>
      <w:jc w:val="both"/>
    </w:pPr>
    <w:rPr>
      <w:rFonts w:ascii="Times New Roman" w:eastAsia="Arial" w:hAnsi="Times New Roman" w:cstheme="minorHAnsi"/>
      <w:sz w:val="24"/>
      <w:szCs w:val="20"/>
      <w:lang w:eastAsia="hu-HU"/>
    </w:rPr>
  </w:style>
  <w:style w:type="character" w:customStyle="1" w:styleId="SzvegtrzsChar">
    <w:name w:val="Szövegtörzs Char"/>
    <w:basedOn w:val="Bekezdsalapbettpusa"/>
    <w:link w:val="Szvegtrzs"/>
    <w:rsid w:val="00C63757"/>
    <w:rPr>
      <w:rFonts w:ascii="Times New Roman" w:eastAsia="Arial" w:hAnsi="Times New Roman" w:cstheme="minorHAnsi"/>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77E53"/>
  </w:style>
  <w:style w:type="paragraph" w:styleId="Cmsor1">
    <w:name w:val="heading 1"/>
    <w:basedOn w:val="Norml"/>
    <w:link w:val="Cmsor1Char"/>
    <w:uiPriority w:val="9"/>
    <w:qFormat/>
    <w:rsid w:val="00D55E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semiHidden/>
    <w:unhideWhenUsed/>
    <w:qFormat/>
    <w:rsid w:val="00411CC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35333"/>
    <w:rPr>
      <w:color w:val="0000FF" w:themeColor="hyperlink"/>
      <w:u w:val="single"/>
    </w:rPr>
  </w:style>
  <w:style w:type="table" w:styleId="Rcsostblzat">
    <w:name w:val="Table Grid"/>
    <w:basedOn w:val="Normltblzat"/>
    <w:rsid w:val="0013774D"/>
    <w:pPr>
      <w:suppressAutoHyphens/>
      <w:spacing w:after="0" w:line="240" w:lineRule="atLeast"/>
    </w:pPr>
    <w:rPr>
      <w:rFonts w:ascii="Times New Roman" w:eastAsia="Times New Roman" w:hAnsi="Times New Roman" w:cs="Times New Roman"/>
      <w:sz w:val="20"/>
      <w:szCs w:val="20"/>
      <w:lang w:val="en-US"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lista_2"/>
    <w:basedOn w:val="Norml"/>
    <w:link w:val="ListaszerbekezdsChar"/>
    <w:uiPriority w:val="34"/>
    <w:qFormat/>
    <w:rsid w:val="00F62820"/>
    <w:pPr>
      <w:ind w:left="720"/>
      <w:contextualSpacing/>
    </w:pPr>
  </w:style>
  <w:style w:type="paragraph" w:styleId="Buborkszveg">
    <w:name w:val="Balloon Text"/>
    <w:basedOn w:val="Norml"/>
    <w:link w:val="BuborkszvegChar"/>
    <w:uiPriority w:val="99"/>
    <w:semiHidden/>
    <w:unhideWhenUsed/>
    <w:rsid w:val="00B147C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147CA"/>
    <w:rPr>
      <w:rFonts w:ascii="Tahoma" w:hAnsi="Tahoma" w:cs="Tahoma"/>
      <w:sz w:val="16"/>
      <w:szCs w:val="16"/>
    </w:rPr>
  </w:style>
  <w:style w:type="paragraph" w:styleId="lfej">
    <w:name w:val="header"/>
    <w:basedOn w:val="Norml"/>
    <w:link w:val="lfejChar"/>
    <w:uiPriority w:val="99"/>
    <w:unhideWhenUsed/>
    <w:rsid w:val="00836F57"/>
    <w:pPr>
      <w:tabs>
        <w:tab w:val="center" w:pos="4536"/>
        <w:tab w:val="right" w:pos="9072"/>
      </w:tabs>
      <w:spacing w:after="0" w:line="240" w:lineRule="auto"/>
    </w:pPr>
  </w:style>
  <w:style w:type="character" w:customStyle="1" w:styleId="lfejChar">
    <w:name w:val="Élőfej Char"/>
    <w:basedOn w:val="Bekezdsalapbettpusa"/>
    <w:link w:val="lfej"/>
    <w:uiPriority w:val="99"/>
    <w:rsid w:val="00836F57"/>
  </w:style>
  <w:style w:type="paragraph" w:styleId="llb">
    <w:name w:val="footer"/>
    <w:basedOn w:val="Norml"/>
    <w:link w:val="llbChar"/>
    <w:uiPriority w:val="99"/>
    <w:unhideWhenUsed/>
    <w:rsid w:val="00836F57"/>
    <w:pPr>
      <w:tabs>
        <w:tab w:val="center" w:pos="4536"/>
        <w:tab w:val="right" w:pos="9072"/>
      </w:tabs>
      <w:spacing w:after="0" w:line="240" w:lineRule="auto"/>
    </w:pPr>
  </w:style>
  <w:style w:type="character" w:customStyle="1" w:styleId="llbChar">
    <w:name w:val="Élőláb Char"/>
    <w:basedOn w:val="Bekezdsalapbettpusa"/>
    <w:link w:val="llb"/>
    <w:uiPriority w:val="99"/>
    <w:rsid w:val="00836F57"/>
  </w:style>
  <w:style w:type="character" w:styleId="Jegyzethivatkozs">
    <w:name w:val="annotation reference"/>
    <w:basedOn w:val="Bekezdsalapbettpusa"/>
    <w:uiPriority w:val="99"/>
    <w:semiHidden/>
    <w:unhideWhenUsed/>
    <w:rsid w:val="00AB2F99"/>
    <w:rPr>
      <w:sz w:val="16"/>
      <w:szCs w:val="16"/>
    </w:rPr>
  </w:style>
  <w:style w:type="paragraph" w:styleId="Jegyzetszveg">
    <w:name w:val="annotation text"/>
    <w:basedOn w:val="Norml"/>
    <w:link w:val="JegyzetszvegChar"/>
    <w:uiPriority w:val="99"/>
    <w:semiHidden/>
    <w:unhideWhenUsed/>
    <w:rsid w:val="00AB2F99"/>
    <w:pPr>
      <w:spacing w:line="240" w:lineRule="auto"/>
    </w:pPr>
    <w:rPr>
      <w:sz w:val="20"/>
      <w:szCs w:val="20"/>
    </w:rPr>
  </w:style>
  <w:style w:type="character" w:customStyle="1" w:styleId="JegyzetszvegChar">
    <w:name w:val="Jegyzetszöveg Char"/>
    <w:basedOn w:val="Bekezdsalapbettpusa"/>
    <w:link w:val="Jegyzetszveg"/>
    <w:uiPriority w:val="99"/>
    <w:semiHidden/>
    <w:rsid w:val="00AB2F99"/>
    <w:rPr>
      <w:sz w:val="20"/>
      <w:szCs w:val="20"/>
    </w:rPr>
  </w:style>
  <w:style w:type="paragraph" w:styleId="Megjegyzstrgya">
    <w:name w:val="annotation subject"/>
    <w:basedOn w:val="Jegyzetszveg"/>
    <w:next w:val="Jegyzetszveg"/>
    <w:link w:val="MegjegyzstrgyaChar"/>
    <w:uiPriority w:val="99"/>
    <w:semiHidden/>
    <w:unhideWhenUsed/>
    <w:rsid w:val="00AB2F99"/>
    <w:rPr>
      <w:b/>
      <w:bCs/>
    </w:rPr>
  </w:style>
  <w:style w:type="character" w:customStyle="1" w:styleId="MegjegyzstrgyaChar">
    <w:name w:val="Megjegyzés tárgya Char"/>
    <w:basedOn w:val="JegyzetszvegChar"/>
    <w:link w:val="Megjegyzstrgya"/>
    <w:uiPriority w:val="99"/>
    <w:semiHidden/>
    <w:rsid w:val="00AB2F99"/>
    <w:rPr>
      <w:b/>
      <w:bCs/>
      <w:sz w:val="20"/>
      <w:szCs w:val="20"/>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uiPriority w:val="34"/>
    <w:qFormat/>
    <w:locked/>
    <w:rsid w:val="00D55E30"/>
  </w:style>
  <w:style w:type="character" w:customStyle="1" w:styleId="Cmsor1Char">
    <w:name w:val="Címsor 1 Char"/>
    <w:basedOn w:val="Bekezdsalapbettpusa"/>
    <w:link w:val="Cmsor1"/>
    <w:uiPriority w:val="9"/>
    <w:rsid w:val="00D55E30"/>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semiHidden/>
    <w:rsid w:val="00411CCE"/>
    <w:rPr>
      <w:rFonts w:asciiTheme="majorHAnsi" w:eastAsiaTheme="majorEastAsia" w:hAnsiTheme="majorHAnsi" w:cstheme="majorBidi"/>
      <w:b/>
      <w:bCs/>
      <w:color w:val="4F81BD" w:themeColor="accent1"/>
      <w:sz w:val="26"/>
      <w:szCs w:val="26"/>
    </w:rPr>
  </w:style>
  <w:style w:type="paragraph" w:styleId="Cm">
    <w:name w:val="Title"/>
    <w:basedOn w:val="Norml"/>
    <w:link w:val="CmChar"/>
    <w:qFormat/>
    <w:rsid w:val="00C63757"/>
    <w:pPr>
      <w:keepNext/>
      <w:widowControl w:val="0"/>
      <w:suppressAutoHyphens/>
      <w:spacing w:before="240" w:after="120" w:line="240" w:lineRule="auto"/>
    </w:pPr>
    <w:rPr>
      <w:rFonts w:ascii="Times New Roman" w:eastAsia="Microsoft YaHei" w:hAnsi="Times New Roman" w:cs="Mangal"/>
      <w:color w:val="808080" w:themeColor="background1" w:themeShade="80"/>
      <w:sz w:val="36"/>
      <w:szCs w:val="28"/>
      <w:lang w:eastAsia="hu-HU"/>
    </w:rPr>
  </w:style>
  <w:style w:type="character" w:customStyle="1" w:styleId="CmChar">
    <w:name w:val="Cím Char"/>
    <w:basedOn w:val="Bekezdsalapbettpusa"/>
    <w:link w:val="Cm"/>
    <w:rsid w:val="00C63757"/>
    <w:rPr>
      <w:rFonts w:ascii="Times New Roman" w:eastAsia="Microsoft YaHei" w:hAnsi="Times New Roman" w:cs="Mangal"/>
      <w:color w:val="808080" w:themeColor="background1" w:themeShade="80"/>
      <w:sz w:val="36"/>
      <w:szCs w:val="28"/>
      <w:lang w:eastAsia="hu-HU"/>
    </w:rPr>
  </w:style>
  <w:style w:type="paragraph" w:styleId="Szvegtrzs">
    <w:name w:val="Body Text"/>
    <w:basedOn w:val="Norml"/>
    <w:link w:val="SzvegtrzsChar"/>
    <w:rsid w:val="00C63757"/>
    <w:pPr>
      <w:widowControl w:val="0"/>
      <w:suppressAutoHyphens/>
      <w:spacing w:after="120" w:line="288" w:lineRule="auto"/>
      <w:ind w:right="125"/>
      <w:jc w:val="both"/>
    </w:pPr>
    <w:rPr>
      <w:rFonts w:ascii="Times New Roman" w:eastAsia="Arial" w:hAnsi="Times New Roman" w:cstheme="minorHAnsi"/>
      <w:sz w:val="24"/>
      <w:szCs w:val="20"/>
      <w:lang w:eastAsia="hu-HU"/>
    </w:rPr>
  </w:style>
  <w:style w:type="character" w:customStyle="1" w:styleId="SzvegtrzsChar">
    <w:name w:val="Szövegtörzs Char"/>
    <w:basedOn w:val="Bekezdsalapbettpusa"/>
    <w:link w:val="Szvegtrzs"/>
    <w:rsid w:val="00C63757"/>
    <w:rPr>
      <w:rFonts w:ascii="Times New Roman" w:eastAsia="Arial" w:hAnsi="Times New Roman" w:cstheme="minorHAnsi"/>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4996">
      <w:bodyDiv w:val="1"/>
      <w:marLeft w:val="0"/>
      <w:marRight w:val="0"/>
      <w:marTop w:val="0"/>
      <w:marBottom w:val="0"/>
      <w:divBdr>
        <w:top w:val="none" w:sz="0" w:space="0" w:color="auto"/>
        <w:left w:val="none" w:sz="0" w:space="0" w:color="auto"/>
        <w:bottom w:val="none" w:sz="0" w:space="0" w:color="auto"/>
        <w:right w:val="none" w:sz="0" w:space="0" w:color="auto"/>
      </w:divBdr>
    </w:div>
    <w:div w:id="59208848">
      <w:bodyDiv w:val="1"/>
      <w:marLeft w:val="0"/>
      <w:marRight w:val="0"/>
      <w:marTop w:val="0"/>
      <w:marBottom w:val="0"/>
      <w:divBdr>
        <w:top w:val="none" w:sz="0" w:space="0" w:color="auto"/>
        <w:left w:val="none" w:sz="0" w:space="0" w:color="auto"/>
        <w:bottom w:val="none" w:sz="0" w:space="0" w:color="auto"/>
        <w:right w:val="none" w:sz="0" w:space="0" w:color="auto"/>
      </w:divBdr>
    </w:div>
    <w:div w:id="61875615">
      <w:bodyDiv w:val="1"/>
      <w:marLeft w:val="0"/>
      <w:marRight w:val="0"/>
      <w:marTop w:val="0"/>
      <w:marBottom w:val="0"/>
      <w:divBdr>
        <w:top w:val="none" w:sz="0" w:space="0" w:color="auto"/>
        <w:left w:val="none" w:sz="0" w:space="0" w:color="auto"/>
        <w:bottom w:val="none" w:sz="0" w:space="0" w:color="auto"/>
        <w:right w:val="none" w:sz="0" w:space="0" w:color="auto"/>
      </w:divBdr>
    </w:div>
    <w:div w:id="221798775">
      <w:bodyDiv w:val="1"/>
      <w:marLeft w:val="0"/>
      <w:marRight w:val="0"/>
      <w:marTop w:val="0"/>
      <w:marBottom w:val="0"/>
      <w:divBdr>
        <w:top w:val="none" w:sz="0" w:space="0" w:color="auto"/>
        <w:left w:val="none" w:sz="0" w:space="0" w:color="auto"/>
        <w:bottom w:val="none" w:sz="0" w:space="0" w:color="auto"/>
        <w:right w:val="none" w:sz="0" w:space="0" w:color="auto"/>
      </w:divBdr>
    </w:div>
    <w:div w:id="390886129">
      <w:bodyDiv w:val="1"/>
      <w:marLeft w:val="0"/>
      <w:marRight w:val="0"/>
      <w:marTop w:val="0"/>
      <w:marBottom w:val="0"/>
      <w:divBdr>
        <w:top w:val="none" w:sz="0" w:space="0" w:color="auto"/>
        <w:left w:val="none" w:sz="0" w:space="0" w:color="auto"/>
        <w:bottom w:val="none" w:sz="0" w:space="0" w:color="auto"/>
        <w:right w:val="none" w:sz="0" w:space="0" w:color="auto"/>
      </w:divBdr>
    </w:div>
    <w:div w:id="566769478">
      <w:bodyDiv w:val="1"/>
      <w:marLeft w:val="0"/>
      <w:marRight w:val="0"/>
      <w:marTop w:val="0"/>
      <w:marBottom w:val="0"/>
      <w:divBdr>
        <w:top w:val="none" w:sz="0" w:space="0" w:color="auto"/>
        <w:left w:val="none" w:sz="0" w:space="0" w:color="auto"/>
        <w:bottom w:val="none" w:sz="0" w:space="0" w:color="auto"/>
        <w:right w:val="none" w:sz="0" w:space="0" w:color="auto"/>
      </w:divBdr>
    </w:div>
    <w:div w:id="650211845">
      <w:bodyDiv w:val="1"/>
      <w:marLeft w:val="0"/>
      <w:marRight w:val="0"/>
      <w:marTop w:val="0"/>
      <w:marBottom w:val="0"/>
      <w:divBdr>
        <w:top w:val="none" w:sz="0" w:space="0" w:color="auto"/>
        <w:left w:val="none" w:sz="0" w:space="0" w:color="auto"/>
        <w:bottom w:val="none" w:sz="0" w:space="0" w:color="auto"/>
        <w:right w:val="none" w:sz="0" w:space="0" w:color="auto"/>
      </w:divBdr>
    </w:div>
    <w:div w:id="794519867">
      <w:bodyDiv w:val="1"/>
      <w:marLeft w:val="0"/>
      <w:marRight w:val="0"/>
      <w:marTop w:val="0"/>
      <w:marBottom w:val="0"/>
      <w:divBdr>
        <w:top w:val="none" w:sz="0" w:space="0" w:color="auto"/>
        <w:left w:val="none" w:sz="0" w:space="0" w:color="auto"/>
        <w:bottom w:val="none" w:sz="0" w:space="0" w:color="auto"/>
        <w:right w:val="none" w:sz="0" w:space="0" w:color="auto"/>
      </w:divBdr>
    </w:div>
    <w:div w:id="865480747">
      <w:bodyDiv w:val="1"/>
      <w:marLeft w:val="0"/>
      <w:marRight w:val="0"/>
      <w:marTop w:val="0"/>
      <w:marBottom w:val="0"/>
      <w:divBdr>
        <w:top w:val="none" w:sz="0" w:space="0" w:color="auto"/>
        <w:left w:val="none" w:sz="0" w:space="0" w:color="auto"/>
        <w:bottom w:val="none" w:sz="0" w:space="0" w:color="auto"/>
        <w:right w:val="none" w:sz="0" w:space="0" w:color="auto"/>
      </w:divBdr>
    </w:div>
    <w:div w:id="1278294848">
      <w:bodyDiv w:val="1"/>
      <w:marLeft w:val="0"/>
      <w:marRight w:val="0"/>
      <w:marTop w:val="0"/>
      <w:marBottom w:val="0"/>
      <w:divBdr>
        <w:top w:val="none" w:sz="0" w:space="0" w:color="auto"/>
        <w:left w:val="none" w:sz="0" w:space="0" w:color="auto"/>
        <w:bottom w:val="none" w:sz="0" w:space="0" w:color="auto"/>
        <w:right w:val="none" w:sz="0" w:space="0" w:color="auto"/>
      </w:divBdr>
    </w:div>
    <w:div w:id="1404647119">
      <w:bodyDiv w:val="1"/>
      <w:marLeft w:val="0"/>
      <w:marRight w:val="0"/>
      <w:marTop w:val="0"/>
      <w:marBottom w:val="0"/>
      <w:divBdr>
        <w:top w:val="none" w:sz="0" w:space="0" w:color="auto"/>
        <w:left w:val="none" w:sz="0" w:space="0" w:color="auto"/>
        <w:bottom w:val="none" w:sz="0" w:space="0" w:color="auto"/>
        <w:right w:val="none" w:sz="0" w:space="0" w:color="auto"/>
      </w:divBdr>
    </w:div>
    <w:div w:id="1464691382">
      <w:bodyDiv w:val="1"/>
      <w:marLeft w:val="0"/>
      <w:marRight w:val="0"/>
      <w:marTop w:val="0"/>
      <w:marBottom w:val="0"/>
      <w:divBdr>
        <w:top w:val="none" w:sz="0" w:space="0" w:color="auto"/>
        <w:left w:val="none" w:sz="0" w:space="0" w:color="auto"/>
        <w:bottom w:val="none" w:sz="0" w:space="0" w:color="auto"/>
        <w:right w:val="none" w:sz="0" w:space="0" w:color="auto"/>
      </w:divBdr>
    </w:div>
    <w:div w:id="1469084072">
      <w:bodyDiv w:val="1"/>
      <w:marLeft w:val="0"/>
      <w:marRight w:val="0"/>
      <w:marTop w:val="0"/>
      <w:marBottom w:val="0"/>
      <w:divBdr>
        <w:top w:val="none" w:sz="0" w:space="0" w:color="auto"/>
        <w:left w:val="none" w:sz="0" w:space="0" w:color="auto"/>
        <w:bottom w:val="none" w:sz="0" w:space="0" w:color="auto"/>
        <w:right w:val="none" w:sz="0" w:space="0" w:color="auto"/>
      </w:divBdr>
    </w:div>
    <w:div w:id="1501118342">
      <w:bodyDiv w:val="1"/>
      <w:marLeft w:val="0"/>
      <w:marRight w:val="0"/>
      <w:marTop w:val="0"/>
      <w:marBottom w:val="0"/>
      <w:divBdr>
        <w:top w:val="none" w:sz="0" w:space="0" w:color="auto"/>
        <w:left w:val="none" w:sz="0" w:space="0" w:color="auto"/>
        <w:bottom w:val="none" w:sz="0" w:space="0" w:color="auto"/>
        <w:right w:val="none" w:sz="0" w:space="0" w:color="auto"/>
      </w:divBdr>
    </w:div>
    <w:div w:id="1682201700">
      <w:bodyDiv w:val="1"/>
      <w:marLeft w:val="0"/>
      <w:marRight w:val="0"/>
      <w:marTop w:val="0"/>
      <w:marBottom w:val="0"/>
      <w:divBdr>
        <w:top w:val="none" w:sz="0" w:space="0" w:color="auto"/>
        <w:left w:val="none" w:sz="0" w:space="0" w:color="auto"/>
        <w:bottom w:val="none" w:sz="0" w:space="0" w:color="auto"/>
        <w:right w:val="none" w:sz="0" w:space="0" w:color="auto"/>
      </w:divBdr>
    </w:div>
    <w:div w:id="1933928850">
      <w:bodyDiv w:val="1"/>
      <w:marLeft w:val="0"/>
      <w:marRight w:val="0"/>
      <w:marTop w:val="0"/>
      <w:marBottom w:val="0"/>
      <w:divBdr>
        <w:top w:val="none" w:sz="0" w:space="0" w:color="auto"/>
        <w:left w:val="none" w:sz="0" w:space="0" w:color="auto"/>
        <w:bottom w:val="none" w:sz="0" w:space="0" w:color="auto"/>
        <w:right w:val="none" w:sz="0" w:space="0" w:color="auto"/>
      </w:divBdr>
    </w:div>
    <w:div w:id="212207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okir.hu/hu/cikk/463/EU_tagallamok_PRTR_honlapjai" TargetMode="External"/><Relationship Id="rId18" Type="http://schemas.openxmlformats.org/officeDocument/2006/relationships/hyperlink" Target="http://web.okir.hu/hu/tart/index/50/Adatok_lekerdezes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eb.okir.hu/hu/tart/index/50/Adatok_lekerdezese" TargetMode="External"/><Relationship Id="rId17" Type="http://schemas.openxmlformats.org/officeDocument/2006/relationships/hyperlink" Target="http://web.okir.hu/hu/eprtr" TargetMode="External"/><Relationship Id="rId2" Type="http://schemas.openxmlformats.org/officeDocument/2006/relationships/numbering" Target="numbering.xml"/><Relationship Id="rId16" Type="http://schemas.openxmlformats.org/officeDocument/2006/relationships/hyperlink" Target="http://prtr.ec.europa.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okir.hu/hu/eprtr" TargetMode="External"/><Relationship Id="rId5" Type="http://schemas.openxmlformats.org/officeDocument/2006/relationships/settings" Target="settings.xml"/><Relationship Id="rId15" Type="http://schemas.openxmlformats.org/officeDocument/2006/relationships/hyperlink" Target="http://web.okir.hu/hu/eprtr" TargetMode="External"/><Relationship Id="rId10" Type="http://schemas.openxmlformats.org/officeDocument/2006/relationships/hyperlink" Target="http://prtr.ec.europa.e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gyongyi.bejenaru-sramko@fm.gov.hu" TargetMode="External"/><Relationship Id="rId14" Type="http://schemas.openxmlformats.org/officeDocument/2006/relationships/hyperlink" Target="http://web.okir.hu/hu/cikk/464/Nemzeti_PRTR_rendszerek_honlapjai_a_vilagon"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A2443-642B-4FC4-BA8A-E042292C6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7812</Words>
  <Characters>53910</Characters>
  <Application>Microsoft Office Word</Application>
  <DocSecurity>0</DocSecurity>
  <Lines>449</Lines>
  <Paragraphs>123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61599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Fehervary</dc:creator>
  <cp:lastModifiedBy>Bejenaru-Sramkó Gyöngyi</cp:lastModifiedBy>
  <cp:revision>6</cp:revision>
  <cp:lastPrinted>2017-08-14T09:06:00Z</cp:lastPrinted>
  <dcterms:created xsi:type="dcterms:W3CDTF">2017-08-16T06:00:00Z</dcterms:created>
  <dcterms:modified xsi:type="dcterms:W3CDTF">2017-08-16T08:11:00Z</dcterms:modified>
</cp:coreProperties>
</file>