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62E7" w:rsidRPr="00BC62E7" w:rsidRDefault="00D32D77">
      <w:pPr>
        <w:jc w:val="center"/>
        <w:rPr>
          <w:b/>
        </w:rPr>
      </w:pPr>
      <w:r>
        <w:rPr>
          <w:b/>
        </w:rPr>
        <w:t xml:space="preserve">A </w:t>
      </w:r>
      <w:r w:rsidR="00710396" w:rsidRPr="00BC62E7">
        <w:rPr>
          <w:b/>
        </w:rPr>
        <w:t>Nemzeti Épületenergetikai Stratégia</w:t>
      </w:r>
      <w:r w:rsidR="00BC62E7" w:rsidRPr="00BC62E7">
        <w:rPr>
          <w:b/>
        </w:rPr>
        <w:t xml:space="preserve"> társadalmi véleményezése során beérkezett észrevételek, valamint az egyeztető fórumon elhangzott </w:t>
      </w:r>
      <w:r w:rsidR="00710396" w:rsidRPr="00BC62E7">
        <w:rPr>
          <w:b/>
        </w:rPr>
        <w:t>kérdések</w:t>
      </w:r>
      <w:r w:rsidR="00BC62E7" w:rsidRPr="00BC62E7">
        <w:rPr>
          <w:b/>
        </w:rPr>
        <w:t xml:space="preserve"> összefoglalása</w:t>
      </w:r>
    </w:p>
    <w:p w:rsidR="00223E70" w:rsidRPr="00BC62E7" w:rsidRDefault="00BC62E7">
      <w:pPr>
        <w:jc w:val="center"/>
        <w:rPr>
          <w:b/>
        </w:rPr>
      </w:pPr>
      <w:proofErr w:type="gramStart"/>
      <w:r w:rsidRPr="00BC62E7">
        <w:rPr>
          <w:b/>
        </w:rPr>
        <w:t>és</w:t>
      </w:r>
      <w:proofErr w:type="gramEnd"/>
      <w:r w:rsidRPr="00BC62E7">
        <w:rPr>
          <w:b/>
        </w:rPr>
        <w:t xml:space="preserve"> az ezekre adott válaszok és indoklás</w:t>
      </w:r>
    </w:p>
    <w:p w:rsidR="00223E70" w:rsidRDefault="00223E70">
      <w:pPr>
        <w:jc w:val="both"/>
      </w:pPr>
    </w:p>
    <w:p w:rsidR="00223E70" w:rsidRDefault="00223E70">
      <w:pPr>
        <w:jc w:val="both"/>
      </w:pPr>
    </w:p>
    <w:p w:rsidR="00D32D77" w:rsidRDefault="00D32D77" w:rsidP="00D32D77">
      <w:pPr>
        <w:jc w:val="both"/>
      </w:pPr>
      <w:r>
        <w:t xml:space="preserve">A Nemzeti Épületenergetikai Stratégiát a Kormány a </w:t>
      </w:r>
      <w:r w:rsidR="00B21237">
        <w:t>1073</w:t>
      </w:r>
      <w:r>
        <w:t xml:space="preserve">/2015. (II. </w:t>
      </w:r>
      <w:r w:rsidR="00B21237">
        <w:t>25.</w:t>
      </w:r>
      <w:r>
        <w:t>) Korm. határozattal elfogadta. A kormányzati stratégiai irányításról szóló 38/2012. (III. 12.) Korm. rendelet 18. §</w:t>
      </w:r>
      <w:proofErr w:type="spellStart"/>
      <w:r>
        <w:t>-a</w:t>
      </w:r>
      <w:proofErr w:type="spellEnd"/>
      <w:r>
        <w:t xml:space="preserve"> szerint, stratégiai tervdokumentum elfogadását követően a beérkezett véleményeket és az azokról, valamint az elutasított vélemények esetében az elutasítás indokairól összefoglalót kell készíteni és legkésőbb hatvan napon belül a honlapon közzé kell tenni.</w:t>
      </w:r>
    </w:p>
    <w:p w:rsidR="00D32D77" w:rsidRDefault="00D32D77">
      <w:pPr>
        <w:jc w:val="both"/>
      </w:pPr>
    </w:p>
    <w:p w:rsidR="00223E70" w:rsidRDefault="00223E70">
      <w:pPr>
        <w:jc w:val="both"/>
      </w:pPr>
    </w:p>
    <w:p w:rsidR="00D32D77" w:rsidRDefault="00D32D77">
      <w:pPr>
        <w:jc w:val="both"/>
      </w:pPr>
    </w:p>
    <w:p w:rsidR="00223E70" w:rsidRDefault="00710396">
      <w:pPr>
        <w:numPr>
          <w:ilvl w:val="0"/>
          <w:numId w:val="2"/>
        </w:numPr>
        <w:ind w:left="540" w:hanging="359"/>
        <w:contextualSpacing/>
        <w:jc w:val="both"/>
        <w:rPr>
          <w:b/>
        </w:rPr>
      </w:pPr>
      <w:r>
        <w:rPr>
          <w:b/>
        </w:rPr>
        <w:t>A Nemzeti Épületenergetikai Stratégiában a jövőkép és a kijelölt célok meghatározása nem kap elég hangsúlyt, például az átfogó stratégiai célok kijelölésénél nincsenek külön-külön célszámok kitűzve, illetve több helyen konkrét kormányzati célkitűzés feltüntetése lenne javasolt.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>Az Nemzeti Épületenergetikai Stratégiában kifejtésre kerültek az épületenergetikát érintő legfontosabb feladatok, stratégiai célok. A részletesebb célszámok, illetve a konkrétabb kormányzati célkitűzések</w:t>
      </w:r>
      <w:r w:rsidR="00480A8B">
        <w:rPr>
          <w:i/>
        </w:rPr>
        <w:t xml:space="preserve"> meghatározása nem tartozik a NÉeS</w:t>
      </w:r>
      <w:r>
        <w:rPr>
          <w:i/>
        </w:rPr>
        <w:t xml:space="preserve"> feladatai közé. Ezekre a cselekvési tervek és egyéb stratégiai dokumentumok hivatottak.</w:t>
      </w: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3"/>
        </w:numPr>
        <w:ind w:left="540" w:hanging="359"/>
        <w:contextualSpacing/>
        <w:jc w:val="both"/>
        <w:rPr>
          <w:b/>
        </w:rPr>
      </w:pPr>
      <w:r>
        <w:rPr>
          <w:b/>
        </w:rPr>
        <w:t>Műemléki vagy műemlék-jellegű épületek szakszerű megújítása eltér az általánosan elterjedt energetikai korszerűsítési módoktól, ezt a NÉeS hol vette figyelembe? A műemlék épületekre legyen külön épületenergetikai szabályozás.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 lakóépületek számításánál a 8. (társasház 4-9 lakással, -2000) és 10. (társasház 10 vagy több lakással, -1945) lakóépület típusoknál figyelembe vettük, hogy az utcai homlokzatoknál külső hőszigetelés általában nem alkalmazható. A 10. épülettípus például egy belvárosi zártsorú beépítés esetét mutatja be. Ennél az esetnél nem volt alkalmazható a homlokzati fronton a külső hőszigetelés, azonban az udvar oldali homlokzat, a padlásfödém és pincefödém hőszigetelésével, hőszigetelő üvegezésű nyílászárók beépítésével és gépészeti korszerűsítéssel elérhető volt a követelményszint. </w:t>
      </w:r>
    </w:p>
    <w:p w:rsidR="00223E70" w:rsidRDefault="00710396" w:rsidP="00C94912">
      <w:pPr>
        <w:ind w:left="720"/>
        <w:jc w:val="both"/>
      </w:pPr>
      <w:r>
        <w:rPr>
          <w:i/>
        </w:rPr>
        <w:t>A műemlék épületekre vonatkozó szabályozás megteremtése nem tartozik a NÉeS feladatai közé.</w:t>
      </w:r>
      <w:r w:rsidR="00C94912">
        <w:rPr>
          <w:i/>
        </w:rPr>
        <w:t xml:space="preserve"> Az épületek energetikai követelményeinek és tanúsításának szabályozása 2015. január 30-tól változott, a </w:t>
      </w:r>
      <w:r w:rsidR="00C94912" w:rsidRPr="00C94912">
        <w:rPr>
          <w:i/>
        </w:rPr>
        <w:t xml:space="preserve">14/2014. (XII. 31.) </w:t>
      </w:r>
      <w:proofErr w:type="spellStart"/>
      <w:r w:rsidR="00C94912" w:rsidRPr="00C94912">
        <w:rPr>
          <w:i/>
        </w:rPr>
        <w:t>MvM</w:t>
      </w:r>
      <w:proofErr w:type="spellEnd"/>
      <w:r w:rsidR="00C94912" w:rsidRPr="00C94912">
        <w:rPr>
          <w:i/>
        </w:rPr>
        <w:t xml:space="preserve"> rendelet</w:t>
      </w:r>
      <w:r w:rsidR="00C94912">
        <w:rPr>
          <w:i/>
        </w:rPr>
        <w:t>tel és a 387/2014. (XII. </w:t>
      </w:r>
      <w:r w:rsidR="00C94912" w:rsidRPr="00C94912">
        <w:rPr>
          <w:i/>
        </w:rPr>
        <w:t>31.) Korm. rendelet</w:t>
      </w:r>
      <w:r w:rsidR="00C94912">
        <w:rPr>
          <w:i/>
        </w:rPr>
        <w:t>tel, és ezt követően kiterjed a műemlékekre is.</w:t>
      </w: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3"/>
        </w:numPr>
        <w:ind w:hanging="359"/>
        <w:contextualSpacing/>
        <w:jc w:val="both"/>
        <w:rPr>
          <w:b/>
        </w:rPr>
      </w:pPr>
      <w:r>
        <w:rPr>
          <w:b/>
        </w:rPr>
        <w:t xml:space="preserve">Javasolt országos, akkreditált önkormányzati </w:t>
      </w:r>
      <w:proofErr w:type="spellStart"/>
      <w:r>
        <w:rPr>
          <w:b/>
        </w:rPr>
        <w:t>energetikusi</w:t>
      </w:r>
      <w:proofErr w:type="spellEnd"/>
      <w:r>
        <w:rPr>
          <w:b/>
        </w:rPr>
        <w:t xml:space="preserve"> hálózat létrehozása, ingyenes tanácsadás, valamint egy tanúsítói, tervezői, ill. kivitelezői minőségbiztosítási rendszer kialakítása.</w:t>
      </w:r>
    </w:p>
    <w:p w:rsidR="00223E70" w:rsidRDefault="00223E70">
      <w:pPr>
        <w:ind w:left="720"/>
        <w:jc w:val="both"/>
      </w:pPr>
    </w:p>
    <w:p w:rsidR="00223E70" w:rsidRDefault="00710396">
      <w:pPr>
        <w:ind w:left="720"/>
        <w:jc w:val="both"/>
      </w:pPr>
      <w:r>
        <w:rPr>
          <w:i/>
        </w:rPr>
        <w:lastRenderedPageBreak/>
        <w:t>A Nemzeti Épületenergetikai Stratégia</w:t>
      </w:r>
      <w:r>
        <w:t xml:space="preserve"> </w:t>
      </w:r>
      <w:r>
        <w:rPr>
          <w:i/>
        </w:rPr>
        <w:t>6.1-es fejezetének (A célok eléréséhez szükséges intézkedések) 11. intézkedése foglalkozik a kérdéssel, mely a szükséges szinten kezeli azt. Ennél konkrétabb intézkedéscsomag megfogalmazása, valamint azok megvalósításának koncepciója nem t</w:t>
      </w:r>
      <w:r w:rsidR="008028EC">
        <w:rPr>
          <w:i/>
        </w:rPr>
        <w:t>artozik a NÉeS feladatai közé.</w:t>
      </w:r>
    </w:p>
    <w:p w:rsidR="00223E70" w:rsidRDefault="00223E70">
      <w:pPr>
        <w:jc w:val="both"/>
      </w:pP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3"/>
        </w:numPr>
        <w:ind w:hanging="359"/>
        <w:contextualSpacing/>
        <w:jc w:val="both"/>
        <w:rPr>
          <w:b/>
        </w:rPr>
      </w:pPr>
      <w:r>
        <w:rPr>
          <w:b/>
        </w:rPr>
        <w:t>A távhővel kapcsolatos fejlesztések markánsabban jelenjenek meg a stratégiában, szükséges például vizsgálni a távfűtés korszerűsítésének és elérhetőségének javítását.</w:t>
      </w:r>
    </w:p>
    <w:p w:rsidR="00223E70" w:rsidRDefault="00223E70">
      <w:pPr>
        <w:ind w:firstLine="720"/>
        <w:jc w:val="both"/>
      </w:pPr>
    </w:p>
    <w:p w:rsidR="00223E70" w:rsidRDefault="00710396">
      <w:pPr>
        <w:ind w:left="720"/>
        <w:jc w:val="both"/>
      </w:pPr>
      <w:r>
        <w:rPr>
          <w:i/>
        </w:rPr>
        <w:t>A Nemzeti Épületenergetikai Stratégia tartalmazza a távhővel és a nem távhővel ellátott épületek fűtési rendszereinek felújítását egyaránt, valamint az energiaellátási módozatok bővítését és részleges kiváltását megújuló energia hasznosításával. Jelen Stratégia hatáskörébe nem tartozik bele a primer oldali fejlesztési irányok, a hálózat kiépítések és a távhő rácsatlakozások megvalósíthatóságának vizsgálata.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  <w:r>
        <w:rPr>
          <w:i/>
        </w:rPr>
        <w:t>A célja ennek a stratégiának, hogy lássuk milyen az épületállományunk helyzete, illetve az, hogy honnan hova szeretnénk eljutni, és az milyen költséggel jár.</w:t>
      </w:r>
    </w:p>
    <w:p w:rsidR="00223E70" w:rsidRDefault="00223E70">
      <w:pPr>
        <w:ind w:firstLine="720"/>
        <w:jc w:val="both"/>
      </w:pPr>
    </w:p>
    <w:p w:rsidR="00223E70" w:rsidRDefault="00710396">
      <w:pPr>
        <w:numPr>
          <w:ilvl w:val="0"/>
          <w:numId w:val="15"/>
        </w:numPr>
        <w:ind w:hanging="359"/>
        <w:contextualSpacing/>
        <w:jc w:val="both"/>
        <w:rPr>
          <w:b/>
        </w:rPr>
      </w:pPr>
      <w:r>
        <w:rPr>
          <w:b/>
        </w:rPr>
        <w:t>A meglévő épületállomány felújításához kapcsolódó célértékek arányait szükséges megváltoztatni (pl. panel túlsúly csökkentése/egyes típusok további növelése). Az épülettípusonkénti célokat rugalmasan szükséges kezelni.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 célértékek eltolása érdekcsoportonként eltérő képet mutat. Az alapelv az, hogy minden típusra/csoportra szükséges megoldást adni, lehetőséget biztosítani a támogatásra, illetve finanszírozásra. 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3"/>
        </w:numPr>
        <w:ind w:hanging="359"/>
        <w:contextualSpacing/>
        <w:jc w:val="both"/>
        <w:rPr>
          <w:b/>
        </w:rPr>
      </w:pPr>
      <w:r>
        <w:rPr>
          <w:b/>
        </w:rPr>
        <w:t>A különböző pénzügyi forrásokat (például strukturális alapok, uniós pénzügyi alapok, kvótabevételek, kereskedelmi bankok) kombináló innovatív lakossági támogatási mecha</w:t>
      </w:r>
      <w:r w:rsidR="00897466">
        <w:rPr>
          <w:b/>
        </w:rPr>
        <w:t xml:space="preserve">nizmus kidolgozása hiányzik a </w:t>
      </w:r>
      <w:proofErr w:type="spellStart"/>
      <w:r w:rsidR="00897466">
        <w:rPr>
          <w:b/>
        </w:rPr>
        <w:t>NE</w:t>
      </w:r>
      <w:r>
        <w:rPr>
          <w:b/>
        </w:rPr>
        <w:t>eS-ből</w:t>
      </w:r>
      <w:proofErr w:type="spellEnd"/>
      <w:r>
        <w:rPr>
          <w:b/>
        </w:rPr>
        <w:t>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 Nemzeti Épületenergetikai Stratégia feladatai közé nem tartoznak a pénzügyi források, valamint az azokat kombináló támogatási mechanizmusok kidolgozása. 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0"/>
        </w:numPr>
        <w:ind w:hanging="359"/>
        <w:contextualSpacing/>
        <w:jc w:val="both"/>
        <w:rPr>
          <w:b/>
        </w:rPr>
      </w:pPr>
      <w:r>
        <w:rPr>
          <w:b/>
        </w:rPr>
        <w:t>A lakóépület tipológia kategóriáinak meghatározásánál nem található meg minden építőanyag típus, illetve a típushatárok meghatározásánál eltérő építési periódusok kijelölése is indokolt lehetne. A tipológia felállításakor a megközelítés lehetett volna a lakhatás módozatához, az épület pontosabb funkciójához, esetleg komfortfokozatához igazodó rendszerezés is.</w:t>
      </w:r>
    </w:p>
    <w:p w:rsidR="00223E70" w:rsidRDefault="00223E70">
      <w:pPr>
        <w:ind w:left="720"/>
        <w:jc w:val="both"/>
      </w:pPr>
    </w:p>
    <w:p w:rsidR="00223E70" w:rsidRDefault="00710396">
      <w:pPr>
        <w:ind w:left="720"/>
        <w:jc w:val="both"/>
      </w:pPr>
      <w:r>
        <w:rPr>
          <w:i/>
        </w:rPr>
        <w:t>Az épülettípusok meghatározása a 2012/27/EU Energiahatékonysági irányelv 4. cikk előírása értelmében az országos kivetíthetőség figyelembe vételével történt. A típusépületek meghatározásakor szempont volt az országos reprezentativitás figyelembe vétele, mely a rendelkezésre álló KSH adatok alapján történt. Alapelv volt, hogy az adott sávba eső épület altípusok közül a leggyakoribb alapján készüljön a modell.</w:t>
      </w: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5"/>
        </w:numPr>
        <w:ind w:hanging="359"/>
        <w:contextualSpacing/>
        <w:jc w:val="both"/>
        <w:rPr>
          <w:b/>
        </w:rPr>
      </w:pPr>
      <w:r>
        <w:rPr>
          <w:b/>
        </w:rPr>
        <w:t xml:space="preserve">Részletesebb vizsgálatok elvégzése lenne szükséges olyan fejlesztési irányokat illetően, mint például a SMART infokommunikációs rendszer, a </w:t>
      </w:r>
      <w:proofErr w:type="spellStart"/>
      <w:r>
        <w:rPr>
          <w:b/>
        </w:rPr>
        <w:t>MikroCHP-k</w:t>
      </w:r>
      <w:proofErr w:type="spellEnd"/>
      <w:r>
        <w:rPr>
          <w:b/>
        </w:rPr>
        <w:t xml:space="preserve"> telepítésének lehetőségei, az Okos Hálózatok, vagy a Smart Cities rendszerek.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>Az említett fejlesztési irányokat illetően részletesebb elemzések, vizsgálatok elvégzése és megvalósíthatósági tanulmányok elkészítése nem tartozik a NÉeS feladatai közé.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6"/>
        </w:numPr>
        <w:ind w:hanging="359"/>
        <w:contextualSpacing/>
        <w:jc w:val="both"/>
        <w:rPr>
          <w:b/>
        </w:rPr>
      </w:pPr>
      <w:r>
        <w:rPr>
          <w:b/>
        </w:rPr>
        <w:t>Légtechnika kérdésköre, a szellőzés, ezen belül főként a hővisszanyerős szellőzés kérdésköre háttérbe szorul a NÉeS-ben.</w:t>
      </w:r>
    </w:p>
    <w:p w:rsidR="00223E70" w:rsidRDefault="00223E70">
      <w:pPr>
        <w:ind w:left="720"/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Az energetikai számítások során az állagvédelmileg szükséges légcserével számoltunk. A hővisszanyerős rendszereket a lakóépület modellek nem tartalmaznak, mert sem a költségoptimum, sem a közel nulla definíció nem írja elő. Jelenleg mindkét követelmény olyan, hogy hővisszanyerő nélkül teljesíthető. Ezért a hővisszanyerős szellőzést csak a követelmények jelentős túlteljesítésével vehettük volna figyelembe, ami túlzott bekerülési költségekhez vezetett volna. Középületek esetében a közel nulla energiafelhasználású épületek esetén a számítások tartalmazzák minden esetben mesterséges szellőztetést. </w:t>
      </w:r>
      <w:r w:rsidR="00A31199">
        <w:rPr>
          <w:i/>
        </w:rPr>
        <w:t>A szellőzés és a belső komfort</w:t>
      </w:r>
      <w:r w:rsidR="00693A8F">
        <w:rPr>
          <w:i/>
        </w:rPr>
        <w:t xml:space="preserve"> </w:t>
      </w:r>
      <w:r w:rsidR="00A31199">
        <w:rPr>
          <w:i/>
        </w:rPr>
        <w:t xml:space="preserve">szükségességét bele fogalmaztuk a 4.1.1. fejezetbe. 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4"/>
        </w:numPr>
        <w:ind w:hanging="359"/>
        <w:contextualSpacing/>
        <w:jc w:val="both"/>
        <w:rPr>
          <w:b/>
        </w:rPr>
      </w:pPr>
      <w:r>
        <w:rPr>
          <w:b/>
        </w:rPr>
        <w:t>Primer oldali energiatermelés, energiaellátás kérdésköre, valamint az ezekkel kapcsolatos korszerűsítések, fejlesztések a NÉeS-ben nem jelennek meg.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 primer oldali energiatermelés, energiaellátás fejlesztési kérdései, decentralizált/közösségi megújuló energiatermelés elismerése és ösztönzései nem tartoznak a Nemzeti Épületenergetikai Stratégia hatáskörébe, mivel az a szekunder oldallal foglalkozik. Egyetértünk a kérdéskör kiemelt fontosságával, azonban erre egy direkt módon a primer oldallal foglalkozó dokumentum lenne megfelelő. 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4"/>
        </w:numPr>
        <w:ind w:hanging="359"/>
        <w:contextualSpacing/>
        <w:jc w:val="both"/>
        <w:rPr>
          <w:b/>
        </w:rPr>
      </w:pPr>
      <w:r>
        <w:rPr>
          <w:b/>
        </w:rPr>
        <w:t xml:space="preserve">A 7/2006. (V. 24.) TNM rendelet módosítása, illetve finomítása lenne szükséges, tekintettel például az épület </w:t>
      </w:r>
      <w:proofErr w:type="spellStart"/>
      <w:r>
        <w:rPr>
          <w:b/>
        </w:rPr>
        <w:t>automatikát</w:t>
      </w:r>
      <w:proofErr w:type="spellEnd"/>
      <w:r>
        <w:rPr>
          <w:b/>
        </w:rPr>
        <w:t xml:space="preserve"> és az épületenergia-menedzsmentet érintő kérdésekre, valamint a közel nulla definíció pontosítására is.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>Az épületenergetikai előírások felülvizsgálata feladatként szerepel a NÉeS-ben a célok eléréséhez szükséges intézkedések között, azonban a 7/2006. (V. 24.) TNM rendelet módosítások részleteinek meghatározása nem tartozik a NÉeS feladatai közé. A NÉeS-ben a beruházási csomagoknál alkalmazott közel nulla definíció megfelel a 20/2014. (III. 7.) BM rendeletben meghatározottal.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7"/>
        </w:numPr>
        <w:ind w:hanging="359"/>
        <w:contextualSpacing/>
        <w:jc w:val="both"/>
        <w:rPr>
          <w:b/>
        </w:rPr>
      </w:pPr>
      <w:r>
        <w:rPr>
          <w:b/>
        </w:rPr>
        <w:t>Az újépítések tipológiája, népszerűsítése, támogatási konstrukciók kidolgozása, stb. (pl. konkrét esetek feldolgozása, elemezve, hogy a felújítás vagy a helyettesítő új építés a gazdaságosabb megoldás)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lastRenderedPageBreak/>
        <w:t xml:space="preserve">A Nemzeti Épületenergetikai Stratégia </w:t>
      </w:r>
      <w:r w:rsidR="00693A8F">
        <w:rPr>
          <w:i/>
        </w:rPr>
        <w:t xml:space="preserve">kifejezetten a felújításokra vonatkozik, ezért </w:t>
      </w:r>
      <w:r>
        <w:rPr>
          <w:i/>
        </w:rPr>
        <w:t>a meglévő országos épületállomány bemutatásával és tipologizálásával foglalkozik, az újépítések kategóriába sorolása, illetve népszerűsítése nem tartozik a feladatai közé. Ezt a kérdéskört egy külön lakáspolitikai dokumentumban lehet csak körültekintően kezelni.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"/>
        </w:numPr>
        <w:ind w:hanging="359"/>
        <w:contextualSpacing/>
        <w:jc w:val="both"/>
        <w:rPr>
          <w:b/>
        </w:rPr>
      </w:pPr>
      <w:r>
        <w:rPr>
          <w:b/>
        </w:rPr>
        <w:t>Megújuló technológiák használatával kapcsolatban különböző kritikák kerültek megfogalmazásra, melyekben többek között bírálat éri a megújuló energiaforrást használó technológiák hangsúlyosságait pozitív/negatív irányban.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>A NÉeS-ben a leggyakrabban előforduló megújuló technológiák nevesítésre, illetve beépítésre kerültek. Nem vállalkozhat a NÉeS annak kijelölésére, hogy kizárólag melyik technológiák alkalmazása ajánlott az elkövetkez</w:t>
      </w:r>
      <w:r w:rsidR="00897466">
        <w:rPr>
          <w:i/>
        </w:rPr>
        <w:t xml:space="preserve">ő időszakban, tehát nem lehet a </w:t>
      </w:r>
      <w:proofErr w:type="gramStart"/>
      <w:r>
        <w:rPr>
          <w:i/>
        </w:rPr>
        <w:t>dokumentum különböző</w:t>
      </w:r>
      <w:proofErr w:type="gramEnd"/>
      <w:r>
        <w:rPr>
          <w:i/>
        </w:rPr>
        <w:t xml:space="preserve"> érdekcsoportok kizárólagos képviselője. Minden beruházásnál meg kell vizsgálni az optimális megoldást a rendelkezésre álló technológiák alkalmazására vonatkozóan.</w:t>
      </w:r>
      <w:bookmarkStart w:id="0" w:name="_GoBack"/>
      <w:bookmarkEnd w:id="0"/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"/>
        </w:numPr>
        <w:ind w:hanging="359"/>
        <w:contextualSpacing/>
        <w:jc w:val="both"/>
        <w:rPr>
          <w:b/>
        </w:rPr>
      </w:pPr>
      <w:r>
        <w:rPr>
          <w:b/>
        </w:rPr>
        <w:t xml:space="preserve">A meghatározott költségek csak a szűken vett energetikai felújításokra vonatkoznak-e vagy tartalmazza a kiegészítő, szükséges teendőket is (pl. kémény felújítása, gázvezeték bekötése, felújítása)? 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>Igen tartalmazzák a szükség szerinti átalakítások költségét is. Nem tartalmazzák azonban az esetleg szükséges közműfejlesztési díjakat, illetékeket, méretlen vezeték korszerűsítését, átalakítását. Az árak csak az épületen belüli munkákra vonatkoznak.</w:t>
      </w:r>
    </w:p>
    <w:p w:rsidR="00223E70" w:rsidRDefault="00223E70">
      <w:pPr>
        <w:pStyle w:val="Cmsor3"/>
        <w:contextualSpacing w:val="0"/>
        <w:jc w:val="both"/>
      </w:pPr>
      <w:bookmarkStart w:id="1" w:name="h.4s5auy5ngyzn" w:colFirst="0" w:colLast="0"/>
      <w:bookmarkEnd w:id="1"/>
    </w:p>
    <w:p w:rsidR="00223E70" w:rsidRDefault="00710396">
      <w:pPr>
        <w:numPr>
          <w:ilvl w:val="0"/>
          <w:numId w:val="9"/>
        </w:numPr>
        <w:ind w:hanging="359"/>
        <w:contextualSpacing/>
        <w:jc w:val="both"/>
        <w:rPr>
          <w:b/>
        </w:rPr>
      </w:pPr>
      <w:r>
        <w:rPr>
          <w:b/>
        </w:rPr>
        <w:t>A NÉeS a beruházási költségek kalkulációjánál az építési termékek listaáraival számolt-e, mivel a kereskedelmi árak akár 30-50%-al alacsonyabbak is lehetnek.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>A költségek meghatározásánál csak nyilvános adatokat és adatbázisokat lehet felelősséggel használni. A Nemzeti Épületenergetikai Stratégia készítésénél is ez történt. Fontos megjegyezni, hogy a Közbeszerzési Hatóság a TERC normagyűjteményét tekinti irányadónak, ezért az ettől való 30-50%-os eltérés nem is indokolható. A költségszámítás során, több helyen 10% költségcsökkentést vettünk figyelembe projektkedvezmény gyanánt.</w:t>
      </w: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6"/>
        </w:numPr>
        <w:ind w:hanging="359"/>
        <w:contextualSpacing/>
        <w:jc w:val="both"/>
        <w:rPr>
          <w:b/>
        </w:rPr>
      </w:pPr>
      <w:r>
        <w:rPr>
          <w:b/>
        </w:rPr>
        <w:t xml:space="preserve">Az EED 7. cikk szerinti 1,5%-os energiahatékonysági kötelezettségi rendszer milyen módon tervezik bevezetni. 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 2012/27EU direktíva 7. cikkében előírt energiahatékonysági kötelezettségi rendszer hazai implementálása nem tartozik a Nemzeti Épületenergetikai Stratégiának hatáskörébe. </w:t>
      </w:r>
    </w:p>
    <w:p w:rsidR="00223E70" w:rsidRDefault="00223E70">
      <w:pPr>
        <w:ind w:left="720"/>
        <w:jc w:val="both"/>
      </w:pPr>
    </w:p>
    <w:p w:rsidR="00223E70" w:rsidRDefault="00710396">
      <w:pPr>
        <w:numPr>
          <w:ilvl w:val="0"/>
          <w:numId w:val="12"/>
        </w:numPr>
        <w:ind w:hanging="359"/>
        <w:contextualSpacing/>
        <w:jc w:val="both"/>
        <w:rPr>
          <w:b/>
        </w:rPr>
      </w:pPr>
      <w:r>
        <w:rPr>
          <w:b/>
        </w:rPr>
        <w:t>A lakóépületek és középületek esetében a NÉeS-ben meghatározott energiamegtakarítási potenciálok alábecsültek. Megfelelő technológia alkalmazása mellett akár 80-90 %-os energiamegtakarítás elérése is lehetséges.</w:t>
      </w:r>
    </w:p>
    <w:p w:rsidR="00223E70" w:rsidRDefault="00223E70">
      <w:pPr>
        <w:jc w:val="both"/>
      </w:pPr>
    </w:p>
    <w:p w:rsidR="00223E70" w:rsidRDefault="00D15361">
      <w:pPr>
        <w:ind w:left="720"/>
        <w:jc w:val="both"/>
      </w:pPr>
      <w:r>
        <w:rPr>
          <w:i/>
        </w:rPr>
        <w:lastRenderedPageBreak/>
        <w:t>A Nemzeti Épületenergetikai Stratégia a</w:t>
      </w:r>
      <w:r w:rsidR="00710396">
        <w:rPr>
          <w:i/>
        </w:rPr>
        <w:t xml:space="preserve"> jelenleg </w:t>
      </w:r>
      <w:r>
        <w:rPr>
          <w:i/>
        </w:rPr>
        <w:t>hatályos követelményekre való felújítást célozza meg. Azaz a</w:t>
      </w:r>
      <w:r w:rsidR="00710396">
        <w:rPr>
          <w:i/>
        </w:rPr>
        <w:t xml:space="preserve"> </w:t>
      </w:r>
      <w:proofErr w:type="spellStart"/>
      <w:r w:rsidR="00710396">
        <w:rPr>
          <w:i/>
        </w:rPr>
        <w:t>költség</w:t>
      </w:r>
      <w:r>
        <w:rPr>
          <w:i/>
        </w:rPr>
        <w:t>-</w:t>
      </w:r>
      <w:r w:rsidR="00710396">
        <w:rPr>
          <w:i/>
        </w:rPr>
        <w:t>optim</w:t>
      </w:r>
      <w:r>
        <w:rPr>
          <w:i/>
        </w:rPr>
        <w:t>alizál</w:t>
      </w:r>
      <w:proofErr w:type="spellEnd"/>
      <w:r>
        <w:rPr>
          <w:i/>
        </w:rPr>
        <w:t xml:space="preserve"> szintet</w:t>
      </w:r>
      <w:r w:rsidR="00710396">
        <w:rPr>
          <w:i/>
        </w:rPr>
        <w:t xml:space="preserve">, illetve </w:t>
      </w:r>
      <w:r>
        <w:rPr>
          <w:i/>
        </w:rPr>
        <w:t xml:space="preserve">új középületek esetében </w:t>
      </w:r>
      <w:r w:rsidR="00710396">
        <w:rPr>
          <w:i/>
        </w:rPr>
        <w:t xml:space="preserve">a </w:t>
      </w:r>
      <w:r w:rsidR="00897466">
        <w:rPr>
          <w:i/>
        </w:rPr>
        <w:t xml:space="preserve">2019-től, </w:t>
      </w:r>
      <w:r>
        <w:rPr>
          <w:i/>
        </w:rPr>
        <w:t xml:space="preserve">más új épület esetében 2021-től a </w:t>
      </w:r>
      <w:r w:rsidR="00710396">
        <w:rPr>
          <w:i/>
        </w:rPr>
        <w:t xml:space="preserve">közel nulla energiafelhasználás </w:t>
      </w:r>
      <w:r>
        <w:rPr>
          <w:i/>
        </w:rPr>
        <w:t>követelményszintjét vette elérendőnek</w:t>
      </w:r>
      <w:r w:rsidR="00710396">
        <w:rPr>
          <w:i/>
        </w:rPr>
        <w:t>.</w:t>
      </w: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8"/>
        </w:numPr>
        <w:ind w:hanging="359"/>
        <w:contextualSpacing/>
        <w:jc w:val="both"/>
        <w:rPr>
          <w:b/>
        </w:rPr>
      </w:pPr>
      <w:r>
        <w:rPr>
          <w:b/>
        </w:rPr>
        <w:t>A típusépületek energiafogyasztásának kalkulációja esetén a „felülről lefelé és az alulról felfelé” megközelítések között jelentős eltéréseknek lehetnek, például az alulhasznosítás miatt. Hogyan tudták ezt kezelni a stratégiában?</w:t>
      </w:r>
    </w:p>
    <w:p w:rsidR="00223E70" w:rsidRDefault="00223E70">
      <w:pPr>
        <w:ind w:left="720"/>
        <w:jc w:val="both"/>
      </w:pPr>
    </w:p>
    <w:p w:rsidR="00223E70" w:rsidRDefault="00710396">
      <w:pPr>
        <w:ind w:left="720"/>
        <w:jc w:val="both"/>
      </w:pPr>
      <w:r>
        <w:rPr>
          <w:i/>
        </w:rPr>
        <w:t>A NÉeS típusépületek energiafelhasználási adatainak meghatározását mindkét módszer szerint elvégeztük. Az eltérés vizsgálata során készült egy szociológiai tanulmány is, mely alapján öt tényezőt találtunk. Az eltérések okai a következők lehetnek: 1. alulfűtöttség (nem fűtik az épületeket 20 fokra), 2. nem minden helységet fűtenek, 3. szilárd tüzeléseknél a "talált fa" torzító hatása, 4. egyedi beépítettség (pl. sorházak), 5. a megtörtént felújítások. A típusépületekre jellemző energiafogyasztási adatokat ezek függvényében határoztuk meg.</w:t>
      </w:r>
    </w:p>
    <w:p w:rsidR="00223E70" w:rsidRDefault="00223E70">
      <w:pPr>
        <w:jc w:val="both"/>
      </w:pPr>
    </w:p>
    <w:p w:rsidR="00223E70" w:rsidRDefault="00710396">
      <w:pPr>
        <w:numPr>
          <w:ilvl w:val="0"/>
          <w:numId w:val="7"/>
        </w:numPr>
        <w:ind w:hanging="359"/>
        <w:contextualSpacing/>
        <w:jc w:val="both"/>
        <w:rPr>
          <w:b/>
        </w:rPr>
      </w:pPr>
      <w:r>
        <w:rPr>
          <w:b/>
        </w:rPr>
        <w:t>A NÉeS a végrehajtás szervezésének feladatai között említi a jelenlegi energiastatisztikai adatgyűjtési rendszer felülvizsgálatát. Erre miért van szükség?</w:t>
      </w:r>
    </w:p>
    <w:p w:rsidR="00223E70" w:rsidRDefault="00223E70">
      <w:pPr>
        <w:jc w:val="both"/>
      </w:pPr>
    </w:p>
    <w:p w:rsidR="00223E70" w:rsidRDefault="00710396">
      <w:pPr>
        <w:ind w:left="720"/>
        <w:jc w:val="both"/>
      </w:pPr>
      <w:r>
        <w:rPr>
          <w:i/>
        </w:rPr>
        <w:t xml:space="preserve">A rendelkezésre álló országos energiastatisztikai adatok nem teszik lehetővé az épületek energiafelhasználásának szükséges mélységű elemzését, és az energiamegtakarítási potenciál meghatározását, ezért szükség van az energiastatisztikai </w:t>
      </w:r>
      <w:proofErr w:type="gramStart"/>
      <w:r>
        <w:rPr>
          <w:i/>
        </w:rPr>
        <w:t>rendszer vonatkozó</w:t>
      </w:r>
      <w:proofErr w:type="gramEnd"/>
      <w:r>
        <w:rPr>
          <w:i/>
        </w:rPr>
        <w:t xml:space="preserve"> részeinek felülvizsgálatára. Továbbá nincsenek megbízható energiastatisztikai adatok arra vonatkozóan, hogy a tercier szektorban, az iparban, az egyéb termelő ágazatoknál az összes energiafelhasználásból mennyi az épületek felhasználása, ezen belül a felhasználás célonkénti bontása sincs meg (fűtés, HMV, légkondicionálás, stb.). Nem ismert például a bevásárlóközpontok, irodaépületek légkondicionálásának energiaszükséglete. A háztartások esetében nincs megbízható információ az energiafelhasználás tényleges mértékére, (pl. a kereskedelmi forgalmon kívüli fa felhasználásról), és célonkénti megoszlására sem (helyiségfűtés, HMV, légkondicionálás, háztartási gépek stb.). Nincs statisztikai adat arra vonatkozóan sem, hogy a háztartási energiafelhasználáson belül mennyi a családi házak és a nem panel társasházak aránya. Nincs megbízható adat az egyes épülettípusok energiamegtakarítási potenciáljára vonatkozóan sem.</w:t>
      </w:r>
      <w:r>
        <w:rPr>
          <w:b/>
          <w:i/>
        </w:rPr>
        <w:t xml:space="preserve">  </w:t>
      </w:r>
    </w:p>
    <w:p w:rsidR="00223E70" w:rsidRDefault="00223E70">
      <w:pPr>
        <w:ind w:left="720"/>
        <w:jc w:val="both"/>
      </w:pPr>
    </w:p>
    <w:p w:rsidR="00223E70" w:rsidRDefault="00223E70">
      <w:pPr>
        <w:jc w:val="both"/>
      </w:pPr>
    </w:p>
    <w:sectPr w:rsidR="00223E70" w:rsidSect="00710396">
      <w:pgSz w:w="12240" w:h="15840"/>
      <w:pgMar w:top="1440" w:right="1440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7DC"/>
    <w:multiLevelType w:val="multilevel"/>
    <w:tmpl w:val="A5868AA2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0CEC7A10"/>
    <w:multiLevelType w:val="multilevel"/>
    <w:tmpl w:val="3AC86DC0"/>
    <w:lvl w:ilvl="0">
      <w:start w:val="1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nsid w:val="168A5081"/>
    <w:multiLevelType w:val="multilevel"/>
    <w:tmpl w:val="69E4C936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nsid w:val="1BFA0E61"/>
    <w:multiLevelType w:val="multilevel"/>
    <w:tmpl w:val="81806FC2"/>
    <w:lvl w:ilvl="0">
      <w:start w:val="1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nsid w:val="20242D2F"/>
    <w:multiLevelType w:val="multilevel"/>
    <w:tmpl w:val="2F3672C0"/>
    <w:lvl w:ilvl="0">
      <w:start w:val="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>
    <w:nsid w:val="404F5C91"/>
    <w:multiLevelType w:val="multilevel"/>
    <w:tmpl w:val="DE0ACA3A"/>
    <w:lvl w:ilvl="0">
      <w:start w:val="19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4F36161F"/>
    <w:multiLevelType w:val="multilevel"/>
    <w:tmpl w:val="92BCCBDE"/>
    <w:lvl w:ilvl="0">
      <w:start w:val="10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>
    <w:nsid w:val="52844662"/>
    <w:multiLevelType w:val="multilevel"/>
    <w:tmpl w:val="D91EF266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">
    <w:nsid w:val="563B63D6"/>
    <w:multiLevelType w:val="multilevel"/>
    <w:tmpl w:val="9AF2E32A"/>
    <w:lvl w:ilvl="0">
      <w:start w:val="1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9">
    <w:nsid w:val="57DA001F"/>
    <w:multiLevelType w:val="multilevel"/>
    <w:tmpl w:val="817CDDF6"/>
    <w:lvl w:ilvl="0">
      <w:start w:val="18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">
    <w:nsid w:val="5A08268E"/>
    <w:multiLevelType w:val="multilevel"/>
    <w:tmpl w:val="7938DD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0E90E55"/>
    <w:multiLevelType w:val="multilevel"/>
    <w:tmpl w:val="2216EF8E"/>
    <w:lvl w:ilvl="0">
      <w:start w:val="8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2">
    <w:nsid w:val="64155309"/>
    <w:multiLevelType w:val="multilevel"/>
    <w:tmpl w:val="A8123D32"/>
    <w:lvl w:ilvl="0">
      <w:start w:val="9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3">
    <w:nsid w:val="64E0244B"/>
    <w:multiLevelType w:val="multilevel"/>
    <w:tmpl w:val="2D14BE2E"/>
    <w:lvl w:ilvl="0">
      <w:start w:val="1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4">
    <w:nsid w:val="753A07EE"/>
    <w:multiLevelType w:val="multilevel"/>
    <w:tmpl w:val="B9707370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5">
    <w:nsid w:val="77072886"/>
    <w:multiLevelType w:val="multilevel"/>
    <w:tmpl w:val="9E546F46"/>
    <w:lvl w:ilvl="0">
      <w:start w:val="1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6">
    <w:nsid w:val="795B7B54"/>
    <w:multiLevelType w:val="multilevel"/>
    <w:tmpl w:val="44EA3A2A"/>
    <w:lvl w:ilvl="0">
      <w:start w:val="1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3E70"/>
    <w:rsid w:val="00223E70"/>
    <w:rsid w:val="00480A8B"/>
    <w:rsid w:val="00511E0C"/>
    <w:rsid w:val="00693A8F"/>
    <w:rsid w:val="00710396"/>
    <w:rsid w:val="008028EC"/>
    <w:rsid w:val="00897466"/>
    <w:rsid w:val="00A31199"/>
    <w:rsid w:val="00B21237"/>
    <w:rsid w:val="00BC62E7"/>
    <w:rsid w:val="00C94912"/>
    <w:rsid w:val="00D15361"/>
    <w:rsid w:val="00D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1605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 NÉeS.docx</vt:lpstr>
    </vt:vector>
  </TitlesOfParts>
  <Company>Építésügyi Minőségellenőrző Innovációs Nonprofit Kft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NÉeS.docx</dc:title>
  <dc:creator>Matuz Géza</dc:creator>
  <cp:lastModifiedBy>OzsvartO</cp:lastModifiedBy>
  <cp:revision>3</cp:revision>
  <cp:lastPrinted>2015-03-02T10:52:00Z</cp:lastPrinted>
  <dcterms:created xsi:type="dcterms:W3CDTF">2015-03-02T11:00:00Z</dcterms:created>
  <dcterms:modified xsi:type="dcterms:W3CDTF">2015-03-02T11:02:00Z</dcterms:modified>
</cp:coreProperties>
</file>