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DF0" w:rsidRDefault="004D4DF0" w:rsidP="004D4DF0">
      <w:pPr>
        <w:pStyle w:val="NormlWeb"/>
        <w:spacing w:before="0" w:beforeAutospacing="0" w:after="0" w:afterAutospacing="0"/>
        <w:ind w:right="150"/>
        <w:jc w:val="both"/>
        <w:rPr>
          <w:bCs/>
        </w:rPr>
      </w:pPr>
      <w:r w:rsidRPr="00B30D9C">
        <w:rPr>
          <w:bCs/>
        </w:rPr>
        <w:t xml:space="preserve">A hulladékkal kapcsolatos nyilvántartási és adatszolgáltatási kötelezettségekről </w:t>
      </w:r>
      <w:r>
        <w:rPr>
          <w:bCs/>
        </w:rPr>
        <w:t xml:space="preserve">szóló </w:t>
      </w:r>
      <w:r w:rsidRPr="00B30D9C">
        <w:rPr>
          <w:bCs/>
        </w:rPr>
        <w:t>309/2014. (XII. 11.) Korm. rendelet</w:t>
      </w:r>
      <w:r>
        <w:rPr>
          <w:bCs/>
        </w:rPr>
        <w:t xml:space="preserve"> (a továbbiakban: 309/2014. </w:t>
      </w:r>
      <w:r w:rsidRPr="00B30D9C">
        <w:rPr>
          <w:bCs/>
        </w:rPr>
        <w:t xml:space="preserve">(XII. 11.) </w:t>
      </w:r>
      <w:r>
        <w:rPr>
          <w:bCs/>
        </w:rPr>
        <w:t>Korm. rendelet) módosításának egyik célja a hulladéktermelők számára egyértelművé tenni, hogy a hulladékgazdálkodási közszolgálta</w:t>
      </w:r>
      <w:bookmarkStart w:id="0" w:name="_GoBack"/>
      <w:bookmarkEnd w:id="0"/>
      <w:r>
        <w:rPr>
          <w:bCs/>
        </w:rPr>
        <w:t xml:space="preserve">tás körébe tartozó hulladékkal kapcsolatos nyilvántartási és adatszolgáltatási kötelezettségeket a közszolgáltatók teljesítik, a speciális gyűjtőhelyen gyűjtött hulladékkal kapcsolatos nyilvántartási és adatszolgáltatási kötelezettségeket pedig a gyűjtők teljesítik. A 309/2014. </w:t>
      </w:r>
      <w:r w:rsidRPr="00B30D9C">
        <w:rPr>
          <w:bCs/>
        </w:rPr>
        <w:t xml:space="preserve">(XII. 11.) </w:t>
      </w:r>
      <w:r>
        <w:rPr>
          <w:bCs/>
        </w:rPr>
        <w:t xml:space="preserve">Korm. rendelet módosítással érintett rendelkezéseiben szükségtelen annak kimondása, hogy ki a kötelezett, hiszen azt a 309/2014. </w:t>
      </w:r>
      <w:r w:rsidRPr="00B30D9C">
        <w:rPr>
          <w:bCs/>
        </w:rPr>
        <w:t xml:space="preserve">(XII. 11.) </w:t>
      </w:r>
      <w:r>
        <w:rPr>
          <w:bCs/>
        </w:rPr>
        <w:t>Korm. rendelet más szabályai írják elő, így ezekben a rendelkezésekben csak azt kell rögzíteni, hogy ki nem tartozik nyilvántartási és adatszolgáltatási kötelezettséggel.</w:t>
      </w:r>
    </w:p>
    <w:p w:rsidR="004D4DF0" w:rsidRDefault="004D4DF0" w:rsidP="004D4DF0">
      <w:pPr>
        <w:pStyle w:val="NormlWeb"/>
        <w:spacing w:before="0" w:beforeAutospacing="0" w:after="0" w:afterAutospacing="0"/>
        <w:ind w:right="150"/>
        <w:jc w:val="both"/>
        <w:rPr>
          <w:bCs/>
        </w:rPr>
      </w:pPr>
    </w:p>
    <w:p w:rsidR="004D4DF0" w:rsidRDefault="004D4DF0" w:rsidP="004D4DF0">
      <w:pPr>
        <w:pStyle w:val="NormlWeb"/>
        <w:spacing w:before="0" w:beforeAutospacing="0" w:after="0" w:afterAutospacing="0"/>
        <w:ind w:right="147"/>
        <w:jc w:val="both"/>
        <w:rPr>
          <w:bCs/>
        </w:rPr>
      </w:pPr>
      <w:r>
        <w:rPr>
          <w:bCs/>
        </w:rPr>
        <w:t xml:space="preserve">Ami </w:t>
      </w:r>
      <w:r w:rsidRPr="00366D4B">
        <w:rPr>
          <w:bCs/>
        </w:rPr>
        <w:t xml:space="preserve">a </w:t>
      </w:r>
      <w:r w:rsidRPr="00366D4B">
        <w:t xml:space="preserve">negyedéves adatszolgáltatási kötelezettség teljesítésének határidejét illeti, </w:t>
      </w:r>
      <w:r>
        <w:rPr>
          <w:bCs/>
        </w:rPr>
        <w:t xml:space="preserve">a 309/2014. </w:t>
      </w:r>
      <w:r w:rsidRPr="00B30D9C">
        <w:rPr>
          <w:bCs/>
        </w:rPr>
        <w:t xml:space="preserve">(XII. 11.) </w:t>
      </w:r>
      <w:r>
        <w:rPr>
          <w:bCs/>
        </w:rPr>
        <w:t xml:space="preserve">Korm. rendeletben jelenleg a </w:t>
      </w:r>
      <w:r>
        <w:t>tárgynegyedévet követő hónap 8. napja szerepel.</w:t>
      </w:r>
      <w:r w:rsidRPr="00366D4B">
        <w:t xml:space="preserve"> </w:t>
      </w:r>
      <w:r>
        <w:t>A gyakorlatban ez a rövid határidő nagyon sok problémát vet fel, tekintettel arra, hogy a hulladékszállításokkal kapcsolatban a visszaigazoló dokumentumok nem érkeznek meg a tárgynegyedévet követő 8. munkanapig. Ebből következően az adatszolgáltató a mennyiségek megjelölésénél az Országos Környezetvédelmi Információs Rendszerben csak a feladott mennyiséget tudja szerepeltetni, és azt nem tudja a kezelő által átvett és visszaigazolt mennyiséggel korrigálni. Mindez az adatszolgáltatás pontatlanságához vezet, emiatt szükséges a határidők módosítása.</w:t>
      </w:r>
    </w:p>
    <w:p w:rsidR="004D4DF0" w:rsidRDefault="004D4DF0" w:rsidP="004D4DF0">
      <w:pPr>
        <w:pStyle w:val="NormlWeb"/>
        <w:spacing w:before="0" w:beforeAutospacing="0" w:after="0" w:afterAutospacing="0"/>
        <w:ind w:right="150"/>
        <w:jc w:val="both"/>
        <w:rPr>
          <w:bCs/>
        </w:rPr>
      </w:pPr>
    </w:p>
    <w:p w:rsidR="004D4DF0" w:rsidRDefault="004D4DF0" w:rsidP="004D4DF0">
      <w:pPr>
        <w:pStyle w:val="NormlWeb"/>
        <w:spacing w:before="0" w:beforeAutospacing="0" w:after="0" w:afterAutospacing="0"/>
        <w:ind w:right="150"/>
        <w:jc w:val="both"/>
        <w:rPr>
          <w:bCs/>
        </w:rPr>
      </w:pPr>
      <w:r>
        <w:rPr>
          <w:bCs/>
        </w:rPr>
        <w:t xml:space="preserve">A módosítás egyértelművé teszi, hogy az adatszolgáltatások benyújtásával kapcsolatos értesítések az adatszolgáltató számára minden esetben kizárólag az értesítési tárhelyre érkeznek. Ez magából az ÁNYK és Ügyfélkapu alkalmazásából egyértelműen adódik, azonban a gyakorlatban több félreértést is okozott ez, hiszen korábban az ügyfelek az ellenőrzések során feltárt ellentmondásokról és a hiánypótlásról, a javítás szükségességéről papír alapon kaptak értesítést. </w:t>
      </w:r>
    </w:p>
    <w:p w:rsidR="004D4DF0" w:rsidRDefault="004D4DF0" w:rsidP="004D4DF0">
      <w:pPr>
        <w:pStyle w:val="NormlWeb"/>
        <w:spacing w:before="0" w:beforeAutospacing="0" w:after="0" w:afterAutospacing="0"/>
        <w:ind w:right="150"/>
        <w:jc w:val="both"/>
        <w:rPr>
          <w:bCs/>
        </w:rPr>
      </w:pPr>
    </w:p>
    <w:p w:rsidR="004D4DF0" w:rsidRDefault="004D4DF0" w:rsidP="004D4DF0">
      <w:pPr>
        <w:pStyle w:val="NormlWeb"/>
        <w:spacing w:before="0" w:beforeAutospacing="0" w:after="0" w:afterAutospacing="0"/>
        <w:ind w:right="150"/>
        <w:jc w:val="both"/>
        <w:rPr>
          <w:bCs/>
        </w:rPr>
      </w:pPr>
      <w:r>
        <w:rPr>
          <w:bCs/>
        </w:rPr>
        <w:t xml:space="preserve">A módosítás célja továbbá, hogy a hulladékról szóló 2012. évi CLXXXV. törvény 2015. decemberi módosításával – a HP kódok tekintetében – a Korm. rendelet összhangba kerüljön. </w:t>
      </w:r>
    </w:p>
    <w:p w:rsidR="006C1D42" w:rsidRDefault="0091436F"/>
    <w:sectPr w:rsidR="006C1D42" w:rsidSect="00952697">
      <w:pgSz w:w="11906" w:h="16838" w:code="9"/>
      <w:pgMar w:top="1417" w:right="1418" w:bottom="1418" w:left="1418" w:header="709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DF0"/>
    <w:rsid w:val="003D57F8"/>
    <w:rsid w:val="004D4DF0"/>
    <w:rsid w:val="00731F1D"/>
    <w:rsid w:val="0091436F"/>
    <w:rsid w:val="00952697"/>
    <w:rsid w:val="0095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4D4D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4D4D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Sárady Eszter dr.</dc:creator>
  <cp:lastModifiedBy>Szabó Ivett</cp:lastModifiedBy>
  <cp:revision>2</cp:revision>
  <dcterms:created xsi:type="dcterms:W3CDTF">2016-03-04T09:26:00Z</dcterms:created>
  <dcterms:modified xsi:type="dcterms:W3CDTF">2016-03-04T09:26:00Z</dcterms:modified>
</cp:coreProperties>
</file>