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F8F"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lang w:eastAsia="hu-HU"/>
        </w:rPr>
      </w:pPr>
      <w:r w:rsidRPr="00A5686D">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hulladékról szóló 2012. évi CLXXXV. törvény (a továbbiakban:</w:t>
      </w:r>
      <w:r w:rsidRPr="00A5686D">
        <w:rPr>
          <w:rFonts w:ascii="Times New Roman" w:eastAsia="Times New Roman" w:hAnsi="Times New Roman" w:cs="Times New Roman"/>
          <w:sz w:val="24"/>
          <w:szCs w:val="24"/>
          <w:lang w:eastAsia="hu-HU"/>
        </w:rPr>
        <w:t xml:space="preserve"> </w:t>
      </w:r>
      <w:proofErr w:type="spellStart"/>
      <w:r w:rsidRPr="00A5686D">
        <w:rPr>
          <w:rFonts w:ascii="Times New Roman" w:eastAsia="Times New Roman" w:hAnsi="Times New Roman" w:cs="Times New Roman"/>
          <w:sz w:val="24"/>
          <w:szCs w:val="24"/>
          <w:lang w:eastAsia="hu-HU"/>
        </w:rPr>
        <w:t>Ht</w:t>
      </w:r>
      <w:proofErr w:type="spellEnd"/>
      <w:r w:rsidRPr="00A5686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A5686D">
        <w:rPr>
          <w:rFonts w:ascii="Times New Roman" w:eastAsia="Times New Roman" w:hAnsi="Times New Roman" w:cs="Times New Roman"/>
          <w:sz w:val="24"/>
          <w:szCs w:val="24"/>
          <w:lang w:eastAsia="hu-HU"/>
        </w:rPr>
        <w:t xml:space="preserve"> jelenleg módosítás alatt áll,</w:t>
      </w:r>
      <w:r>
        <w:rPr>
          <w:rFonts w:ascii="Times New Roman" w:eastAsia="Times New Roman" w:hAnsi="Times New Roman" w:cs="Times New Roman"/>
          <w:sz w:val="24"/>
          <w:szCs w:val="24"/>
          <w:lang w:eastAsia="hu-HU"/>
        </w:rPr>
        <w:t xml:space="preserve"> a módosítás Országgyűlés általi elfogadására 2016. június 13-án került sor. A</w:t>
      </w:r>
      <w:r w:rsidRPr="00A5686D">
        <w:rPr>
          <w:rFonts w:ascii="Times New Roman" w:eastAsia="Times New Roman" w:hAnsi="Times New Roman" w:cs="Times New Roman"/>
          <w:sz w:val="24"/>
          <w:szCs w:val="24"/>
          <w:lang w:eastAsia="hu-HU"/>
        </w:rPr>
        <w:t xml:space="preserve"> módosítás keretében </w:t>
      </w:r>
      <w:r>
        <w:rPr>
          <w:rFonts w:ascii="Times New Roman" w:eastAsia="Times New Roman" w:hAnsi="Times New Roman" w:cs="Times New Roman"/>
          <w:sz w:val="24"/>
          <w:szCs w:val="24"/>
          <w:lang w:eastAsia="hu-HU"/>
        </w:rPr>
        <w:t xml:space="preserve">a hulladék ártalmatlanítási műveletek kódjait felsoroló 2. melléklet, valamint a hulladék kezelési műveletek kódjait felsoroló 3. melléklet a </w:t>
      </w:r>
      <w:proofErr w:type="spellStart"/>
      <w:r>
        <w:rPr>
          <w:rFonts w:ascii="Times New Roman" w:eastAsia="Times New Roman" w:hAnsi="Times New Roman" w:cs="Times New Roman"/>
          <w:sz w:val="24"/>
          <w:szCs w:val="24"/>
          <w:lang w:eastAsia="hu-HU"/>
        </w:rPr>
        <w:t>Ht.-ből</w:t>
      </w:r>
      <w:proofErr w:type="spellEnd"/>
      <w:r>
        <w:rPr>
          <w:rFonts w:ascii="Times New Roman" w:eastAsia="Times New Roman" w:hAnsi="Times New Roman" w:cs="Times New Roman"/>
          <w:sz w:val="24"/>
          <w:szCs w:val="24"/>
          <w:lang w:eastAsia="hu-HU"/>
        </w:rPr>
        <w:t xml:space="preserve"> hatályon kívül helyezésre kerül.</w:t>
      </w:r>
    </w:p>
    <w:p w:rsidR="005F5F8F"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lang w:eastAsia="hu-HU"/>
        </w:rPr>
      </w:pPr>
    </w:p>
    <w:p w:rsidR="005F5F8F"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r w:rsidRPr="005F5F8F">
        <w:rPr>
          <w:rFonts w:ascii="Times New Roman" w:eastAsia="Times New Roman" w:hAnsi="Times New Roman" w:cs="Times New Roman"/>
          <w:sz w:val="24"/>
          <w:szCs w:val="24"/>
          <w:lang w:eastAsia="hu-HU"/>
        </w:rPr>
        <w:t xml:space="preserve"> hulladékokról és egyes irányelvek hatályon kívül helyezéséről szóló 2008/98/EK európai parlamenti és tanácsi irányelv II. mellékletének módosításáról szóló, 2015. július 10-i 2015/1127/EU bizottsági irányelv</w:t>
      </w:r>
      <w:r>
        <w:rPr>
          <w:rFonts w:ascii="Times New Roman" w:eastAsia="Times New Roman" w:hAnsi="Times New Roman" w:cs="Times New Roman"/>
          <w:sz w:val="24"/>
          <w:szCs w:val="24"/>
          <w:lang w:eastAsia="hu-HU"/>
        </w:rPr>
        <w:t xml:space="preserve"> (a továbbiakban: bizottsági irányelv) szerint az </w:t>
      </w:r>
      <w:r w:rsidRPr="005F5F8F">
        <w:rPr>
          <w:rFonts w:ascii="Times New Roman" w:eastAsia="Times New Roman" w:hAnsi="Times New Roman" w:cs="Times New Roman"/>
          <w:sz w:val="24"/>
          <w:szCs w:val="24"/>
          <w:lang w:eastAsia="hu-HU"/>
        </w:rPr>
        <w:t>Európai Unióban az egyenlő versenyfeltételek biztosítása érdekében indokolt a helyi éghajlati feltételek által érintett hulladékégető létesítményeknek az R1</w:t>
      </w:r>
      <w:r>
        <w:rPr>
          <w:rFonts w:ascii="Times New Roman" w:eastAsia="Times New Roman" w:hAnsi="Times New Roman" w:cs="Times New Roman"/>
          <w:sz w:val="24"/>
          <w:szCs w:val="24"/>
          <w:lang w:eastAsia="hu-HU"/>
        </w:rPr>
        <w:t xml:space="preserve"> hasznosítási műveletnél</w:t>
      </w:r>
      <w:r w:rsidRPr="005F5F8F">
        <w:rPr>
          <w:rFonts w:ascii="Times New Roman" w:eastAsia="Times New Roman" w:hAnsi="Times New Roman" w:cs="Times New Roman"/>
          <w:sz w:val="24"/>
          <w:szCs w:val="24"/>
          <w:lang w:eastAsia="hu-HU"/>
        </w:rPr>
        <w:t xml:space="preserve"> szereplő képlet esetében alkalmazott éghajlati korrekciós tényezővel (</w:t>
      </w:r>
      <w:proofErr w:type="spellStart"/>
      <w:r w:rsidRPr="005F5F8F">
        <w:rPr>
          <w:rFonts w:ascii="Times New Roman" w:eastAsia="Times New Roman" w:hAnsi="Times New Roman" w:cs="Times New Roman"/>
          <w:sz w:val="24"/>
          <w:szCs w:val="24"/>
          <w:lang w:eastAsia="hu-HU"/>
        </w:rPr>
        <w:t>climate</w:t>
      </w:r>
      <w:proofErr w:type="spellEnd"/>
      <w:r w:rsidRPr="005F5F8F">
        <w:rPr>
          <w:rFonts w:ascii="Times New Roman" w:eastAsia="Times New Roman" w:hAnsi="Times New Roman" w:cs="Times New Roman"/>
          <w:sz w:val="24"/>
          <w:szCs w:val="24"/>
          <w:lang w:eastAsia="hu-HU"/>
        </w:rPr>
        <w:t xml:space="preserve"> </w:t>
      </w:r>
      <w:proofErr w:type="spellStart"/>
      <w:r w:rsidRPr="005F5F8F">
        <w:rPr>
          <w:rFonts w:ascii="Times New Roman" w:eastAsia="Times New Roman" w:hAnsi="Times New Roman" w:cs="Times New Roman"/>
          <w:sz w:val="24"/>
          <w:szCs w:val="24"/>
          <w:lang w:eastAsia="hu-HU"/>
        </w:rPr>
        <w:t>correction</w:t>
      </w:r>
      <w:proofErr w:type="spellEnd"/>
      <w:r w:rsidRPr="005F5F8F">
        <w:rPr>
          <w:rFonts w:ascii="Times New Roman" w:eastAsia="Times New Roman" w:hAnsi="Times New Roman" w:cs="Times New Roman"/>
          <w:sz w:val="24"/>
          <w:szCs w:val="24"/>
          <w:lang w:eastAsia="hu-HU"/>
        </w:rPr>
        <w:t xml:space="preserve"> </w:t>
      </w:r>
      <w:proofErr w:type="spellStart"/>
      <w:r w:rsidRPr="005F5F8F">
        <w:rPr>
          <w:rFonts w:ascii="Times New Roman" w:eastAsia="Times New Roman" w:hAnsi="Times New Roman" w:cs="Times New Roman"/>
          <w:sz w:val="24"/>
          <w:szCs w:val="24"/>
          <w:lang w:eastAsia="hu-HU"/>
        </w:rPr>
        <w:t>factor</w:t>
      </w:r>
      <w:proofErr w:type="spellEnd"/>
      <w:r w:rsidRPr="005F5F8F">
        <w:rPr>
          <w:rFonts w:ascii="Times New Roman" w:eastAsia="Times New Roman" w:hAnsi="Times New Roman" w:cs="Times New Roman"/>
          <w:sz w:val="24"/>
          <w:szCs w:val="24"/>
          <w:lang w:eastAsia="hu-HU"/>
        </w:rPr>
        <w:t>, CCF) való kompenzálása.</w:t>
      </w:r>
      <w:proofErr w:type="gramEnd"/>
    </w:p>
    <w:p w:rsidR="005F5F8F"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lang w:eastAsia="hu-HU"/>
        </w:rPr>
      </w:pPr>
    </w:p>
    <w:p w:rsidR="005F5F8F" w:rsidRPr="00ED6BFD"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highlight w:val="yellow"/>
          <w:lang w:eastAsia="hu-HU"/>
        </w:rPr>
      </w:pP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Ht</w:t>
      </w:r>
      <w:proofErr w:type="spellEnd"/>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említett</w:t>
      </w:r>
      <w:proofErr w:type="gramEnd"/>
      <w:r>
        <w:rPr>
          <w:rFonts w:ascii="Times New Roman" w:eastAsia="Times New Roman" w:hAnsi="Times New Roman" w:cs="Times New Roman"/>
          <w:sz w:val="24"/>
          <w:szCs w:val="24"/>
          <w:lang w:eastAsia="hu-HU"/>
        </w:rPr>
        <w:t xml:space="preserve"> mellékletei és a bizottsági irányelv által bevezetett éghajlati korrekciós tényező meghatározására szolgáló képlet is a miniszteri rendeletbe kerülnek.</w:t>
      </w:r>
    </w:p>
    <w:p w:rsidR="005F5F8F" w:rsidRPr="00ED6BFD" w:rsidRDefault="005F5F8F" w:rsidP="005F5F8F">
      <w:pPr>
        <w:tabs>
          <w:tab w:val="left" w:pos="0"/>
          <w:tab w:val="right" w:pos="3402"/>
          <w:tab w:val="left" w:pos="4678"/>
          <w:tab w:val="right" w:pos="8931"/>
        </w:tabs>
        <w:spacing w:after="0" w:line="240" w:lineRule="auto"/>
        <w:jc w:val="both"/>
        <w:rPr>
          <w:rFonts w:ascii="Times New Roman" w:eastAsia="Times New Roman" w:hAnsi="Times New Roman" w:cs="Times New Roman"/>
          <w:sz w:val="24"/>
          <w:szCs w:val="24"/>
          <w:highlight w:val="yellow"/>
          <w:lang w:eastAsia="hu-HU"/>
        </w:rPr>
      </w:pPr>
    </w:p>
    <w:p w:rsidR="005F5F8F" w:rsidRPr="00EA5A20" w:rsidRDefault="005F5F8F" w:rsidP="005F5F8F">
      <w:pPr>
        <w:tabs>
          <w:tab w:val="left" w:pos="0"/>
          <w:tab w:val="right" w:pos="3402"/>
          <w:tab w:val="left" w:pos="4678"/>
          <w:tab w:val="right" w:pos="8931"/>
        </w:tabs>
        <w:spacing w:after="0" w:line="240" w:lineRule="auto"/>
        <w:jc w:val="both"/>
        <w:rPr>
          <w:rFonts w:ascii="Times New Roman" w:eastAsia="Calibri" w:hAnsi="Times New Roman" w:cs="Times New Roman"/>
          <w:sz w:val="24"/>
          <w:szCs w:val="24"/>
        </w:rPr>
      </w:pPr>
      <w:r w:rsidRPr="00EA5A20">
        <w:rPr>
          <w:rFonts w:ascii="Times New Roman" w:eastAsia="Calibri" w:hAnsi="Times New Roman" w:cs="Times New Roman"/>
          <w:sz w:val="24"/>
          <w:szCs w:val="24"/>
        </w:rPr>
        <w:t xml:space="preserve">A </w:t>
      </w:r>
      <w:proofErr w:type="spellStart"/>
      <w:r>
        <w:rPr>
          <w:rFonts w:ascii="Times New Roman" w:eastAsia="Calibri" w:hAnsi="Times New Roman" w:cs="Times New Roman"/>
          <w:sz w:val="24"/>
          <w:szCs w:val="24"/>
        </w:rPr>
        <w:t>Ht</w:t>
      </w:r>
      <w:proofErr w:type="spellEnd"/>
      <w:r>
        <w:rPr>
          <w:rFonts w:ascii="Times New Roman" w:eastAsia="Calibri" w:hAnsi="Times New Roman" w:cs="Times New Roman"/>
          <w:sz w:val="24"/>
          <w:szCs w:val="24"/>
        </w:rPr>
        <w:t>.</w:t>
      </w:r>
      <w:r w:rsidRPr="00EA5A20">
        <w:rPr>
          <w:rFonts w:ascii="Times New Roman" w:eastAsia="Calibri" w:hAnsi="Times New Roman" w:cs="Times New Roman"/>
          <w:sz w:val="24"/>
          <w:szCs w:val="24"/>
        </w:rPr>
        <w:t xml:space="preserve"> </w:t>
      </w:r>
      <w:proofErr w:type="gramStart"/>
      <w:r w:rsidRPr="00EA5A20">
        <w:rPr>
          <w:rFonts w:ascii="Times New Roman" w:eastAsia="Calibri" w:hAnsi="Times New Roman" w:cs="Times New Roman"/>
          <w:sz w:val="24"/>
          <w:szCs w:val="24"/>
        </w:rPr>
        <w:t>módosítás</w:t>
      </w:r>
      <w:r>
        <w:rPr>
          <w:rFonts w:ascii="Times New Roman" w:eastAsia="Calibri" w:hAnsi="Times New Roman" w:cs="Times New Roman"/>
          <w:sz w:val="24"/>
          <w:szCs w:val="24"/>
        </w:rPr>
        <w:t>a</w:t>
      </w:r>
      <w:proofErr w:type="gramEnd"/>
      <w:r>
        <w:rPr>
          <w:rFonts w:ascii="Times New Roman" w:eastAsia="Calibri" w:hAnsi="Times New Roman" w:cs="Times New Roman"/>
          <w:sz w:val="24"/>
          <w:szCs w:val="24"/>
        </w:rPr>
        <w:t xml:space="preserve"> a fentieken kívül szükségessé teszi</w:t>
      </w:r>
      <w:r w:rsidRPr="00EA5A20">
        <w:rPr>
          <w:rFonts w:ascii="Times New Roman" w:eastAsia="Calibri" w:hAnsi="Times New Roman" w:cs="Times New Roman"/>
          <w:sz w:val="24"/>
          <w:szCs w:val="24"/>
        </w:rPr>
        <w:t xml:space="preserve"> több olyan jogszabály módosítását is</w:t>
      </w:r>
      <w:r>
        <w:rPr>
          <w:rFonts w:ascii="Times New Roman" w:eastAsia="Calibri" w:hAnsi="Times New Roman" w:cs="Times New Roman"/>
          <w:sz w:val="24"/>
          <w:szCs w:val="24"/>
        </w:rPr>
        <w:t>,</w:t>
      </w:r>
      <w:r w:rsidRPr="00EA5A20">
        <w:rPr>
          <w:rFonts w:ascii="Times New Roman" w:eastAsia="Calibri" w:hAnsi="Times New Roman" w:cs="Times New Roman"/>
          <w:sz w:val="24"/>
          <w:szCs w:val="24"/>
        </w:rPr>
        <w:t xml:space="preserve"> amelyek hivatkoztak valamilyen módon a </w:t>
      </w:r>
      <w:proofErr w:type="spellStart"/>
      <w:r w:rsidRPr="00EA5A20">
        <w:rPr>
          <w:rFonts w:ascii="Times New Roman" w:eastAsia="Calibri" w:hAnsi="Times New Roman" w:cs="Times New Roman"/>
          <w:sz w:val="24"/>
          <w:szCs w:val="24"/>
        </w:rPr>
        <w:t>Ht</w:t>
      </w:r>
      <w:proofErr w:type="spellEnd"/>
      <w:r w:rsidRPr="00EA5A20">
        <w:rPr>
          <w:rFonts w:ascii="Times New Roman" w:eastAsia="Calibri" w:hAnsi="Times New Roman" w:cs="Times New Roman"/>
          <w:sz w:val="24"/>
          <w:szCs w:val="24"/>
        </w:rPr>
        <w:t>. 2. és 3. mellékleteire. Ezek az érintett jogszabályok az alábbiak:</w:t>
      </w:r>
    </w:p>
    <w:p w:rsidR="005F5F8F" w:rsidRPr="00EA5A20" w:rsidRDefault="005F5F8F" w:rsidP="005F5F8F">
      <w:pPr>
        <w:tabs>
          <w:tab w:val="left" w:pos="0"/>
          <w:tab w:val="right" w:pos="3402"/>
          <w:tab w:val="left" w:pos="4678"/>
          <w:tab w:val="right" w:pos="8931"/>
        </w:tabs>
        <w:spacing w:after="0" w:line="240" w:lineRule="auto"/>
        <w:jc w:val="both"/>
        <w:rPr>
          <w:rFonts w:ascii="Times New Roman" w:eastAsia="Calibri" w:hAnsi="Times New Roman" w:cs="Times New Roman"/>
          <w:sz w:val="24"/>
          <w:szCs w:val="24"/>
        </w:rPr>
      </w:pP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r w:rsidRPr="00EA5A20">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A hulladékgazdálkodási tevékenységek nyilvántartásba vételéről, valamint hatósági engedélyezéséről szóló 439/2012. (XII. 29.) Korm. rendelet; </w:t>
      </w: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r>
        <w:rPr>
          <w:rFonts w:ascii="Times New Roman" w:eastAsia="Calibri" w:hAnsi="Times New Roman" w:cs="Times New Roman"/>
          <w:sz w:val="24"/>
          <w:szCs w:val="24"/>
        </w:rPr>
        <w:t>2. Az egyes hulladékgazdálkodási létesítmények kialakításának és üzemeltetésének szabályairól szóló 246/2014. (IX. 29.) Korm. rendelet;</w:t>
      </w: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A hulladékkal kapcsolatos nyilvántartási és adatszolgáltatási kötelezettségekről szóló 309/2014. (XII. 11.) Korm. rendelet; </w:t>
      </w: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r>
        <w:rPr>
          <w:rFonts w:ascii="Times New Roman" w:eastAsia="Calibri" w:hAnsi="Times New Roman" w:cs="Times New Roman"/>
          <w:sz w:val="24"/>
          <w:szCs w:val="24"/>
        </w:rPr>
        <w:t>4. A hulladékolajjal kapcsolatos hulladékgazdálkodási tevékenységek részletes szabályairól szóló 145/2012. (XII. 27.) VM rendelet;</w:t>
      </w: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p>
    <w:p w:rsidR="005F5F8F" w:rsidRDefault="005F5F8F" w:rsidP="005F5F8F">
      <w:pPr>
        <w:tabs>
          <w:tab w:val="right" w:pos="3402"/>
          <w:tab w:val="left" w:pos="4678"/>
          <w:tab w:val="right" w:pos="8789"/>
        </w:tabs>
        <w:spacing w:after="0" w:line="240" w:lineRule="auto"/>
        <w:ind w:left="284" w:right="2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A PCB, valamint a </w:t>
      </w:r>
      <w:proofErr w:type="spellStart"/>
      <w:r>
        <w:rPr>
          <w:rFonts w:ascii="Times New Roman" w:eastAsia="Calibri" w:hAnsi="Times New Roman" w:cs="Times New Roman"/>
          <w:sz w:val="24"/>
          <w:szCs w:val="24"/>
        </w:rPr>
        <w:t>PCB-t</w:t>
      </w:r>
      <w:proofErr w:type="spellEnd"/>
      <w:r>
        <w:rPr>
          <w:rFonts w:ascii="Times New Roman" w:eastAsia="Calibri" w:hAnsi="Times New Roman" w:cs="Times New Roman"/>
          <w:sz w:val="24"/>
          <w:szCs w:val="24"/>
        </w:rPr>
        <w:t xml:space="preserve"> tartalmazó berendezések kezelésének részletes szabályairól szóló 144/2012. (XII. 27.) VM rendelet;</w:t>
      </w:r>
    </w:p>
    <w:p w:rsidR="005F5F8F" w:rsidRDefault="005F5F8F" w:rsidP="005F5F8F">
      <w:pPr>
        <w:tabs>
          <w:tab w:val="left" w:pos="0"/>
          <w:tab w:val="right" w:pos="3402"/>
          <w:tab w:val="left" w:pos="4678"/>
          <w:tab w:val="right" w:pos="8931"/>
        </w:tabs>
        <w:spacing w:after="0" w:line="240" w:lineRule="auto"/>
        <w:jc w:val="both"/>
        <w:rPr>
          <w:rFonts w:ascii="Times New Roman" w:eastAsia="Calibri" w:hAnsi="Times New Roman" w:cs="Times New Roman"/>
          <w:sz w:val="24"/>
          <w:szCs w:val="24"/>
        </w:rPr>
      </w:pPr>
    </w:p>
    <w:p w:rsidR="005F5F8F" w:rsidRPr="004620A3" w:rsidRDefault="005F5F8F" w:rsidP="005F5F8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proofErr w:type="spellStart"/>
      <w:r>
        <w:rPr>
          <w:rFonts w:ascii="Times New Roman" w:eastAsia="Calibri" w:hAnsi="Times New Roman" w:cs="Times New Roman"/>
          <w:sz w:val="24"/>
          <w:szCs w:val="24"/>
        </w:rPr>
        <w:t>Ht</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módosításával</w:t>
      </w:r>
      <w:proofErr w:type="gramEnd"/>
      <w:r>
        <w:rPr>
          <w:rFonts w:ascii="Times New Roman" w:eastAsia="Calibri" w:hAnsi="Times New Roman" w:cs="Times New Roman"/>
          <w:sz w:val="24"/>
          <w:szCs w:val="24"/>
        </w:rPr>
        <w:t xml:space="preserve"> hatályát veszíti </w:t>
      </w: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Ht</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hulladéklerakási</w:t>
      </w:r>
      <w:proofErr w:type="gramEnd"/>
      <w:r>
        <w:rPr>
          <w:rFonts w:ascii="Times New Roman" w:eastAsia="Times New Roman" w:hAnsi="Times New Roman" w:cs="Times New Roman"/>
          <w:sz w:val="24"/>
          <w:szCs w:val="24"/>
        </w:rPr>
        <w:t xml:space="preserve"> járulék mértékéről szóló 5. melléklete is. </w:t>
      </w:r>
      <w:r w:rsidRPr="00E15A95">
        <w:rPr>
          <w:rFonts w:ascii="Times New Roman" w:eastAsia="Times New Roman" w:hAnsi="Times New Roman" w:cs="Times New Roman"/>
          <w:sz w:val="24"/>
          <w:szCs w:val="24"/>
        </w:rPr>
        <w:t>Ennek oka az, hogy a jövőben azoknak a piaci szereplőknek is kötelező legyen fizetni, akik eddig a hulladéklerakási járulékfizetési kötelezettség aló</w:t>
      </w:r>
      <w:r>
        <w:rPr>
          <w:rFonts w:ascii="Times New Roman" w:eastAsia="Times New Roman" w:hAnsi="Times New Roman" w:cs="Times New Roman"/>
          <w:sz w:val="24"/>
          <w:szCs w:val="24"/>
        </w:rPr>
        <w:t xml:space="preserve">l valamilyen formában kibújtak. Annak érdekében, hogy ezt </w:t>
      </w:r>
      <w:proofErr w:type="gramStart"/>
      <w:r>
        <w:rPr>
          <w:rFonts w:ascii="Times New Roman" w:eastAsia="Times New Roman" w:hAnsi="Times New Roman" w:cs="Times New Roman"/>
          <w:sz w:val="24"/>
          <w:szCs w:val="24"/>
        </w:rPr>
        <w:t>elérhessük</w:t>
      </w:r>
      <w:proofErr w:type="gramEnd"/>
      <w:r>
        <w:rPr>
          <w:rFonts w:ascii="Times New Roman" w:eastAsia="Times New Roman" w:hAnsi="Times New Roman" w:cs="Times New Roman"/>
          <w:sz w:val="24"/>
          <w:szCs w:val="24"/>
        </w:rPr>
        <w:t xml:space="preserve"> más alapokra kell helyezni a járulékfizetési kötelezettséget, melynek részletes meghatározását a </w:t>
      </w:r>
      <w:proofErr w:type="spellStart"/>
      <w:r>
        <w:rPr>
          <w:rFonts w:ascii="Times New Roman" w:eastAsia="Times New Roman" w:hAnsi="Times New Roman" w:cs="Times New Roman"/>
          <w:sz w:val="24"/>
          <w:szCs w:val="24"/>
        </w:rPr>
        <w:t>Ht</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normaszövege</w:t>
      </w:r>
      <w:proofErr w:type="gramEnd"/>
      <w:r>
        <w:rPr>
          <w:rFonts w:ascii="Times New Roman" w:eastAsia="Times New Roman" w:hAnsi="Times New Roman" w:cs="Times New Roman"/>
          <w:sz w:val="24"/>
          <w:szCs w:val="24"/>
        </w:rPr>
        <w:t xml:space="preserve"> fogja tartalmazni. </w:t>
      </w:r>
      <w:r w:rsidRPr="00E15A95">
        <w:rPr>
          <w:rFonts w:ascii="Times New Roman" w:eastAsia="Times New Roman" w:hAnsi="Times New Roman" w:cs="Times New Roman"/>
          <w:sz w:val="24"/>
          <w:szCs w:val="24"/>
        </w:rPr>
        <w:t xml:space="preserve">A </w:t>
      </w:r>
      <w:proofErr w:type="spellStart"/>
      <w:r w:rsidRPr="00E15A95">
        <w:rPr>
          <w:rFonts w:ascii="Times New Roman" w:eastAsia="Times New Roman" w:hAnsi="Times New Roman" w:cs="Times New Roman"/>
          <w:sz w:val="24"/>
          <w:szCs w:val="24"/>
        </w:rPr>
        <w:t>Ht</w:t>
      </w:r>
      <w:proofErr w:type="spellEnd"/>
      <w:r w:rsidRPr="00E15A95">
        <w:rPr>
          <w:rFonts w:ascii="Times New Roman" w:eastAsia="Times New Roman" w:hAnsi="Times New Roman" w:cs="Times New Roman"/>
          <w:sz w:val="24"/>
          <w:szCs w:val="24"/>
        </w:rPr>
        <w:t xml:space="preserve">. 5. mellékletének </w:t>
      </w:r>
      <w:r>
        <w:rPr>
          <w:rFonts w:ascii="Times New Roman" w:eastAsia="Times New Roman" w:hAnsi="Times New Roman" w:cs="Times New Roman"/>
          <w:sz w:val="24"/>
          <w:szCs w:val="24"/>
        </w:rPr>
        <w:t>hatályon kívül helyezésén</w:t>
      </w:r>
      <w:r w:rsidRPr="00E15A95">
        <w:rPr>
          <w:rFonts w:ascii="Times New Roman" w:eastAsia="Times New Roman" w:hAnsi="Times New Roman" w:cs="Times New Roman"/>
          <w:sz w:val="24"/>
          <w:szCs w:val="24"/>
        </w:rPr>
        <w:t xml:space="preserve"> túlmenően fontos az is, hogy az azzal szorosan összekapcsolódó, </w:t>
      </w:r>
      <w:r w:rsidRPr="00644C6C">
        <w:rPr>
          <w:rFonts w:ascii="Times New Roman" w:eastAsia="Times New Roman" w:hAnsi="Times New Roman" w:cs="Times New Roman"/>
          <w:sz w:val="24"/>
          <w:szCs w:val="24"/>
        </w:rPr>
        <w:t>a hulladéklerakási</w:t>
      </w:r>
      <w:r w:rsidRPr="009761BA">
        <w:rPr>
          <w:rFonts w:ascii="Times New Roman" w:eastAsia="Times New Roman" w:hAnsi="Times New Roman" w:cs="Times New Roman"/>
          <w:sz w:val="24"/>
          <w:szCs w:val="24"/>
        </w:rPr>
        <w:t xml:space="preserve"> járulék meg</w:t>
      </w:r>
      <w:r>
        <w:rPr>
          <w:rFonts w:ascii="Times New Roman" w:eastAsia="Times New Roman" w:hAnsi="Times New Roman" w:cs="Times New Roman"/>
          <w:sz w:val="24"/>
          <w:szCs w:val="24"/>
        </w:rPr>
        <w:t xml:space="preserve">fizetéséről és felhasználásának </w:t>
      </w:r>
      <w:r w:rsidRPr="009761BA">
        <w:rPr>
          <w:rFonts w:ascii="Times New Roman" w:eastAsia="Times New Roman" w:hAnsi="Times New Roman" w:cs="Times New Roman"/>
          <w:sz w:val="24"/>
          <w:szCs w:val="24"/>
        </w:rPr>
        <w:t>céljairól szóló</w:t>
      </w:r>
      <w:r>
        <w:rPr>
          <w:rFonts w:ascii="Times New Roman" w:eastAsia="Times New Roman" w:hAnsi="Times New Roman" w:cs="Times New Roman"/>
          <w:sz w:val="24"/>
          <w:szCs w:val="24"/>
        </w:rPr>
        <w:t xml:space="preserve"> </w:t>
      </w:r>
      <w:r w:rsidRPr="009761BA">
        <w:rPr>
          <w:rFonts w:ascii="Times New Roman" w:eastAsia="Times New Roman" w:hAnsi="Times New Roman" w:cs="Times New Roman"/>
          <w:sz w:val="24"/>
          <w:szCs w:val="24"/>
        </w:rPr>
        <w:t>318/2013. (VIII. 28.) Kor</w:t>
      </w:r>
      <w:bookmarkStart w:id="0" w:name="_GoBack"/>
      <w:bookmarkEnd w:id="0"/>
      <w:r w:rsidRPr="009761BA">
        <w:rPr>
          <w:rFonts w:ascii="Times New Roman" w:eastAsia="Times New Roman" w:hAnsi="Times New Roman" w:cs="Times New Roman"/>
          <w:sz w:val="24"/>
          <w:szCs w:val="24"/>
        </w:rPr>
        <w:t>m. rendelet</w:t>
      </w:r>
      <w:r>
        <w:rPr>
          <w:rFonts w:ascii="Times New Roman" w:eastAsia="Times New Roman" w:hAnsi="Times New Roman" w:cs="Times New Roman"/>
          <w:sz w:val="24"/>
          <w:szCs w:val="24"/>
        </w:rPr>
        <w:t xml:space="preserve"> </w:t>
      </w:r>
      <w:r>
        <w:rPr>
          <w:rFonts w:ascii="Times New Roman" w:eastAsia="Times New Roman" w:hAnsi="Times New Roman" w:cs="Times New Roman"/>
          <w:bCs/>
          <w:kern w:val="36"/>
          <w:sz w:val="24"/>
          <w:szCs w:val="24"/>
          <w:lang w:eastAsia="hu-HU"/>
        </w:rPr>
        <w:t>(a továbbiakban: 318/2013. (VIII. 28.) Korm. rendelet)</w:t>
      </w:r>
      <w:r w:rsidRPr="009761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jelen tervezetben foglaltak szerint módosuljon, lehetőleg a </w:t>
      </w:r>
      <w:proofErr w:type="spellStart"/>
      <w:r>
        <w:rPr>
          <w:rFonts w:ascii="Times New Roman" w:eastAsia="Times New Roman" w:hAnsi="Times New Roman" w:cs="Times New Roman"/>
          <w:sz w:val="24"/>
          <w:szCs w:val="24"/>
        </w:rPr>
        <w:t>Ht</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módosítás</w:t>
      </w:r>
      <w:proofErr w:type="gramEnd"/>
      <w:r>
        <w:rPr>
          <w:rFonts w:ascii="Times New Roman" w:eastAsia="Times New Roman" w:hAnsi="Times New Roman" w:cs="Times New Roman"/>
          <w:sz w:val="24"/>
          <w:szCs w:val="24"/>
        </w:rPr>
        <w:t xml:space="preserve"> hatálybalépésével egyidejűleg az egyszerűbb nyilvántartás és a hatósági ellenőrzések elősegítése érdekében.</w:t>
      </w:r>
    </w:p>
    <w:p w:rsidR="005F5F8F" w:rsidRDefault="005F5F8F" w:rsidP="005F5F8F">
      <w:pPr>
        <w:spacing w:after="0" w:line="240" w:lineRule="auto"/>
        <w:jc w:val="both"/>
        <w:rPr>
          <w:rFonts w:ascii="Times New Roman" w:eastAsia="Calibri" w:hAnsi="Times New Roman" w:cs="Times New Roman"/>
          <w:sz w:val="24"/>
          <w:szCs w:val="24"/>
        </w:rPr>
      </w:pPr>
    </w:p>
    <w:p w:rsidR="005F5F8F" w:rsidRDefault="005F5F8F" w:rsidP="005F5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hulladéklerakási járulék megfizetésének kötelezettségét a kötelezettség keletkezésétől számított 15 napon belül be kell jelenteni a környezetvédelmi hatóság részére. Azt azonban </w:t>
      </w:r>
      <w:r w:rsidRPr="000B5AEA">
        <w:rPr>
          <w:rFonts w:ascii="Times New Roman" w:eastAsia="Times New Roman" w:hAnsi="Times New Roman" w:cs="Times New Roman"/>
          <w:bCs/>
          <w:kern w:val="36"/>
          <w:sz w:val="24"/>
          <w:szCs w:val="24"/>
          <w:lang w:eastAsia="hu-HU"/>
        </w:rPr>
        <w:t>a 318/2013. (VIII. 28.) Korm. rendelet</w:t>
      </w:r>
      <w:r w:rsidRPr="00DE03C9">
        <w:rPr>
          <w:rFonts w:ascii="Times New Roman" w:eastAsia="Times New Roman" w:hAnsi="Times New Roman" w:cs="Times New Roman"/>
          <w:bCs/>
          <w:kern w:val="36"/>
          <w:sz w:val="24"/>
          <w:szCs w:val="24"/>
          <w:lang w:eastAsia="hu-HU"/>
        </w:rPr>
        <w:t xml:space="preserve"> nem írja elő, hogy a </w:t>
      </w:r>
      <w:r>
        <w:rPr>
          <w:rFonts w:ascii="Times New Roman" w:eastAsia="Times New Roman" w:hAnsi="Times New Roman" w:cs="Times New Roman"/>
          <w:sz w:val="24"/>
          <w:szCs w:val="24"/>
        </w:rPr>
        <w:t xml:space="preserve">kötelezettség megszűnését be kell-e </w:t>
      </w:r>
      <w:r>
        <w:rPr>
          <w:rFonts w:ascii="Times New Roman" w:eastAsia="Times New Roman" w:hAnsi="Times New Roman" w:cs="Times New Roman"/>
          <w:sz w:val="24"/>
          <w:szCs w:val="24"/>
        </w:rPr>
        <w:lastRenderedPageBreak/>
        <w:t xml:space="preserve">jelenteni vagy sem. A környezetvédelmi hatóság számára mindez jelentőséggel bír, hiszen így nincs tudomása arról, hogy a kötelezettség meddig áll fenn. </w:t>
      </w:r>
    </w:p>
    <w:p w:rsidR="005F5F8F" w:rsidRDefault="005F5F8F" w:rsidP="005F5F8F">
      <w:pPr>
        <w:spacing w:after="0" w:line="240" w:lineRule="auto"/>
        <w:jc w:val="both"/>
        <w:rPr>
          <w:rFonts w:ascii="Times New Roman" w:eastAsia="Times New Roman" w:hAnsi="Times New Roman" w:cs="Times New Roman"/>
          <w:sz w:val="24"/>
          <w:szCs w:val="24"/>
        </w:rPr>
      </w:pPr>
    </w:p>
    <w:p w:rsidR="005F5F8F" w:rsidRDefault="005F5F8F" w:rsidP="005F5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módosítás további indoka, hogy a hulladéklerakási járulék megfizetésének ellenőrzésével kapcsolatos hatósági tapasztalatok azt mutatják, hogy az ügyfelek által vezetett nyilvántartás sok esetben nem tartalmaz elegendő információt az ellenőrzés teljes körű lefolytatásához. Ennek következtében az ügyfél többszöri nyilatkoztatására és adatszolgáltatására van szükség a tényállás tisztázása érdekében. Ez az ellenőrzés elhúzódását eredményezi, erre figyelemmel a 318/2013. (VIII. 28.) Korm. rendeletet módosítani kell.</w:t>
      </w:r>
    </w:p>
    <w:p w:rsidR="005F5F8F" w:rsidRDefault="005F5F8F" w:rsidP="005F5F8F">
      <w:pPr>
        <w:spacing w:after="0" w:line="240" w:lineRule="auto"/>
        <w:jc w:val="both"/>
        <w:rPr>
          <w:rFonts w:ascii="Times New Roman" w:eastAsia="Times New Roman" w:hAnsi="Times New Roman" w:cs="Times New Roman"/>
          <w:sz w:val="24"/>
          <w:szCs w:val="24"/>
        </w:rPr>
      </w:pPr>
    </w:p>
    <w:p w:rsidR="005F5F8F" w:rsidRDefault="005F5F8F" w:rsidP="005F5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Fontos indoka a módosításnak az is, hogy a 318/2016. (VIII. 28.) Korm. rendelet szerint a nyilvántartást a megfizetett hulladéklerakási járulékról csak abban az esetben kell elektronikus formában vezetni, ha arra lehetőség van. A hatósági tapasztalatok azt mutatják, hogy minden kötelezett rendelkezik azzal az infrastruktúrával, amely ezt lehetővé teszi, ezért csak nagyon szűk körben kellene biztosítani számukra a papír alapon vezetett nyilvántartás lehetőségét. Tekintettel ugyanakkor arra is, hogy az ügyfelek részére 2014. negyedik negyedévétől az adatszolgáltatás már kizárólag elektronikus úton teljesíthető, teljes mértékben elvárható, hogy a nyilvántartást is elektronikus úton vezessék. Ez lényegesen megkönnyítené a hatóság munkáját.</w:t>
      </w:r>
    </w:p>
    <w:p w:rsidR="005F5F8F" w:rsidRDefault="005F5F8F" w:rsidP="005F5F8F">
      <w:pPr>
        <w:spacing w:after="0" w:line="240" w:lineRule="auto"/>
        <w:jc w:val="both"/>
        <w:rPr>
          <w:rFonts w:ascii="Times New Roman" w:eastAsia="Times New Roman" w:hAnsi="Times New Roman" w:cs="Times New Roman"/>
          <w:sz w:val="24"/>
          <w:szCs w:val="24"/>
        </w:rPr>
      </w:pPr>
    </w:p>
    <w:p w:rsidR="005F5F8F" w:rsidRDefault="005F5F8F" w:rsidP="005F5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sidRPr="00135FF6">
        <w:rPr>
          <w:rFonts w:ascii="Times New Roman" w:eastAsia="Times New Roman" w:hAnsi="Times New Roman" w:cs="Times New Roman"/>
          <w:sz w:val="24"/>
          <w:szCs w:val="24"/>
        </w:rPr>
        <w:t>Ht</w:t>
      </w:r>
      <w:proofErr w:type="spellEnd"/>
      <w:r w:rsidRPr="00135FF6">
        <w:rPr>
          <w:rFonts w:ascii="Times New Roman" w:eastAsia="Times New Roman" w:hAnsi="Times New Roman" w:cs="Times New Roman"/>
          <w:sz w:val="24"/>
          <w:szCs w:val="24"/>
        </w:rPr>
        <w:t xml:space="preserve">. </w:t>
      </w:r>
      <w:proofErr w:type="gramStart"/>
      <w:r w:rsidRPr="00135FF6">
        <w:rPr>
          <w:rFonts w:ascii="Times New Roman" w:eastAsia="Times New Roman" w:hAnsi="Times New Roman" w:cs="Times New Roman"/>
          <w:sz w:val="24"/>
          <w:szCs w:val="24"/>
        </w:rPr>
        <w:t>módosítása</w:t>
      </w:r>
      <w:proofErr w:type="gramEnd"/>
      <w:r>
        <w:rPr>
          <w:rFonts w:ascii="Times New Roman" w:eastAsia="Times New Roman" w:hAnsi="Times New Roman" w:cs="Times New Roman"/>
          <w:sz w:val="24"/>
          <w:szCs w:val="24"/>
        </w:rPr>
        <w:t xml:space="preserve"> továbbá</w:t>
      </w:r>
      <w:r w:rsidRPr="00135FF6">
        <w:rPr>
          <w:rFonts w:ascii="Times New Roman" w:eastAsia="Times New Roman" w:hAnsi="Times New Roman" w:cs="Times New Roman"/>
          <w:sz w:val="24"/>
          <w:szCs w:val="24"/>
        </w:rPr>
        <w:t xml:space="preserve"> lehetővé teszi, hogy a hulladéktermelő nem üzletszerűen, alkalmilag, az elkülönítetten gyűjtött hulladékát saját járművével, másik telephelyén levő üzemi gyűjtőhelyre vagy átvételi helyre, hulladékgyűjtő pontra, hulladékgyűjtő udvarba, valamint hulladékkezelőhöz szállíthassa. Hangsúlyozni kell, hogy a szállítás során az egyéb jogszabályi feltételeknek, így különösen az ADR veszélyes áru szállítás szabályainak meg kell felelni.  A jellemzően kis mennyiségű saját hulladék szállításakor elsősorban a visszaélések kizárása érdekében egy minimális adattartalmú bizonylatot ki </w:t>
      </w:r>
      <w:proofErr w:type="gramStart"/>
      <w:r w:rsidRPr="00135FF6">
        <w:rPr>
          <w:rFonts w:ascii="Times New Roman" w:eastAsia="Times New Roman" w:hAnsi="Times New Roman" w:cs="Times New Roman"/>
          <w:sz w:val="24"/>
          <w:szCs w:val="24"/>
        </w:rPr>
        <w:t>kell</w:t>
      </w:r>
      <w:proofErr w:type="gramEnd"/>
      <w:r w:rsidRPr="00135FF6">
        <w:rPr>
          <w:rFonts w:ascii="Times New Roman" w:eastAsia="Times New Roman" w:hAnsi="Times New Roman" w:cs="Times New Roman"/>
          <w:sz w:val="24"/>
          <w:szCs w:val="24"/>
        </w:rPr>
        <w:t xml:space="preserve"> hogy állítson a termelő a saját szállításról, és ezt később a telephelyi nyilvántartásához kell mellékelnie.</w:t>
      </w:r>
    </w:p>
    <w:p w:rsidR="005F5F8F" w:rsidRPr="00ED6BFD" w:rsidRDefault="005F5F8F" w:rsidP="005F5F8F">
      <w:pPr>
        <w:spacing w:before="100" w:beforeAutospacing="1" w:after="100" w:afterAutospacing="1" w:line="240" w:lineRule="auto"/>
        <w:jc w:val="both"/>
        <w:rPr>
          <w:rFonts w:ascii="Times New Roman" w:eastAsia="Times New Roman" w:hAnsi="Times New Roman" w:cs="Times New Roman"/>
          <w:i/>
          <w:sz w:val="24"/>
          <w:szCs w:val="24"/>
          <w:highlight w:val="yellow"/>
          <w:lang w:eastAsia="hu-HU"/>
        </w:rPr>
      </w:pPr>
      <w:r w:rsidRPr="00135FF6">
        <w:rPr>
          <w:rFonts w:ascii="Times New Roman" w:hAnsi="Times New Roman" w:cs="Times New Roman"/>
          <w:sz w:val="24"/>
          <w:szCs w:val="24"/>
        </w:rPr>
        <w:t>A termelői hulladékszállítás jellemzően alkalmi jellegű, és kis mennyiséggel történik. A nyomon követhetőség elve alapján változatlanul a képződés helye szerint kell az adatszolgáltatást teljesíteni, de ettől el lehet tekinteni, ha a képződés helye olyan provizórikus jellegű munkavégzési helyszín melyet indokolatlan lenne megjeleníteni önálló környezetvédelmi azonosítóval a hulladékgazdálkodási adatszolgáltatási rendszerben.</w:t>
      </w:r>
      <w:r>
        <w:rPr>
          <w:rFonts w:ascii="Times New Roman" w:hAnsi="Times New Roman" w:cs="Times New Roman"/>
          <w:sz w:val="24"/>
          <w:szCs w:val="24"/>
        </w:rPr>
        <w:t xml:space="preserve"> </w:t>
      </w:r>
      <w:r w:rsidRPr="005E3D7E">
        <w:rPr>
          <w:rFonts w:ascii="Times New Roman" w:hAnsi="Times New Roman" w:cs="Times New Roman"/>
          <w:sz w:val="24"/>
          <w:szCs w:val="24"/>
        </w:rPr>
        <w:t xml:space="preserve">A nyilvántartás és az adatszolgáltatás módosított szabályait a hulladékkal kapcsolatos nyilvántartási és adatszolgáltatási kötelezettségekről szóló 309/2014. (XII. </w:t>
      </w:r>
      <w:r>
        <w:rPr>
          <w:rFonts w:ascii="Times New Roman" w:hAnsi="Times New Roman" w:cs="Times New Roman"/>
          <w:sz w:val="24"/>
          <w:szCs w:val="24"/>
        </w:rPr>
        <w:t>11.) Korm. rendelet tartalmazza, ezért e rendelet módosítása is szükséges.</w:t>
      </w:r>
      <w:r w:rsidRPr="005E3D7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C1D42" w:rsidRDefault="00AF71C7"/>
    <w:sectPr w:rsidR="006C1D42" w:rsidSect="00952697">
      <w:pgSz w:w="11906" w:h="16838" w:code="9"/>
      <w:pgMar w:top="1417" w:right="1418" w:bottom="1418" w:left="1418" w:header="709"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8F"/>
    <w:rsid w:val="003D57F8"/>
    <w:rsid w:val="005F5F8F"/>
    <w:rsid w:val="00731F1D"/>
    <w:rsid w:val="00952697"/>
    <w:rsid w:val="009569EC"/>
    <w:rsid w:val="00AF71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F5F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F5F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5231</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Sárady Eszter dr.</dc:creator>
  <cp:lastModifiedBy>Szabó Ivett</cp:lastModifiedBy>
  <cp:revision>2</cp:revision>
  <dcterms:created xsi:type="dcterms:W3CDTF">2016-06-17T07:27:00Z</dcterms:created>
  <dcterms:modified xsi:type="dcterms:W3CDTF">2016-06-17T07:27:00Z</dcterms:modified>
</cp:coreProperties>
</file>