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272" w:rsidRDefault="00D54272" w:rsidP="00D54272">
      <w:pPr>
        <w:pStyle w:val="Default"/>
        <w:jc w:val="center"/>
        <w:rPr>
          <w:b/>
          <w:bCs/>
          <w:sz w:val="28"/>
          <w:szCs w:val="28"/>
        </w:rPr>
      </w:pPr>
      <w:r w:rsidRPr="00EF14E9">
        <w:rPr>
          <w:b/>
          <w:bCs/>
          <w:noProof/>
          <w:sz w:val="28"/>
          <w:szCs w:val="28"/>
          <w:lang w:eastAsia="hu-HU"/>
        </w:rPr>
        <w:drawing>
          <wp:inline distT="0" distB="0" distL="0" distR="0" wp14:anchorId="486F42F6" wp14:editId="6F68AAFC">
            <wp:extent cx="1728788" cy="1171575"/>
            <wp:effectExtent l="0" t="0" r="5080" b="0"/>
            <wp:docPr id="5124"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4" name="Kép 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8788" cy="1171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D54272" w:rsidRDefault="00D54272" w:rsidP="00D54272">
      <w:pPr>
        <w:pStyle w:val="Default"/>
        <w:jc w:val="both"/>
        <w:rPr>
          <w:b/>
          <w:bCs/>
          <w:sz w:val="28"/>
          <w:szCs w:val="28"/>
        </w:rPr>
      </w:pPr>
    </w:p>
    <w:p w:rsidR="00D54272" w:rsidRDefault="00D54272" w:rsidP="00D54272">
      <w:pPr>
        <w:pStyle w:val="Default"/>
        <w:jc w:val="both"/>
        <w:rPr>
          <w:b/>
          <w:bCs/>
          <w:sz w:val="28"/>
          <w:szCs w:val="28"/>
        </w:rPr>
      </w:pPr>
    </w:p>
    <w:p w:rsidR="00D54272" w:rsidRDefault="00D54272" w:rsidP="00D54272">
      <w:pPr>
        <w:pStyle w:val="Default"/>
        <w:jc w:val="both"/>
        <w:rPr>
          <w:b/>
          <w:bCs/>
          <w:sz w:val="28"/>
          <w:szCs w:val="28"/>
        </w:rPr>
      </w:pPr>
    </w:p>
    <w:p w:rsidR="00D54272" w:rsidRDefault="00D54272" w:rsidP="00D54272">
      <w:pPr>
        <w:pStyle w:val="Default"/>
        <w:jc w:val="both"/>
        <w:rPr>
          <w:b/>
          <w:bCs/>
          <w:sz w:val="28"/>
          <w:szCs w:val="28"/>
        </w:rPr>
      </w:pPr>
      <w:r>
        <w:rPr>
          <w:b/>
          <w:bCs/>
          <w:sz w:val="28"/>
          <w:szCs w:val="28"/>
        </w:rPr>
        <w:t xml:space="preserve">Jelen előterjesztés csak tervezet, amelynek közigazgatási egyeztetése folyamatban van. A minisztériumok közötti egyeztetés során az előterjesztés koncepcionális kérdései is jelentősen módosulhatnak, ezért jelen formájában nem tekinthető a Kormány álláspontjának. </w:t>
      </w:r>
    </w:p>
    <w:p w:rsidR="00D54272" w:rsidRDefault="00D54272" w:rsidP="00D54272">
      <w:pPr>
        <w:pStyle w:val="Default"/>
        <w:jc w:val="both"/>
        <w:rPr>
          <w:sz w:val="28"/>
          <w:szCs w:val="28"/>
        </w:rPr>
      </w:pPr>
    </w:p>
    <w:p w:rsidR="00D54272" w:rsidRDefault="00D54272" w:rsidP="00D54272">
      <w:pPr>
        <w:pStyle w:val="Default"/>
        <w:jc w:val="both"/>
        <w:rPr>
          <w:sz w:val="28"/>
          <w:szCs w:val="28"/>
        </w:rPr>
      </w:pPr>
      <w:r>
        <w:rPr>
          <w:b/>
          <w:bCs/>
          <w:sz w:val="28"/>
          <w:szCs w:val="28"/>
        </w:rPr>
        <w:t xml:space="preserve">A dokumentum célja a társadalmi egyeztetés elindítása és a jogalkotási folyamat átláthatóvá tétele, amelynek alapján, illetve eredményeként a mellékelt előterjesztés valamennyi tartalmi és formai eleme módosulhat! </w:t>
      </w:r>
    </w:p>
    <w:p w:rsidR="00D54272" w:rsidRDefault="00D54272" w:rsidP="00D54272">
      <w:pPr>
        <w:keepNext/>
        <w:jc w:val="center"/>
        <w:rPr>
          <w:b/>
          <w:bCs/>
          <w:sz w:val="28"/>
          <w:szCs w:val="28"/>
        </w:rPr>
      </w:pPr>
    </w:p>
    <w:p w:rsidR="00D54272" w:rsidRDefault="00D54272" w:rsidP="00D54272">
      <w:pPr>
        <w:keepNext/>
        <w:jc w:val="center"/>
        <w:rPr>
          <w:b/>
          <w:bCs/>
          <w:sz w:val="28"/>
          <w:szCs w:val="28"/>
        </w:rPr>
      </w:pPr>
    </w:p>
    <w:p w:rsidR="00D54272" w:rsidRDefault="00D54272" w:rsidP="00D54272">
      <w:pPr>
        <w:keepNext/>
        <w:jc w:val="right"/>
        <w:rPr>
          <w:b/>
          <w:bCs/>
          <w:sz w:val="28"/>
          <w:szCs w:val="28"/>
        </w:rPr>
      </w:pPr>
      <w:r>
        <w:rPr>
          <w:b/>
          <w:bCs/>
          <w:sz w:val="28"/>
          <w:szCs w:val="28"/>
        </w:rPr>
        <w:t xml:space="preserve">A tervezet előterjesztője </w:t>
      </w:r>
    </w:p>
    <w:p w:rsidR="00D54272" w:rsidRDefault="00D54272" w:rsidP="00D54272">
      <w:pPr>
        <w:pStyle w:val="Norml0"/>
        <w:jc w:val="both"/>
        <w:rPr>
          <w:rFonts w:ascii="Times New Roman" w:hAnsi="Times New Roman"/>
        </w:rPr>
      </w:pPr>
    </w:p>
    <w:p w:rsidR="00D54272" w:rsidRPr="006304CD" w:rsidRDefault="00D54272" w:rsidP="00D54272"/>
    <w:p w:rsidR="00774EE9" w:rsidRPr="00774EE9" w:rsidRDefault="00D54272" w:rsidP="00774EE9">
      <w:pPr>
        <w:keepNext/>
        <w:ind w:left="564"/>
        <w:jc w:val="right"/>
        <w:outlineLvl w:val="0"/>
        <w:rPr>
          <w:i/>
        </w:rPr>
      </w:pPr>
      <w:r>
        <w:br w:type="page"/>
      </w:r>
      <w:bookmarkStart w:id="0" w:name="_GoBack"/>
      <w:bookmarkEnd w:id="0"/>
    </w:p>
    <w:p w:rsidR="00774EE9" w:rsidRPr="00774EE9" w:rsidRDefault="00774EE9" w:rsidP="00774EE9">
      <w:pPr>
        <w:autoSpaceDE w:val="0"/>
        <w:autoSpaceDN w:val="0"/>
        <w:adjustRightInd w:val="0"/>
        <w:jc w:val="center"/>
        <w:rPr>
          <w:rFonts w:eastAsiaTheme="minorHAnsi"/>
          <w:b/>
          <w:bCs/>
          <w:lang w:eastAsia="en-US"/>
        </w:rPr>
      </w:pPr>
    </w:p>
    <w:p w:rsidR="00774EE9" w:rsidRPr="00774EE9" w:rsidRDefault="00774EE9" w:rsidP="00774EE9">
      <w:pPr>
        <w:autoSpaceDE w:val="0"/>
        <w:autoSpaceDN w:val="0"/>
        <w:adjustRightInd w:val="0"/>
        <w:jc w:val="center"/>
        <w:rPr>
          <w:rFonts w:eastAsiaTheme="minorHAnsi"/>
          <w:b/>
          <w:bCs/>
          <w:lang w:eastAsia="en-US"/>
        </w:rPr>
      </w:pPr>
      <w:r w:rsidRPr="00774EE9">
        <w:rPr>
          <w:rFonts w:eastAsiaTheme="minorHAnsi"/>
          <w:b/>
          <w:bCs/>
          <w:lang w:eastAsia="en-US"/>
        </w:rPr>
        <w:t>A Kormány</w:t>
      </w:r>
    </w:p>
    <w:p w:rsidR="00774EE9" w:rsidRPr="00774EE9" w:rsidRDefault="00774EE9" w:rsidP="00774EE9">
      <w:pPr>
        <w:autoSpaceDE w:val="0"/>
        <w:autoSpaceDN w:val="0"/>
        <w:adjustRightInd w:val="0"/>
        <w:jc w:val="center"/>
        <w:rPr>
          <w:rFonts w:eastAsiaTheme="minorHAnsi"/>
          <w:b/>
          <w:bCs/>
          <w:lang w:eastAsia="en-US"/>
        </w:rPr>
      </w:pPr>
      <w:r>
        <w:rPr>
          <w:rFonts w:eastAsiaTheme="minorHAnsi"/>
          <w:b/>
          <w:bCs/>
          <w:lang w:eastAsia="en-US"/>
        </w:rPr>
        <w:t>……/2018</w:t>
      </w:r>
      <w:r w:rsidRPr="00774EE9">
        <w:rPr>
          <w:rFonts w:eastAsiaTheme="minorHAnsi"/>
          <w:b/>
          <w:bCs/>
          <w:lang w:eastAsia="en-US"/>
        </w:rPr>
        <w:t>. (……) Korm. rendelete</w:t>
      </w:r>
    </w:p>
    <w:p w:rsidR="00774EE9" w:rsidRPr="00774EE9" w:rsidRDefault="00774EE9" w:rsidP="00774EE9">
      <w:pPr>
        <w:autoSpaceDE w:val="0"/>
        <w:autoSpaceDN w:val="0"/>
        <w:adjustRightInd w:val="0"/>
        <w:jc w:val="center"/>
        <w:rPr>
          <w:rFonts w:eastAsiaTheme="minorHAnsi"/>
          <w:b/>
          <w:bCs/>
          <w:lang w:eastAsia="en-US"/>
        </w:rPr>
      </w:pPr>
    </w:p>
    <w:p w:rsidR="00774EE9" w:rsidRPr="00774EE9" w:rsidRDefault="00774EE9" w:rsidP="00774EE9">
      <w:pPr>
        <w:jc w:val="center"/>
        <w:rPr>
          <w:rFonts w:eastAsiaTheme="minorHAnsi"/>
          <w:b/>
          <w:bCs/>
          <w:lang w:eastAsia="en-US"/>
        </w:rPr>
      </w:pPr>
      <w:r w:rsidRPr="00774EE9">
        <w:rPr>
          <w:rFonts w:eastAsiaTheme="minorHAnsi"/>
          <w:b/>
          <w:bCs/>
          <w:lang w:eastAsia="en-US"/>
        </w:rPr>
        <w:t>a levegő védelméről szóló 306/2010. (XII. 23.) Korm. rendelet módosításáról</w:t>
      </w:r>
    </w:p>
    <w:p w:rsidR="00774EE9" w:rsidRPr="00774EE9" w:rsidRDefault="00774EE9" w:rsidP="00774EE9">
      <w:pPr>
        <w:jc w:val="center"/>
        <w:rPr>
          <w:rFonts w:eastAsiaTheme="minorHAnsi"/>
          <w:b/>
          <w:bCs/>
          <w:lang w:eastAsia="en-US"/>
        </w:rPr>
      </w:pPr>
    </w:p>
    <w:p w:rsidR="00774EE9" w:rsidRPr="00774EE9" w:rsidRDefault="00774EE9" w:rsidP="00774EE9">
      <w:pPr>
        <w:autoSpaceDE w:val="0"/>
        <w:autoSpaceDN w:val="0"/>
        <w:adjustRightInd w:val="0"/>
        <w:jc w:val="both"/>
        <w:rPr>
          <w:rFonts w:eastAsiaTheme="minorHAnsi"/>
          <w:lang w:eastAsia="en-US"/>
        </w:rPr>
      </w:pPr>
      <w:r w:rsidRPr="00774EE9">
        <w:rPr>
          <w:rFonts w:eastAsiaTheme="minorHAnsi"/>
          <w:lang w:eastAsia="en-US"/>
        </w:rPr>
        <w:t>A Kormány a környezet védelmének általános szabályairól szóló 1995. évi LIII. törvény 110. § (7) bekezdés 24. pontjában foglalt felhatalmazás alapján, az Alaptörvény 15. cikk (1) bekezdésben meghatározott feladatkörében eljárva a következőket rendeli el:</w:t>
      </w:r>
    </w:p>
    <w:p w:rsidR="00774EE9" w:rsidRPr="00774EE9" w:rsidRDefault="00774EE9" w:rsidP="00774EE9">
      <w:pPr>
        <w:autoSpaceDE w:val="0"/>
        <w:autoSpaceDN w:val="0"/>
        <w:adjustRightInd w:val="0"/>
        <w:jc w:val="both"/>
        <w:rPr>
          <w:rFonts w:eastAsiaTheme="minorHAnsi"/>
          <w:lang w:eastAsia="en-US"/>
        </w:rPr>
      </w:pPr>
    </w:p>
    <w:p w:rsidR="00774EE9" w:rsidRPr="00774EE9" w:rsidRDefault="00774EE9" w:rsidP="00774EE9">
      <w:pPr>
        <w:numPr>
          <w:ilvl w:val="0"/>
          <w:numId w:val="1"/>
        </w:numPr>
        <w:spacing w:after="200" w:line="276" w:lineRule="auto"/>
        <w:contextualSpacing/>
        <w:jc w:val="center"/>
        <w:rPr>
          <w:rFonts w:eastAsiaTheme="minorHAnsi"/>
          <w:b/>
          <w:bCs/>
          <w:lang w:eastAsia="en-US"/>
        </w:rPr>
      </w:pPr>
      <w:r w:rsidRPr="00774EE9">
        <w:rPr>
          <w:rFonts w:eastAsiaTheme="minorHAnsi"/>
          <w:b/>
          <w:bCs/>
          <w:lang w:eastAsia="en-US"/>
        </w:rPr>
        <w:t>§</w:t>
      </w:r>
    </w:p>
    <w:p w:rsidR="00774EE9" w:rsidRPr="00774EE9" w:rsidRDefault="00774EE9" w:rsidP="00774EE9">
      <w:pPr>
        <w:ind w:left="720"/>
        <w:contextualSpacing/>
        <w:rPr>
          <w:rFonts w:eastAsiaTheme="minorHAnsi"/>
          <w:b/>
          <w:bCs/>
          <w:lang w:eastAsia="en-US"/>
        </w:rPr>
      </w:pPr>
    </w:p>
    <w:p w:rsidR="00774EE9" w:rsidRPr="00774EE9" w:rsidRDefault="00774EE9" w:rsidP="00774EE9">
      <w:pPr>
        <w:numPr>
          <w:ilvl w:val="0"/>
          <w:numId w:val="7"/>
        </w:numPr>
        <w:contextualSpacing/>
        <w:jc w:val="both"/>
        <w:rPr>
          <w:rFonts w:eastAsiaTheme="minorHAnsi"/>
          <w:lang w:eastAsia="en-US"/>
        </w:rPr>
      </w:pPr>
      <w:r w:rsidRPr="00774EE9">
        <w:rPr>
          <w:rFonts w:eastAsiaTheme="minorHAnsi"/>
          <w:lang w:eastAsia="en-US"/>
        </w:rPr>
        <w:t>A levegő védelméről szóló 306/2010. (XII. 23.) Korm. rendelet (a továbbiakban: R) 2. §-a a következő 9a. ponttal egészül ki:</w:t>
      </w:r>
    </w:p>
    <w:p w:rsidR="00774EE9" w:rsidRPr="00774EE9" w:rsidRDefault="00774EE9" w:rsidP="00774EE9">
      <w:pPr>
        <w:contextualSpacing/>
        <w:jc w:val="both"/>
        <w:rPr>
          <w:rFonts w:eastAsiaTheme="minorHAnsi"/>
          <w:lang w:eastAsia="en-US"/>
        </w:rPr>
      </w:pPr>
    </w:p>
    <w:p w:rsidR="00774EE9" w:rsidRPr="00774EE9" w:rsidRDefault="00774EE9" w:rsidP="00774EE9">
      <w:pPr>
        <w:jc w:val="both"/>
        <w:rPr>
          <w:rFonts w:eastAsiaTheme="minorHAnsi"/>
          <w:i/>
          <w:lang w:eastAsia="en-US"/>
        </w:rPr>
      </w:pPr>
      <w:r w:rsidRPr="00774EE9">
        <w:rPr>
          <w:rFonts w:eastAsiaTheme="minorHAnsi"/>
          <w:lang w:eastAsia="en-US"/>
        </w:rPr>
        <w:t>(</w:t>
      </w:r>
      <w:r w:rsidRPr="00774EE9">
        <w:rPr>
          <w:rFonts w:eastAsiaTheme="minorHAnsi"/>
          <w:i/>
          <w:lang w:eastAsia="en-US"/>
        </w:rPr>
        <w:t>E rendelet alkalmazásában)</w:t>
      </w:r>
    </w:p>
    <w:p w:rsidR="00774EE9" w:rsidRPr="00774EE9" w:rsidRDefault="00774EE9" w:rsidP="00774EE9">
      <w:pPr>
        <w:jc w:val="both"/>
        <w:rPr>
          <w:rFonts w:eastAsiaTheme="minorHAnsi"/>
          <w:i/>
          <w:lang w:eastAsia="en-US"/>
        </w:rPr>
      </w:pPr>
    </w:p>
    <w:p w:rsidR="00774EE9" w:rsidRPr="00774EE9" w:rsidRDefault="00774EE9" w:rsidP="00774EE9">
      <w:pPr>
        <w:jc w:val="both"/>
        <w:rPr>
          <w:rFonts w:eastAsiaTheme="minorHAnsi"/>
          <w:lang w:eastAsia="en-US"/>
        </w:rPr>
      </w:pPr>
      <w:r w:rsidRPr="00774EE9">
        <w:rPr>
          <w:rFonts w:eastAsiaTheme="minorHAnsi"/>
          <w:lang w:eastAsia="en-US"/>
        </w:rPr>
        <w:t xml:space="preserve">„9a. </w:t>
      </w:r>
      <w:r w:rsidRPr="00774EE9">
        <w:rPr>
          <w:rFonts w:eastAsiaTheme="minorHAnsi"/>
          <w:i/>
          <w:lang w:eastAsia="en-US"/>
        </w:rPr>
        <w:t>emberi eredetű kibocsátás:</w:t>
      </w:r>
      <w:r w:rsidRPr="00774EE9">
        <w:rPr>
          <w:rFonts w:eastAsiaTheme="minorHAnsi"/>
          <w:lang w:eastAsia="en-US"/>
        </w:rPr>
        <w:t xml:space="preserve"> emberi tevékenységhez köthető levegőterhelés;”</w:t>
      </w:r>
    </w:p>
    <w:p w:rsidR="00774EE9" w:rsidRPr="00774EE9" w:rsidRDefault="00774EE9" w:rsidP="00774EE9">
      <w:pPr>
        <w:jc w:val="both"/>
        <w:rPr>
          <w:rFonts w:eastAsia="Calibri"/>
        </w:rPr>
      </w:pPr>
    </w:p>
    <w:p w:rsidR="00774EE9" w:rsidRPr="00774EE9" w:rsidRDefault="00774EE9" w:rsidP="00774EE9">
      <w:pPr>
        <w:numPr>
          <w:ilvl w:val="0"/>
          <w:numId w:val="7"/>
        </w:numPr>
        <w:contextualSpacing/>
        <w:jc w:val="both"/>
        <w:rPr>
          <w:rFonts w:eastAsiaTheme="minorHAnsi"/>
          <w:lang w:eastAsia="en-US"/>
        </w:rPr>
      </w:pPr>
      <w:r w:rsidRPr="00774EE9">
        <w:rPr>
          <w:rFonts w:eastAsiaTheme="minorHAnsi"/>
          <w:lang w:eastAsia="en-US"/>
        </w:rPr>
        <w:t>Az R 2. §-a a következő 11a. ponttal egészül ki:</w:t>
      </w:r>
    </w:p>
    <w:p w:rsidR="00774EE9" w:rsidRPr="00774EE9" w:rsidRDefault="00774EE9" w:rsidP="00774EE9">
      <w:pPr>
        <w:jc w:val="both"/>
        <w:rPr>
          <w:rFonts w:eastAsiaTheme="minorHAnsi"/>
          <w:lang w:eastAsia="en-US"/>
        </w:rPr>
      </w:pPr>
    </w:p>
    <w:p w:rsidR="00774EE9" w:rsidRPr="00774EE9" w:rsidRDefault="00774EE9" w:rsidP="00774EE9">
      <w:pPr>
        <w:jc w:val="both"/>
        <w:rPr>
          <w:rFonts w:eastAsiaTheme="minorHAnsi"/>
          <w:i/>
          <w:lang w:eastAsia="en-US"/>
        </w:rPr>
      </w:pPr>
      <w:r w:rsidRPr="00774EE9">
        <w:rPr>
          <w:rFonts w:eastAsiaTheme="minorHAnsi"/>
          <w:lang w:eastAsia="en-US"/>
        </w:rPr>
        <w:t>(</w:t>
      </w:r>
      <w:r w:rsidRPr="00774EE9">
        <w:rPr>
          <w:rFonts w:eastAsiaTheme="minorHAnsi"/>
          <w:i/>
          <w:lang w:eastAsia="en-US"/>
        </w:rPr>
        <w:t>E rendelet alkalmazásában)</w:t>
      </w:r>
    </w:p>
    <w:p w:rsidR="00774EE9" w:rsidRPr="00774EE9" w:rsidRDefault="00774EE9" w:rsidP="00774EE9">
      <w:pPr>
        <w:shd w:val="clear" w:color="auto" w:fill="FFFFFF"/>
        <w:contextualSpacing/>
        <w:jc w:val="both"/>
        <w:rPr>
          <w:lang w:eastAsia="en-GB"/>
        </w:rPr>
      </w:pPr>
    </w:p>
    <w:p w:rsidR="00774EE9" w:rsidRPr="00774EE9" w:rsidRDefault="00774EE9" w:rsidP="00774EE9">
      <w:pPr>
        <w:shd w:val="clear" w:color="auto" w:fill="FFFFFF"/>
        <w:contextualSpacing/>
        <w:jc w:val="both"/>
        <w:rPr>
          <w:bCs/>
          <w:lang w:eastAsia="en-GB"/>
        </w:rPr>
      </w:pPr>
      <w:r w:rsidRPr="00774EE9">
        <w:rPr>
          <w:lang w:eastAsia="en-GB"/>
        </w:rPr>
        <w:t xml:space="preserve">„11a. </w:t>
      </w:r>
      <w:r w:rsidRPr="00774EE9">
        <w:rPr>
          <w:bCs/>
          <w:i/>
          <w:lang w:eastAsia="en-GB"/>
        </w:rPr>
        <w:t>forrásoldali levegőterhelés-csökkentésre vonatkozó jogszabályok</w:t>
      </w:r>
      <w:r w:rsidRPr="00774EE9">
        <w:rPr>
          <w:bCs/>
          <w:lang w:eastAsia="en-GB"/>
        </w:rPr>
        <w:t>: olyan jogszabályok, amelyek célja e jogszabály hatálya alá tartozó légszennyező anyagok kibocsátásának csökkentése a légszennyezőanyag forrásánál megtett intézkedésekkel;”</w:t>
      </w:r>
    </w:p>
    <w:p w:rsidR="00774EE9" w:rsidRPr="00774EE9" w:rsidRDefault="00774EE9" w:rsidP="00774EE9">
      <w:pPr>
        <w:shd w:val="clear" w:color="auto" w:fill="FFFFFF"/>
        <w:contextualSpacing/>
        <w:jc w:val="both"/>
        <w:rPr>
          <w:bCs/>
          <w:lang w:eastAsia="en-GB"/>
        </w:rPr>
      </w:pPr>
    </w:p>
    <w:p w:rsidR="00774EE9" w:rsidRPr="00774EE9" w:rsidRDefault="00774EE9" w:rsidP="00774EE9">
      <w:pPr>
        <w:numPr>
          <w:ilvl w:val="0"/>
          <w:numId w:val="7"/>
        </w:numPr>
        <w:contextualSpacing/>
        <w:jc w:val="both"/>
        <w:rPr>
          <w:rFonts w:eastAsiaTheme="minorHAnsi"/>
          <w:lang w:eastAsia="en-US"/>
        </w:rPr>
      </w:pPr>
      <w:r w:rsidRPr="00774EE9">
        <w:rPr>
          <w:rFonts w:eastAsiaTheme="minorHAnsi"/>
          <w:lang w:eastAsia="en-US"/>
        </w:rPr>
        <w:t>Az R 2. §-a a következő 15a. és 15 b. pontokkal egészül ki:</w:t>
      </w:r>
    </w:p>
    <w:p w:rsidR="00774EE9" w:rsidRPr="00774EE9" w:rsidRDefault="00774EE9" w:rsidP="00774EE9">
      <w:pPr>
        <w:jc w:val="both"/>
        <w:rPr>
          <w:rFonts w:eastAsiaTheme="minorHAnsi"/>
          <w:lang w:eastAsia="en-US"/>
        </w:rPr>
      </w:pPr>
    </w:p>
    <w:p w:rsidR="00774EE9" w:rsidRPr="00774EE9" w:rsidRDefault="00774EE9" w:rsidP="00774EE9">
      <w:pPr>
        <w:jc w:val="both"/>
        <w:rPr>
          <w:rFonts w:eastAsiaTheme="minorHAnsi"/>
          <w:i/>
          <w:lang w:eastAsia="en-US"/>
        </w:rPr>
      </w:pPr>
      <w:r w:rsidRPr="00774EE9">
        <w:rPr>
          <w:rFonts w:eastAsiaTheme="minorHAnsi"/>
          <w:lang w:eastAsia="en-US"/>
        </w:rPr>
        <w:t>(</w:t>
      </w:r>
      <w:r w:rsidRPr="00774EE9">
        <w:rPr>
          <w:rFonts w:eastAsiaTheme="minorHAnsi"/>
          <w:i/>
          <w:lang w:eastAsia="en-US"/>
        </w:rPr>
        <w:t>E rendelet alkalmazásában)</w:t>
      </w:r>
    </w:p>
    <w:p w:rsidR="00774EE9" w:rsidRPr="00774EE9" w:rsidRDefault="00774EE9" w:rsidP="00774EE9">
      <w:pPr>
        <w:shd w:val="clear" w:color="auto" w:fill="FFFFFF"/>
        <w:jc w:val="both"/>
        <w:rPr>
          <w:lang w:eastAsia="en-GB"/>
        </w:rPr>
      </w:pPr>
    </w:p>
    <w:p w:rsidR="00774EE9" w:rsidRPr="00774EE9" w:rsidRDefault="00774EE9" w:rsidP="00774EE9">
      <w:pPr>
        <w:shd w:val="clear" w:color="auto" w:fill="FFFFFF"/>
        <w:jc w:val="both"/>
        <w:rPr>
          <w:bCs/>
          <w:lang w:eastAsia="en-GB"/>
        </w:rPr>
      </w:pPr>
      <w:r w:rsidRPr="00774EE9">
        <w:rPr>
          <w:lang w:eastAsia="en-GB"/>
        </w:rPr>
        <w:t xml:space="preserve">„15a. </w:t>
      </w:r>
      <w:r w:rsidRPr="00774EE9">
        <w:rPr>
          <w:bCs/>
          <w:i/>
          <w:lang w:eastAsia="en-GB"/>
        </w:rPr>
        <w:t>kén-dioxid vagy SO</w:t>
      </w:r>
      <w:r w:rsidRPr="00774EE9">
        <w:rPr>
          <w:bCs/>
          <w:i/>
          <w:vertAlign w:val="subscript"/>
          <w:lang w:eastAsia="en-GB"/>
        </w:rPr>
        <w:t>2</w:t>
      </w:r>
      <w:r w:rsidRPr="00774EE9">
        <w:rPr>
          <w:bCs/>
          <w:lang w:eastAsia="en-GB"/>
        </w:rPr>
        <w:t>: bármely kénvegyület kén-dioxidként kifejezve (SO</w:t>
      </w:r>
      <w:r w:rsidRPr="00774EE9">
        <w:rPr>
          <w:bCs/>
          <w:vertAlign w:val="subscript"/>
          <w:lang w:eastAsia="en-GB"/>
        </w:rPr>
        <w:t>2</w:t>
      </w:r>
      <w:r w:rsidRPr="00774EE9">
        <w:rPr>
          <w:bCs/>
          <w:lang w:eastAsia="en-GB"/>
        </w:rPr>
        <w:t>), beleértve a kén-trioxidot (SO</w:t>
      </w:r>
      <w:r w:rsidRPr="00774EE9">
        <w:rPr>
          <w:bCs/>
          <w:vertAlign w:val="subscript"/>
          <w:lang w:eastAsia="en-GB"/>
        </w:rPr>
        <w:t>3</w:t>
      </w:r>
      <w:r w:rsidRPr="00774EE9">
        <w:rPr>
          <w:bCs/>
          <w:lang w:eastAsia="en-GB"/>
        </w:rPr>
        <w:t>), a kénsavat (H</w:t>
      </w:r>
      <w:r w:rsidRPr="00774EE9">
        <w:rPr>
          <w:bCs/>
          <w:vertAlign w:val="subscript"/>
          <w:lang w:eastAsia="en-GB"/>
        </w:rPr>
        <w:t>2</w:t>
      </w:r>
      <w:r w:rsidRPr="00774EE9">
        <w:rPr>
          <w:bCs/>
          <w:lang w:eastAsia="en-GB"/>
        </w:rPr>
        <w:t>SO</w:t>
      </w:r>
      <w:r w:rsidRPr="00774EE9">
        <w:rPr>
          <w:bCs/>
          <w:vertAlign w:val="subscript"/>
          <w:lang w:eastAsia="en-GB"/>
        </w:rPr>
        <w:t>4</w:t>
      </w:r>
      <w:r w:rsidRPr="00774EE9">
        <w:rPr>
          <w:bCs/>
          <w:lang w:eastAsia="en-GB"/>
        </w:rPr>
        <w:t>), és a redukált kénvegyületeket mint például a kén-hidrogén (H</w:t>
      </w:r>
      <w:r w:rsidRPr="00774EE9">
        <w:rPr>
          <w:bCs/>
          <w:vertAlign w:val="subscript"/>
          <w:lang w:eastAsia="en-GB"/>
        </w:rPr>
        <w:t>2</w:t>
      </w:r>
      <w:r w:rsidRPr="00774EE9">
        <w:rPr>
          <w:bCs/>
          <w:lang w:eastAsia="en-GB"/>
        </w:rPr>
        <w:t>S), a merkaptánok és a dimetil-szulfidok;</w:t>
      </w:r>
    </w:p>
    <w:p w:rsidR="00774EE9" w:rsidRPr="00774EE9" w:rsidRDefault="00774EE9" w:rsidP="00774EE9">
      <w:pPr>
        <w:shd w:val="clear" w:color="auto" w:fill="FFFFFF"/>
        <w:jc w:val="both"/>
        <w:rPr>
          <w:bCs/>
          <w:lang w:eastAsia="en-GB"/>
        </w:rPr>
      </w:pPr>
      <w:r w:rsidRPr="00774EE9">
        <w:rPr>
          <w:bCs/>
          <w:lang w:eastAsia="en-GB"/>
        </w:rPr>
        <w:t xml:space="preserve">15b. </w:t>
      </w:r>
      <w:r w:rsidRPr="00774EE9">
        <w:rPr>
          <w:bCs/>
          <w:i/>
          <w:lang w:eastAsia="en-GB"/>
        </w:rPr>
        <w:t>korom</w:t>
      </w:r>
      <w:r w:rsidRPr="00774EE9">
        <w:rPr>
          <w:bCs/>
          <w:lang w:eastAsia="en-GB"/>
        </w:rPr>
        <w:t>: tiszta szénből álló por, amely elnyeli a fényt;”</w:t>
      </w:r>
    </w:p>
    <w:p w:rsidR="00774EE9" w:rsidRPr="00774EE9" w:rsidRDefault="00774EE9" w:rsidP="00774EE9">
      <w:pPr>
        <w:shd w:val="clear" w:color="auto" w:fill="FFFFFF"/>
        <w:jc w:val="both"/>
        <w:rPr>
          <w:bCs/>
          <w:lang w:eastAsia="en-GB"/>
        </w:rPr>
      </w:pPr>
    </w:p>
    <w:p w:rsidR="00774EE9" w:rsidRPr="00774EE9" w:rsidRDefault="00774EE9" w:rsidP="00774EE9">
      <w:pPr>
        <w:numPr>
          <w:ilvl w:val="0"/>
          <w:numId w:val="7"/>
        </w:numPr>
        <w:contextualSpacing/>
        <w:jc w:val="both"/>
        <w:rPr>
          <w:rFonts w:eastAsiaTheme="minorHAnsi"/>
          <w:lang w:eastAsia="en-US"/>
        </w:rPr>
      </w:pPr>
      <w:r w:rsidRPr="00774EE9">
        <w:rPr>
          <w:rFonts w:eastAsiaTheme="minorHAnsi"/>
          <w:lang w:eastAsia="en-US"/>
        </w:rPr>
        <w:t>Az R 2. §-a a következő 16a. ponttal egészül ki:</w:t>
      </w:r>
    </w:p>
    <w:p w:rsidR="00774EE9" w:rsidRPr="00774EE9" w:rsidRDefault="00774EE9" w:rsidP="00774EE9">
      <w:pPr>
        <w:ind w:left="720"/>
        <w:contextualSpacing/>
        <w:jc w:val="both"/>
        <w:rPr>
          <w:rFonts w:eastAsiaTheme="minorHAnsi"/>
          <w:lang w:eastAsia="en-US"/>
        </w:rPr>
      </w:pPr>
    </w:p>
    <w:p w:rsidR="00774EE9" w:rsidRPr="00774EE9" w:rsidRDefault="00774EE9" w:rsidP="00774EE9">
      <w:pPr>
        <w:jc w:val="both"/>
        <w:rPr>
          <w:rFonts w:eastAsiaTheme="minorHAnsi"/>
          <w:i/>
          <w:lang w:eastAsia="en-US"/>
        </w:rPr>
      </w:pPr>
      <w:r w:rsidRPr="00774EE9">
        <w:rPr>
          <w:rFonts w:eastAsiaTheme="minorHAnsi"/>
          <w:lang w:eastAsia="en-US"/>
        </w:rPr>
        <w:t>(</w:t>
      </w:r>
      <w:r w:rsidRPr="00774EE9">
        <w:rPr>
          <w:rFonts w:eastAsiaTheme="minorHAnsi"/>
          <w:i/>
          <w:lang w:eastAsia="en-US"/>
        </w:rPr>
        <w:t>E rendelet alkalmazásában)</w:t>
      </w:r>
    </w:p>
    <w:p w:rsidR="00774EE9" w:rsidRPr="00774EE9" w:rsidRDefault="00774EE9" w:rsidP="00774EE9">
      <w:pPr>
        <w:jc w:val="both"/>
        <w:rPr>
          <w:rFonts w:eastAsiaTheme="minorHAnsi"/>
          <w:i/>
          <w:lang w:eastAsia="en-US"/>
        </w:rPr>
      </w:pPr>
    </w:p>
    <w:p w:rsidR="00774EE9" w:rsidRPr="00774EE9" w:rsidRDefault="00774EE9" w:rsidP="00774EE9">
      <w:pPr>
        <w:shd w:val="clear" w:color="auto" w:fill="FFFFFF"/>
        <w:jc w:val="both"/>
        <w:rPr>
          <w:bCs/>
          <w:lang w:eastAsia="en-GB"/>
        </w:rPr>
      </w:pPr>
      <w:r w:rsidRPr="00774EE9">
        <w:rPr>
          <w:lang w:eastAsia="en-GB"/>
        </w:rPr>
        <w:t xml:space="preserve">„16a. </w:t>
      </w:r>
      <w:r w:rsidRPr="00774EE9">
        <w:rPr>
          <w:bCs/>
          <w:i/>
          <w:lang w:eastAsia="en-GB"/>
        </w:rPr>
        <w:t>le- és felszállási ciklus</w:t>
      </w:r>
      <w:r w:rsidRPr="00774EE9">
        <w:rPr>
          <w:bCs/>
          <w:lang w:eastAsia="en-GB"/>
        </w:rPr>
        <w:t>: egy légijárműnek a futópályára való ki- és az onnan való visszagurulását, a felszállást, az emelkedést, a megközelítést, a leszállást, valamint a légi jármű által 3000 láb magasság alatt végzett minden más műveletet magába foglaló ciklus;”</w:t>
      </w:r>
    </w:p>
    <w:p w:rsidR="00774EE9" w:rsidRPr="00774EE9" w:rsidRDefault="00774EE9" w:rsidP="00774EE9">
      <w:pPr>
        <w:shd w:val="clear" w:color="auto" w:fill="FFFFFF"/>
        <w:jc w:val="both"/>
        <w:rPr>
          <w:bCs/>
          <w:lang w:eastAsia="en-GB"/>
        </w:rPr>
      </w:pPr>
    </w:p>
    <w:p w:rsidR="00774EE9" w:rsidRPr="00774EE9" w:rsidRDefault="00774EE9" w:rsidP="00774EE9">
      <w:pPr>
        <w:numPr>
          <w:ilvl w:val="0"/>
          <w:numId w:val="7"/>
        </w:numPr>
        <w:contextualSpacing/>
        <w:jc w:val="both"/>
        <w:rPr>
          <w:rFonts w:eastAsiaTheme="minorHAnsi"/>
          <w:lang w:eastAsia="en-US"/>
        </w:rPr>
      </w:pPr>
      <w:r w:rsidRPr="00774EE9">
        <w:rPr>
          <w:rFonts w:eastAsiaTheme="minorHAnsi"/>
          <w:lang w:eastAsia="en-US"/>
        </w:rPr>
        <w:t>Az R 2. §-a a következő 25a. ponttal egészül ki:</w:t>
      </w:r>
    </w:p>
    <w:p w:rsidR="00774EE9" w:rsidRPr="00774EE9" w:rsidRDefault="00774EE9" w:rsidP="00774EE9">
      <w:pPr>
        <w:contextualSpacing/>
        <w:jc w:val="both"/>
        <w:rPr>
          <w:rFonts w:eastAsiaTheme="minorHAnsi"/>
          <w:lang w:eastAsia="en-US"/>
        </w:rPr>
      </w:pPr>
    </w:p>
    <w:p w:rsidR="00774EE9" w:rsidRPr="00774EE9" w:rsidRDefault="00774EE9" w:rsidP="00774EE9">
      <w:pPr>
        <w:jc w:val="both"/>
        <w:rPr>
          <w:rFonts w:eastAsiaTheme="minorHAnsi"/>
          <w:i/>
          <w:lang w:eastAsia="en-US"/>
        </w:rPr>
      </w:pPr>
      <w:r w:rsidRPr="00774EE9">
        <w:rPr>
          <w:rFonts w:eastAsiaTheme="minorHAnsi"/>
          <w:lang w:eastAsia="en-US"/>
        </w:rPr>
        <w:t>(</w:t>
      </w:r>
      <w:r w:rsidRPr="00774EE9">
        <w:rPr>
          <w:rFonts w:eastAsiaTheme="minorHAnsi"/>
          <w:i/>
          <w:lang w:eastAsia="en-US"/>
        </w:rPr>
        <w:t>E rendelet alkalmazásában)</w:t>
      </w:r>
    </w:p>
    <w:p w:rsidR="00774EE9" w:rsidRPr="00774EE9" w:rsidRDefault="00774EE9" w:rsidP="00774EE9">
      <w:pPr>
        <w:jc w:val="both"/>
        <w:rPr>
          <w:rFonts w:eastAsiaTheme="minorHAnsi"/>
          <w:i/>
          <w:lang w:eastAsia="en-US"/>
        </w:rPr>
      </w:pPr>
    </w:p>
    <w:p w:rsidR="00774EE9" w:rsidRPr="00774EE9" w:rsidRDefault="00774EE9" w:rsidP="00774EE9">
      <w:pPr>
        <w:shd w:val="clear" w:color="auto" w:fill="FFFFFF"/>
        <w:jc w:val="both"/>
        <w:rPr>
          <w:bCs/>
          <w:lang w:eastAsia="en-GB"/>
        </w:rPr>
      </w:pPr>
      <w:r w:rsidRPr="00774EE9">
        <w:rPr>
          <w:lang w:eastAsia="en-GB"/>
        </w:rPr>
        <w:t xml:space="preserve">„25a. </w:t>
      </w:r>
      <w:r w:rsidRPr="00774EE9">
        <w:rPr>
          <w:bCs/>
          <w:i/>
          <w:lang w:eastAsia="en-GB"/>
        </w:rPr>
        <w:t>levegőminőségi célkitűzések</w:t>
      </w:r>
      <w:r w:rsidRPr="00774EE9">
        <w:rPr>
          <w:bCs/>
          <w:lang w:eastAsia="en-GB"/>
        </w:rPr>
        <w:t xml:space="preserve">: a levegőterheltségi szint határértékeiről és a helyhez kötött pontforrások kibocsátási határértékeiről szóló miniszteri rendeletben meghatározott </w:t>
      </w:r>
      <w:r w:rsidRPr="00774EE9">
        <w:rPr>
          <w:bCs/>
          <w:lang w:eastAsia="en-GB"/>
        </w:rPr>
        <w:lastRenderedPageBreak/>
        <w:t>levegőterheltségi szinttel kapcsolatos határértékek, célértékek, hosszú távú célkitűzések és expozíció koncentrációra vonatkozó kötelezettségek;”</w:t>
      </w:r>
    </w:p>
    <w:p w:rsidR="00774EE9" w:rsidRPr="00774EE9" w:rsidRDefault="00774EE9" w:rsidP="00774EE9">
      <w:pPr>
        <w:shd w:val="clear" w:color="auto" w:fill="FFFFFF"/>
        <w:jc w:val="both"/>
        <w:rPr>
          <w:bCs/>
          <w:lang w:eastAsia="en-GB"/>
        </w:rPr>
      </w:pPr>
    </w:p>
    <w:p w:rsidR="00774EE9" w:rsidRPr="00774EE9" w:rsidRDefault="00774EE9" w:rsidP="00774EE9">
      <w:pPr>
        <w:numPr>
          <w:ilvl w:val="0"/>
          <w:numId w:val="7"/>
        </w:numPr>
        <w:contextualSpacing/>
        <w:jc w:val="both"/>
        <w:rPr>
          <w:rFonts w:eastAsiaTheme="minorHAnsi"/>
          <w:lang w:eastAsia="en-US"/>
        </w:rPr>
      </w:pPr>
      <w:r w:rsidRPr="00774EE9">
        <w:rPr>
          <w:rFonts w:eastAsiaTheme="minorHAnsi"/>
          <w:lang w:eastAsia="en-US"/>
        </w:rPr>
        <w:t>Az R 2. §-a a következő 29a. ponttal egészül ki:</w:t>
      </w:r>
    </w:p>
    <w:p w:rsidR="00774EE9" w:rsidRPr="00774EE9" w:rsidRDefault="00774EE9" w:rsidP="00774EE9">
      <w:pPr>
        <w:jc w:val="both"/>
        <w:rPr>
          <w:rFonts w:eastAsiaTheme="minorHAnsi"/>
          <w:lang w:eastAsia="en-US"/>
        </w:rPr>
      </w:pPr>
    </w:p>
    <w:p w:rsidR="00774EE9" w:rsidRPr="00774EE9" w:rsidRDefault="00774EE9" w:rsidP="00774EE9">
      <w:pPr>
        <w:jc w:val="both"/>
        <w:rPr>
          <w:rFonts w:eastAsiaTheme="minorHAnsi"/>
          <w:i/>
          <w:lang w:eastAsia="en-US"/>
        </w:rPr>
      </w:pPr>
      <w:r w:rsidRPr="00774EE9">
        <w:rPr>
          <w:rFonts w:eastAsiaTheme="minorHAnsi"/>
          <w:lang w:eastAsia="en-US"/>
        </w:rPr>
        <w:t>(</w:t>
      </w:r>
      <w:r w:rsidRPr="00774EE9">
        <w:rPr>
          <w:rFonts w:eastAsiaTheme="minorHAnsi"/>
          <w:i/>
          <w:lang w:eastAsia="en-US"/>
        </w:rPr>
        <w:t>E rendelet alkalmazásában)</w:t>
      </w:r>
    </w:p>
    <w:p w:rsidR="00774EE9" w:rsidRPr="00774EE9" w:rsidRDefault="00774EE9" w:rsidP="00774EE9">
      <w:pPr>
        <w:jc w:val="both"/>
        <w:rPr>
          <w:rFonts w:eastAsiaTheme="minorHAnsi"/>
          <w:i/>
          <w:lang w:eastAsia="en-US"/>
        </w:rPr>
      </w:pPr>
    </w:p>
    <w:p w:rsidR="00774EE9" w:rsidRPr="00774EE9" w:rsidRDefault="00774EE9" w:rsidP="00774EE9">
      <w:pPr>
        <w:shd w:val="clear" w:color="auto" w:fill="FFFFFF"/>
        <w:jc w:val="both"/>
        <w:rPr>
          <w:bCs/>
          <w:lang w:eastAsia="en-GB"/>
        </w:rPr>
      </w:pPr>
      <w:r w:rsidRPr="00774EE9">
        <w:rPr>
          <w:lang w:eastAsia="en-GB"/>
        </w:rPr>
        <w:t xml:space="preserve">„29a. </w:t>
      </w:r>
      <w:r w:rsidRPr="00774EE9">
        <w:rPr>
          <w:bCs/>
          <w:i/>
          <w:lang w:eastAsia="en-GB"/>
        </w:rPr>
        <w:t>metántól eltérő illékony szerves vegyületek</w:t>
      </w:r>
      <w:r w:rsidRPr="00774EE9">
        <w:rPr>
          <w:bCs/>
          <w:lang w:eastAsia="en-GB"/>
        </w:rPr>
        <w:t>: a levegőterheltségi szint határértékeiről és a helyhez kötött pontforrások kibocsátási határértékeiről szóló miniszteri rendeletben meghatározott illékony szerves vegyületek;”</w:t>
      </w:r>
    </w:p>
    <w:p w:rsidR="00774EE9" w:rsidRPr="00774EE9" w:rsidRDefault="00774EE9" w:rsidP="00774EE9">
      <w:pPr>
        <w:shd w:val="clear" w:color="auto" w:fill="FFFFFF"/>
        <w:jc w:val="both"/>
        <w:rPr>
          <w:bCs/>
          <w:lang w:eastAsia="en-GB"/>
        </w:rPr>
      </w:pPr>
    </w:p>
    <w:p w:rsidR="00774EE9" w:rsidRPr="00774EE9" w:rsidRDefault="00774EE9" w:rsidP="00774EE9">
      <w:pPr>
        <w:numPr>
          <w:ilvl w:val="0"/>
          <w:numId w:val="7"/>
        </w:numPr>
        <w:contextualSpacing/>
        <w:jc w:val="both"/>
        <w:rPr>
          <w:rFonts w:eastAsiaTheme="minorHAnsi"/>
          <w:lang w:eastAsia="en-US"/>
        </w:rPr>
      </w:pPr>
      <w:r w:rsidRPr="00774EE9">
        <w:rPr>
          <w:rFonts w:eastAsiaTheme="minorHAnsi"/>
          <w:lang w:eastAsia="en-US"/>
        </w:rPr>
        <w:t>Az R 2. §-a a következő 31a. ponttal egészül ki:</w:t>
      </w:r>
    </w:p>
    <w:p w:rsidR="00774EE9" w:rsidRPr="00774EE9" w:rsidRDefault="00774EE9" w:rsidP="00774EE9">
      <w:pPr>
        <w:contextualSpacing/>
        <w:jc w:val="both"/>
        <w:rPr>
          <w:rFonts w:eastAsiaTheme="minorHAnsi"/>
          <w:lang w:eastAsia="en-US"/>
        </w:rPr>
      </w:pPr>
    </w:p>
    <w:p w:rsidR="00774EE9" w:rsidRPr="00774EE9" w:rsidRDefault="00774EE9" w:rsidP="00774EE9">
      <w:pPr>
        <w:jc w:val="both"/>
        <w:rPr>
          <w:rFonts w:eastAsiaTheme="minorHAnsi"/>
          <w:i/>
          <w:lang w:eastAsia="en-US"/>
        </w:rPr>
      </w:pPr>
      <w:r w:rsidRPr="00774EE9">
        <w:rPr>
          <w:rFonts w:eastAsiaTheme="minorHAnsi"/>
          <w:lang w:eastAsia="en-US"/>
        </w:rPr>
        <w:t>(</w:t>
      </w:r>
      <w:r w:rsidRPr="00774EE9">
        <w:rPr>
          <w:rFonts w:eastAsiaTheme="minorHAnsi"/>
          <w:i/>
          <w:lang w:eastAsia="en-US"/>
        </w:rPr>
        <w:t>E rendelet alkalmazásában)</w:t>
      </w:r>
    </w:p>
    <w:p w:rsidR="00774EE9" w:rsidRPr="00774EE9" w:rsidRDefault="00774EE9" w:rsidP="00774EE9">
      <w:pPr>
        <w:jc w:val="both"/>
        <w:rPr>
          <w:rFonts w:eastAsiaTheme="minorHAnsi"/>
          <w:i/>
          <w:lang w:eastAsia="en-US"/>
        </w:rPr>
      </w:pPr>
    </w:p>
    <w:p w:rsidR="00774EE9" w:rsidRPr="00774EE9" w:rsidRDefault="00774EE9" w:rsidP="00774EE9">
      <w:pPr>
        <w:shd w:val="clear" w:color="auto" w:fill="FFFFFF"/>
        <w:jc w:val="both"/>
        <w:rPr>
          <w:bCs/>
          <w:lang w:eastAsia="en-GB"/>
        </w:rPr>
      </w:pPr>
      <w:r w:rsidRPr="00774EE9">
        <w:rPr>
          <w:lang w:eastAsia="en-GB"/>
        </w:rPr>
        <w:t xml:space="preserve">„31a. </w:t>
      </w:r>
      <w:r w:rsidRPr="00774EE9">
        <w:rPr>
          <w:bCs/>
          <w:i/>
          <w:lang w:eastAsia="en-GB"/>
        </w:rPr>
        <w:t>országos légszennyezőanyag kibocsátás</w:t>
      </w:r>
      <w:r w:rsidRPr="00774EE9">
        <w:rPr>
          <w:bCs/>
          <w:lang w:eastAsia="en-GB"/>
        </w:rPr>
        <w:t>-</w:t>
      </w:r>
      <w:r w:rsidRPr="00774EE9">
        <w:rPr>
          <w:bCs/>
          <w:i/>
          <w:lang w:eastAsia="en-GB"/>
        </w:rPr>
        <w:t>csökkentési kötelezettség</w:t>
      </w:r>
      <w:r w:rsidRPr="00774EE9">
        <w:rPr>
          <w:bCs/>
          <w:lang w:eastAsia="en-GB"/>
        </w:rPr>
        <w:t>: valamely anyag kibocsátásának csökkentésre vonatkozó kötelezettség, amely meghatározza a tárgyévben minimálisan elérendő kibocsátás csökkentést az adott szennyezőanyag 2005. évi összes kibocsátásának %-ban kifejezve;”</w:t>
      </w:r>
    </w:p>
    <w:p w:rsidR="00774EE9" w:rsidRPr="00774EE9" w:rsidRDefault="00774EE9" w:rsidP="00774EE9">
      <w:pPr>
        <w:shd w:val="clear" w:color="auto" w:fill="FFFFFF"/>
        <w:jc w:val="both"/>
        <w:rPr>
          <w:bCs/>
          <w:lang w:eastAsia="en-GB"/>
        </w:rPr>
      </w:pPr>
    </w:p>
    <w:p w:rsidR="00774EE9" w:rsidRPr="00774EE9" w:rsidRDefault="00774EE9" w:rsidP="00774EE9">
      <w:pPr>
        <w:numPr>
          <w:ilvl w:val="0"/>
          <w:numId w:val="7"/>
        </w:numPr>
        <w:contextualSpacing/>
        <w:jc w:val="both"/>
        <w:rPr>
          <w:rFonts w:eastAsiaTheme="minorHAnsi"/>
          <w:lang w:eastAsia="en-US"/>
        </w:rPr>
      </w:pPr>
      <w:r w:rsidRPr="00774EE9">
        <w:rPr>
          <w:rFonts w:eastAsiaTheme="minorHAnsi"/>
          <w:lang w:eastAsia="en-US"/>
        </w:rPr>
        <w:t>Az R 2. §-a a következő 32a. és 32b. pontokkal egészül ki:</w:t>
      </w:r>
    </w:p>
    <w:p w:rsidR="00774EE9" w:rsidRPr="00774EE9" w:rsidRDefault="00774EE9" w:rsidP="00774EE9">
      <w:pPr>
        <w:contextualSpacing/>
        <w:jc w:val="both"/>
        <w:rPr>
          <w:rFonts w:eastAsiaTheme="minorHAnsi"/>
          <w:lang w:eastAsia="en-US"/>
        </w:rPr>
      </w:pPr>
    </w:p>
    <w:p w:rsidR="00774EE9" w:rsidRPr="00774EE9" w:rsidRDefault="00774EE9" w:rsidP="00774EE9">
      <w:pPr>
        <w:jc w:val="both"/>
        <w:rPr>
          <w:rFonts w:eastAsiaTheme="minorHAnsi"/>
          <w:i/>
          <w:lang w:eastAsia="en-US"/>
        </w:rPr>
      </w:pPr>
      <w:r w:rsidRPr="00774EE9">
        <w:rPr>
          <w:rFonts w:eastAsiaTheme="minorHAnsi"/>
          <w:lang w:eastAsia="en-US"/>
        </w:rPr>
        <w:t>(</w:t>
      </w:r>
      <w:r w:rsidRPr="00774EE9">
        <w:rPr>
          <w:rFonts w:eastAsiaTheme="minorHAnsi"/>
          <w:i/>
          <w:lang w:eastAsia="en-US"/>
        </w:rPr>
        <w:t>E rendelet alkalmazásában)</w:t>
      </w:r>
    </w:p>
    <w:p w:rsidR="00774EE9" w:rsidRPr="00774EE9" w:rsidRDefault="00774EE9" w:rsidP="00774EE9">
      <w:pPr>
        <w:shd w:val="clear" w:color="auto" w:fill="FFFFFF"/>
        <w:jc w:val="both"/>
        <w:rPr>
          <w:lang w:eastAsia="en-GB"/>
        </w:rPr>
      </w:pPr>
    </w:p>
    <w:p w:rsidR="00774EE9" w:rsidRPr="00774EE9" w:rsidRDefault="00774EE9" w:rsidP="00774EE9">
      <w:pPr>
        <w:shd w:val="clear" w:color="auto" w:fill="FFFFFF"/>
        <w:jc w:val="both"/>
        <w:rPr>
          <w:bCs/>
          <w:lang w:eastAsia="en-GB"/>
        </w:rPr>
      </w:pPr>
      <w:r w:rsidRPr="00774EE9">
        <w:rPr>
          <w:lang w:eastAsia="en-GB"/>
        </w:rPr>
        <w:t xml:space="preserve">„32a. </w:t>
      </w:r>
      <w:r w:rsidRPr="00774EE9">
        <w:rPr>
          <w:bCs/>
          <w:i/>
          <w:lang w:eastAsia="en-GB"/>
        </w:rPr>
        <w:t>országos összkibocsátási határérték:</w:t>
      </w:r>
      <w:r w:rsidRPr="00774EE9">
        <w:rPr>
          <w:bCs/>
          <w:lang w:eastAsia="en-GB"/>
        </w:rPr>
        <w:t xml:space="preserve"> egy légszennyezőanyagnak az ország területén egy naptári évben maximálisan kibocsátható mennyisége kilótonnában (kt/év) kifejezve;</w:t>
      </w:r>
    </w:p>
    <w:p w:rsidR="00774EE9" w:rsidRPr="00774EE9" w:rsidRDefault="00774EE9" w:rsidP="00774EE9">
      <w:pPr>
        <w:shd w:val="clear" w:color="auto" w:fill="FFFFFF"/>
        <w:jc w:val="both"/>
        <w:rPr>
          <w:bCs/>
          <w:lang w:eastAsia="en-GB"/>
        </w:rPr>
      </w:pPr>
      <w:r w:rsidRPr="00774EE9">
        <w:rPr>
          <w:bCs/>
          <w:lang w:eastAsia="en-GB"/>
        </w:rPr>
        <w:t xml:space="preserve">32b. </w:t>
      </w:r>
      <w:r w:rsidRPr="00774EE9">
        <w:rPr>
          <w:bCs/>
          <w:i/>
          <w:lang w:eastAsia="en-GB"/>
        </w:rPr>
        <w:t>ózon prekurzorok</w:t>
      </w:r>
      <w:r w:rsidRPr="00774EE9">
        <w:rPr>
          <w:bCs/>
          <w:lang w:eastAsia="en-GB"/>
        </w:rPr>
        <w:t>: nitrogén-oxidok, metántól eltérő illékony szerves vegyületek (a továbbiakban: NMVOC), metán és szén-monoxid;”</w:t>
      </w:r>
    </w:p>
    <w:p w:rsidR="00774EE9" w:rsidRPr="00774EE9" w:rsidRDefault="00774EE9" w:rsidP="00774EE9">
      <w:pPr>
        <w:shd w:val="clear" w:color="auto" w:fill="FFFFFF"/>
        <w:jc w:val="both"/>
        <w:rPr>
          <w:bCs/>
          <w:lang w:eastAsia="en-GB"/>
        </w:rPr>
      </w:pPr>
    </w:p>
    <w:p w:rsidR="00774EE9" w:rsidRPr="00774EE9" w:rsidRDefault="00774EE9" w:rsidP="00774EE9">
      <w:pPr>
        <w:numPr>
          <w:ilvl w:val="0"/>
          <w:numId w:val="7"/>
        </w:numPr>
        <w:contextualSpacing/>
        <w:jc w:val="both"/>
        <w:rPr>
          <w:rFonts w:eastAsiaTheme="minorHAnsi"/>
          <w:lang w:eastAsia="en-US"/>
        </w:rPr>
      </w:pPr>
      <w:r w:rsidRPr="00774EE9">
        <w:rPr>
          <w:rFonts w:eastAsiaTheme="minorHAnsi"/>
          <w:lang w:eastAsia="en-US"/>
        </w:rPr>
        <w:t>Az R 2. §-a a következő 34b. és 34c. pontokkal egészül ki</w:t>
      </w:r>
    </w:p>
    <w:p w:rsidR="00774EE9" w:rsidRPr="00774EE9" w:rsidRDefault="00774EE9" w:rsidP="00774EE9">
      <w:pPr>
        <w:jc w:val="both"/>
        <w:rPr>
          <w:rFonts w:eastAsiaTheme="minorHAnsi"/>
          <w:lang w:eastAsia="en-US"/>
        </w:rPr>
      </w:pPr>
    </w:p>
    <w:p w:rsidR="00774EE9" w:rsidRPr="00774EE9" w:rsidRDefault="00774EE9" w:rsidP="00774EE9">
      <w:pPr>
        <w:jc w:val="both"/>
        <w:rPr>
          <w:rFonts w:eastAsiaTheme="minorHAnsi"/>
          <w:i/>
          <w:lang w:eastAsia="en-US"/>
        </w:rPr>
      </w:pPr>
      <w:r w:rsidRPr="00774EE9">
        <w:rPr>
          <w:rFonts w:eastAsiaTheme="minorHAnsi"/>
          <w:lang w:eastAsia="en-US"/>
        </w:rPr>
        <w:t>(</w:t>
      </w:r>
      <w:r w:rsidRPr="00774EE9">
        <w:rPr>
          <w:rFonts w:eastAsiaTheme="minorHAnsi"/>
          <w:i/>
          <w:lang w:eastAsia="en-US"/>
        </w:rPr>
        <w:t>E rendelet alkalmazásában)</w:t>
      </w:r>
    </w:p>
    <w:p w:rsidR="00774EE9" w:rsidRPr="00774EE9" w:rsidRDefault="00774EE9" w:rsidP="00774EE9">
      <w:pPr>
        <w:autoSpaceDE w:val="0"/>
        <w:autoSpaceDN w:val="0"/>
        <w:adjustRightInd w:val="0"/>
        <w:jc w:val="both"/>
        <w:rPr>
          <w:rFonts w:eastAsia="Calibri"/>
        </w:rPr>
      </w:pPr>
    </w:p>
    <w:p w:rsidR="00774EE9" w:rsidRPr="00774EE9" w:rsidRDefault="00774EE9" w:rsidP="00774EE9">
      <w:pPr>
        <w:autoSpaceDE w:val="0"/>
        <w:autoSpaceDN w:val="0"/>
        <w:adjustRightInd w:val="0"/>
        <w:jc w:val="both"/>
        <w:rPr>
          <w:rFonts w:eastAsia="Calibri"/>
        </w:rPr>
      </w:pPr>
      <w:r w:rsidRPr="00774EE9">
        <w:rPr>
          <w:rFonts w:eastAsia="Calibri"/>
        </w:rPr>
        <w:t>„34b</w:t>
      </w:r>
      <w:r w:rsidRPr="00774EE9">
        <w:rPr>
          <w:rFonts w:eastAsia="Calibri"/>
          <w:i/>
        </w:rPr>
        <w:t>. reaktív nitrogén:</w:t>
      </w:r>
      <w:r w:rsidRPr="00774EE9">
        <w:rPr>
          <w:rFonts w:eastAsia="Calibri"/>
        </w:rPr>
        <w:t xml:space="preserve"> az ammónia, dinitrogén-oxid, ammónium, nitrátok és nitritek;</w:t>
      </w:r>
    </w:p>
    <w:p w:rsidR="00774EE9" w:rsidRPr="00774EE9" w:rsidRDefault="00774EE9" w:rsidP="00774EE9">
      <w:pPr>
        <w:autoSpaceDE w:val="0"/>
        <w:autoSpaceDN w:val="0"/>
        <w:adjustRightInd w:val="0"/>
        <w:jc w:val="both"/>
        <w:rPr>
          <w:rFonts w:eastAsia="Calibri"/>
        </w:rPr>
      </w:pPr>
      <w:r w:rsidRPr="00774EE9">
        <w:rPr>
          <w:rFonts w:eastAsia="Calibri"/>
        </w:rPr>
        <w:t xml:space="preserve">34c. </w:t>
      </w:r>
      <w:r w:rsidRPr="00774EE9">
        <w:rPr>
          <w:rFonts w:eastAsia="Calibri"/>
          <w:i/>
        </w:rPr>
        <w:t>releváns tervek és programok:</w:t>
      </w:r>
      <w:r w:rsidRPr="00774EE9">
        <w:rPr>
          <w:rFonts w:eastAsia="Calibri"/>
        </w:rPr>
        <w:t xml:space="preserve"> terv illetve program, amely a tervezési hierarchiában elfoglalt helyéből következően a vizsgált terv, illetve program számára előírásokat, szempontokat tartalmaz, vagy más módon hatással lehet a terv illetve program megvalósítására, vagy a vizsgált terv illetve program befolyásolja a másik terv, illetve program megvalósulását.”</w:t>
      </w:r>
    </w:p>
    <w:p w:rsidR="00774EE9" w:rsidRPr="00774EE9" w:rsidRDefault="00774EE9" w:rsidP="00774EE9">
      <w:pPr>
        <w:autoSpaceDE w:val="0"/>
        <w:autoSpaceDN w:val="0"/>
        <w:adjustRightInd w:val="0"/>
        <w:jc w:val="both"/>
        <w:rPr>
          <w:rFonts w:eastAsia="Calibri"/>
        </w:rPr>
      </w:pPr>
    </w:p>
    <w:p w:rsidR="00774EE9" w:rsidRPr="00774EE9" w:rsidRDefault="00774EE9" w:rsidP="00774EE9">
      <w:pPr>
        <w:numPr>
          <w:ilvl w:val="0"/>
          <w:numId w:val="1"/>
        </w:numPr>
        <w:spacing w:after="200" w:line="276" w:lineRule="auto"/>
        <w:contextualSpacing/>
        <w:jc w:val="center"/>
        <w:rPr>
          <w:rFonts w:eastAsiaTheme="minorHAnsi"/>
          <w:b/>
          <w:bCs/>
          <w:lang w:eastAsia="en-US"/>
        </w:rPr>
      </w:pPr>
      <w:r w:rsidRPr="00774EE9">
        <w:rPr>
          <w:rFonts w:eastAsiaTheme="minorHAnsi"/>
          <w:b/>
          <w:bCs/>
          <w:lang w:eastAsia="en-US"/>
        </w:rPr>
        <w:t>§</w:t>
      </w:r>
    </w:p>
    <w:p w:rsidR="00774EE9" w:rsidRPr="00774EE9" w:rsidRDefault="00774EE9" w:rsidP="00774EE9">
      <w:pPr>
        <w:jc w:val="both"/>
        <w:rPr>
          <w:rFonts w:eastAsiaTheme="minorHAnsi"/>
          <w:lang w:eastAsia="en-US"/>
        </w:rPr>
      </w:pPr>
    </w:p>
    <w:p w:rsidR="00774EE9" w:rsidRPr="00774EE9" w:rsidRDefault="00774EE9" w:rsidP="00774EE9">
      <w:pPr>
        <w:jc w:val="both"/>
        <w:rPr>
          <w:rFonts w:eastAsiaTheme="minorHAnsi"/>
          <w:lang w:eastAsia="en-US"/>
        </w:rPr>
      </w:pPr>
      <w:r w:rsidRPr="00774EE9">
        <w:rPr>
          <w:rFonts w:eastAsiaTheme="minorHAnsi"/>
          <w:lang w:eastAsia="en-US"/>
        </w:rPr>
        <w:t>Az R III. fejezete a következő 12/A., 12/B. és 12/C. alcímekkel egészül ki:</w:t>
      </w:r>
    </w:p>
    <w:p w:rsidR="00774EE9" w:rsidRPr="00774EE9" w:rsidRDefault="00774EE9" w:rsidP="00774EE9">
      <w:pPr>
        <w:shd w:val="clear" w:color="auto" w:fill="FFFFFF"/>
        <w:spacing w:before="100" w:beforeAutospacing="1" w:after="75"/>
        <w:jc w:val="center"/>
        <w:outlineLvl w:val="2"/>
        <w:rPr>
          <w:b/>
          <w:bCs/>
          <w:lang w:eastAsia="en-GB"/>
        </w:rPr>
      </w:pPr>
      <w:r w:rsidRPr="00774EE9">
        <w:rPr>
          <w:b/>
          <w:bCs/>
          <w:lang w:eastAsia="en-GB"/>
        </w:rPr>
        <w:t>„12/A. Országos légszennyezőanyag kibocsátás-csökkentési kötelezettségek</w:t>
      </w:r>
    </w:p>
    <w:p w:rsidR="00774EE9" w:rsidRPr="00774EE9" w:rsidRDefault="00774EE9" w:rsidP="00774EE9">
      <w:pPr>
        <w:jc w:val="both"/>
        <w:rPr>
          <w:rFonts w:eastAsiaTheme="minorHAnsi"/>
          <w:lang w:eastAsia="en-US"/>
        </w:rPr>
      </w:pPr>
    </w:p>
    <w:p w:rsidR="00774EE9" w:rsidRPr="00774EE9" w:rsidRDefault="00774EE9" w:rsidP="00774EE9">
      <w:pPr>
        <w:jc w:val="both"/>
        <w:rPr>
          <w:rFonts w:eastAsiaTheme="minorHAnsi"/>
          <w:lang w:eastAsia="en-US"/>
        </w:rPr>
      </w:pPr>
      <w:r w:rsidRPr="00774EE9">
        <w:rPr>
          <w:rFonts w:eastAsiaTheme="minorHAnsi"/>
          <w:lang w:eastAsia="en-US"/>
        </w:rPr>
        <w:t>21/A. § (1) Az országos</w:t>
      </w:r>
      <w:r w:rsidRPr="00774EE9">
        <w:t xml:space="preserve"> </w:t>
      </w:r>
      <w:r w:rsidRPr="00774EE9">
        <w:rPr>
          <w:rFonts w:eastAsiaTheme="minorHAnsi"/>
          <w:lang w:eastAsia="en-US"/>
        </w:rPr>
        <w:t>légszennyezőanyag kibocsátás-csökkentési kötelezettséget a kén-dioxid, a nitrogén-oxidok, a NMVOC, az ammónia és a PM</w:t>
      </w:r>
      <w:r w:rsidRPr="00774EE9">
        <w:rPr>
          <w:rFonts w:eastAsiaTheme="minorHAnsi"/>
          <w:vertAlign w:val="subscript"/>
          <w:lang w:eastAsia="en-US"/>
        </w:rPr>
        <w:t>2,5</w:t>
      </w:r>
      <w:r w:rsidRPr="00774EE9">
        <w:rPr>
          <w:rFonts w:eastAsiaTheme="minorHAnsi"/>
          <w:lang w:eastAsia="en-US"/>
        </w:rPr>
        <w:t xml:space="preserve"> kibocsátásokra az 10. melléklet tartalmazza.</w:t>
      </w:r>
    </w:p>
    <w:p w:rsidR="00774EE9" w:rsidRPr="00774EE9" w:rsidRDefault="00774EE9" w:rsidP="00774EE9">
      <w:pPr>
        <w:jc w:val="both"/>
        <w:rPr>
          <w:rFonts w:eastAsiaTheme="minorHAnsi"/>
          <w:lang w:eastAsia="en-US"/>
        </w:rPr>
      </w:pPr>
      <w:r w:rsidRPr="00774EE9">
        <w:rPr>
          <w:rFonts w:eastAsiaTheme="minorHAnsi"/>
          <w:lang w:eastAsia="en-US"/>
        </w:rPr>
        <w:lastRenderedPageBreak/>
        <w:t>(2) A kén-dioxid, nitrogén-oxidok, a NMVOC, ammónia és PM</w:t>
      </w:r>
      <w:r w:rsidRPr="00774EE9">
        <w:rPr>
          <w:rFonts w:eastAsiaTheme="minorHAnsi"/>
          <w:vertAlign w:val="subscript"/>
          <w:lang w:eastAsia="en-US"/>
        </w:rPr>
        <w:t>2,5</w:t>
      </w:r>
      <w:r w:rsidRPr="00774EE9">
        <w:rPr>
          <w:rFonts w:eastAsiaTheme="minorHAnsi"/>
          <w:lang w:eastAsia="en-US"/>
        </w:rPr>
        <w:t xml:space="preserve"> kibocsátásokra vonatkozó 2025-re tervezett indikatív kibocsátás csökkentési szintet a 2020-ra és 2030-ra vonatkozó országos légszennyezőanyag kibocsátás csökkentési kötelezettségekből lineáris csökkentési pályát feltételezve kell meghatározni.</w:t>
      </w:r>
    </w:p>
    <w:p w:rsidR="00774EE9" w:rsidRPr="00774EE9" w:rsidRDefault="00774EE9" w:rsidP="00774EE9">
      <w:pPr>
        <w:jc w:val="both"/>
        <w:rPr>
          <w:rFonts w:eastAsiaTheme="minorHAnsi"/>
          <w:lang w:eastAsia="en-US"/>
        </w:rPr>
      </w:pPr>
      <w:r w:rsidRPr="00774EE9">
        <w:rPr>
          <w:rFonts w:eastAsiaTheme="minorHAnsi"/>
          <w:lang w:eastAsia="en-US"/>
        </w:rPr>
        <w:t>(3) A kibocsátásokra vonatkozó 2025-re tervezett indikatív kibocsátás csökkentési szintet a (2) bekezdéstől eltérően is meg lehet határozni, ha az gazdasági és műszaki szempontból hatékonyabb, 2025-től megközelíti a lineáris csökkentési pályát és nem veszélyezteti a 2030-ra vonatkozó országos kibocsátás-csökkentési cél elérését.</w:t>
      </w:r>
    </w:p>
    <w:p w:rsidR="00774EE9" w:rsidRPr="00774EE9" w:rsidRDefault="00774EE9" w:rsidP="00774EE9">
      <w:pPr>
        <w:jc w:val="both"/>
        <w:rPr>
          <w:rFonts w:eastAsiaTheme="minorHAnsi"/>
          <w:lang w:eastAsia="en-US"/>
        </w:rPr>
      </w:pPr>
      <w:r w:rsidRPr="00774EE9">
        <w:rPr>
          <w:rFonts w:eastAsiaTheme="minorHAnsi"/>
          <w:lang w:eastAsia="en-US"/>
        </w:rPr>
        <w:t>(4) A (3) bekezdés alkalmazása esetén az Országos Levegőterhelés-csökkentési Programban meg kell határozni a nem lineáris kibocsátás-csökkentési pályát és alkalmazásának indokait.</w:t>
      </w:r>
    </w:p>
    <w:p w:rsidR="00774EE9" w:rsidRPr="00774EE9" w:rsidRDefault="00774EE9" w:rsidP="00774EE9">
      <w:pPr>
        <w:jc w:val="both"/>
        <w:rPr>
          <w:rFonts w:eastAsiaTheme="minorHAnsi"/>
          <w:lang w:eastAsia="en-US"/>
        </w:rPr>
      </w:pPr>
    </w:p>
    <w:p w:rsidR="00774EE9" w:rsidRPr="00774EE9" w:rsidRDefault="00774EE9" w:rsidP="00774EE9">
      <w:pPr>
        <w:spacing w:after="200" w:line="276" w:lineRule="auto"/>
        <w:jc w:val="both"/>
        <w:rPr>
          <w:rFonts w:eastAsiaTheme="minorHAnsi"/>
          <w:lang w:eastAsia="en-US"/>
        </w:rPr>
      </w:pPr>
      <w:r w:rsidRPr="00774EE9">
        <w:rPr>
          <w:rFonts w:eastAsiaTheme="minorHAnsi"/>
          <w:lang w:eastAsia="en-US"/>
        </w:rPr>
        <w:t>21/B. § A 21/A.§ (1) és (2) bekezdésében szereplő kibocsátás-csökkentési kötelezettségeknek való megfelelés értékelésekor nem kell figyelembe venni</w:t>
      </w:r>
    </w:p>
    <w:p w:rsidR="00774EE9" w:rsidRPr="00774EE9" w:rsidRDefault="00774EE9" w:rsidP="00774EE9">
      <w:pPr>
        <w:jc w:val="both"/>
        <w:rPr>
          <w:rFonts w:eastAsiaTheme="minorHAnsi"/>
          <w:lang w:eastAsia="en-US"/>
        </w:rPr>
      </w:pPr>
      <w:r w:rsidRPr="00774EE9">
        <w:rPr>
          <w:rFonts w:eastAsiaTheme="minorHAnsi"/>
          <w:lang w:eastAsia="en-US"/>
        </w:rPr>
        <w:t>a) a repülőgépek le- és felszállási ciklusán kívüli,</w:t>
      </w:r>
    </w:p>
    <w:p w:rsidR="00774EE9" w:rsidRPr="00774EE9" w:rsidRDefault="00774EE9" w:rsidP="00774EE9">
      <w:pPr>
        <w:jc w:val="both"/>
        <w:rPr>
          <w:rFonts w:eastAsiaTheme="minorHAnsi"/>
          <w:lang w:eastAsia="en-US"/>
        </w:rPr>
      </w:pPr>
      <w:r w:rsidRPr="00774EE9">
        <w:rPr>
          <w:rFonts w:eastAsiaTheme="minorHAnsi"/>
          <w:lang w:eastAsia="en-US"/>
        </w:rPr>
        <w:t xml:space="preserve">b) a nagy távolságra jutó, országhatárokon átterjedő levegőszennyezésről szóló 1979. évi Genfi Egyezmény (a továbbiakban: LRTAP) keretében elfogadott nomenklatúra 3B (trágyakezelés) és 3D (mezőgazdasági talajok) kategóriákban meghatározott tevékenységekből eredő nitrogén-oxid és NMVOC </w:t>
      </w:r>
    </w:p>
    <w:p w:rsidR="00774EE9" w:rsidRPr="00774EE9" w:rsidRDefault="00774EE9" w:rsidP="00774EE9">
      <w:pPr>
        <w:jc w:val="both"/>
        <w:rPr>
          <w:rFonts w:eastAsiaTheme="minorHAnsi"/>
          <w:lang w:eastAsia="en-US"/>
        </w:rPr>
      </w:pPr>
      <w:r w:rsidRPr="00774EE9">
        <w:rPr>
          <w:rFonts w:eastAsiaTheme="minorHAnsi"/>
          <w:lang w:eastAsia="en-US"/>
        </w:rPr>
        <w:t>kibocsátásokat.</w:t>
      </w:r>
    </w:p>
    <w:p w:rsidR="00774EE9" w:rsidRPr="00774EE9" w:rsidRDefault="00774EE9" w:rsidP="00774EE9">
      <w:pPr>
        <w:jc w:val="both"/>
        <w:rPr>
          <w:rFonts w:eastAsiaTheme="minorHAnsi"/>
          <w:lang w:eastAsia="en-US"/>
        </w:rPr>
      </w:pPr>
    </w:p>
    <w:p w:rsidR="00774EE9" w:rsidRPr="00774EE9" w:rsidRDefault="00774EE9" w:rsidP="00774EE9">
      <w:pPr>
        <w:jc w:val="center"/>
        <w:rPr>
          <w:rFonts w:eastAsiaTheme="minorHAnsi"/>
          <w:b/>
          <w:bCs/>
          <w:lang w:eastAsia="en-US"/>
        </w:rPr>
      </w:pPr>
      <w:r w:rsidRPr="00774EE9">
        <w:rPr>
          <w:rFonts w:eastAsiaTheme="minorHAnsi"/>
          <w:b/>
          <w:bCs/>
          <w:lang w:eastAsia="en-US"/>
        </w:rPr>
        <w:t>12/B. Az országos légszennyezőanyag kibocsátás</w:t>
      </w:r>
      <w:r w:rsidRPr="00774EE9">
        <w:rPr>
          <w:rFonts w:eastAsiaTheme="minorHAnsi"/>
          <w:bCs/>
          <w:lang w:eastAsia="en-US"/>
        </w:rPr>
        <w:t>-</w:t>
      </w:r>
      <w:r w:rsidRPr="00774EE9">
        <w:rPr>
          <w:rFonts w:eastAsiaTheme="minorHAnsi"/>
          <w:b/>
          <w:bCs/>
          <w:lang w:eastAsia="en-US"/>
        </w:rPr>
        <w:t>csökkentési kötelezettségek teljesítésének értékelésénél alkalmazható eltérések</w:t>
      </w:r>
    </w:p>
    <w:p w:rsidR="00774EE9" w:rsidRPr="00774EE9" w:rsidRDefault="00774EE9" w:rsidP="00774EE9">
      <w:pPr>
        <w:jc w:val="both"/>
        <w:rPr>
          <w:rFonts w:eastAsiaTheme="minorHAnsi"/>
          <w:lang w:eastAsia="en-US"/>
        </w:rPr>
      </w:pPr>
    </w:p>
    <w:p w:rsidR="00774EE9" w:rsidRPr="00774EE9" w:rsidRDefault="00774EE9" w:rsidP="00774EE9">
      <w:pPr>
        <w:jc w:val="both"/>
        <w:rPr>
          <w:rFonts w:eastAsiaTheme="minorHAnsi"/>
          <w:lang w:eastAsia="en-US"/>
        </w:rPr>
      </w:pPr>
      <w:r w:rsidRPr="00774EE9">
        <w:rPr>
          <w:rFonts w:eastAsiaTheme="minorHAnsi"/>
          <w:lang w:eastAsia="en-US"/>
        </w:rPr>
        <w:t>21/C. § (1) A kén-dioxid, a nitrogén-oxidok, az NMVOC, az ammónia és a PM</w:t>
      </w:r>
      <w:r w:rsidRPr="00774EE9">
        <w:rPr>
          <w:rFonts w:eastAsiaTheme="minorHAnsi"/>
          <w:vertAlign w:val="subscript"/>
          <w:lang w:eastAsia="en-US"/>
        </w:rPr>
        <w:t>2,5</w:t>
      </w:r>
      <w:r w:rsidRPr="00774EE9">
        <w:rPr>
          <w:rFonts w:eastAsiaTheme="minorHAnsi"/>
          <w:lang w:eastAsia="en-US"/>
        </w:rPr>
        <w:t xml:space="preserve"> kibocsátásra vonatkozó éves országos emisszió kataszterek a 12. melléklet 4. pontjával összhangban kiigazíthatók, amennyiben az országos légszennyezőanyag kibocsátás-csökkentési kötelezettség az emisszió kataszter összeállításához alkalmazott javított, tudományos ismeretek alapján aktualizált új módszer miatt nem teljesül. A kiigazított emisszió kataszterhez csatolni kell az e rendelet 12. mellékletének 4. pontjában foglalt igazoló dokumentumokat.</w:t>
      </w:r>
    </w:p>
    <w:p w:rsidR="00774EE9" w:rsidRPr="00774EE9" w:rsidRDefault="00774EE9" w:rsidP="00774EE9">
      <w:pPr>
        <w:jc w:val="both"/>
        <w:rPr>
          <w:rFonts w:eastAsiaTheme="minorHAnsi"/>
          <w:lang w:eastAsia="en-US"/>
        </w:rPr>
      </w:pPr>
      <w:r w:rsidRPr="00774EE9">
        <w:rPr>
          <w:rFonts w:eastAsiaTheme="minorHAnsi"/>
          <w:lang w:eastAsia="en-US"/>
        </w:rPr>
        <w:t>(2) Annak megállapítása céljából, hogy a 12. melléklet 4. pontjában foglalt feltételek teljesülnek-e, a 2020-tól 2029-ig terjedő időszak éveire vonatkozó légszennyezőanyag kibocsátás csökkentési kötelezettségek keletkezési idejének 2012. május 4-ét kell tekinteni.</w:t>
      </w:r>
    </w:p>
    <w:p w:rsidR="00774EE9" w:rsidRPr="00774EE9" w:rsidRDefault="00774EE9" w:rsidP="00774EE9">
      <w:pPr>
        <w:jc w:val="both"/>
        <w:rPr>
          <w:rFonts w:eastAsiaTheme="minorHAnsi"/>
          <w:lang w:eastAsia="en-US"/>
        </w:rPr>
      </w:pPr>
      <w:r w:rsidRPr="00774EE9">
        <w:rPr>
          <w:rFonts w:eastAsiaTheme="minorHAnsi"/>
          <w:lang w:eastAsia="en-US"/>
        </w:rPr>
        <w:t xml:space="preserve">(3) Ha a kibocsátási tényezőkre vonatkozó kiigazítások vagy az egyes forrás-kategóriákból származó értékek meghatározásához alkalmazott módszerek jelentősen eltérnek a forrásoldali levegőterhelés-csökkentésére vonatkozó uniós jogszabályokban foglalt valamely norma vagy szabvány végrehajtásának várt eredményétől, 2025-től a 12. melléklet 4. pontjában foglalt dokumentumok benyújtásán kívül igazolni kell, hogy </w:t>
      </w:r>
    </w:p>
    <w:p w:rsidR="00774EE9" w:rsidRPr="00774EE9" w:rsidRDefault="00774EE9" w:rsidP="00774EE9">
      <w:pPr>
        <w:jc w:val="both"/>
        <w:rPr>
          <w:rFonts w:eastAsiaTheme="minorHAnsi"/>
          <w:lang w:eastAsia="en-US"/>
        </w:rPr>
      </w:pPr>
      <w:r w:rsidRPr="00774EE9">
        <w:rPr>
          <w:rFonts w:eastAsiaTheme="minorHAnsi"/>
          <w:lang w:eastAsia="en-US"/>
        </w:rPr>
        <w:t>a) a jelentős eltérést mutató kibocsátási tényezők a  forrásoldali levegőterhelés-csökkentésre vonatkozó uniós szabályok megfelelő végrehajtása vagy érvényesítése mellett állnak fenn,</w:t>
      </w:r>
    </w:p>
    <w:p w:rsidR="00774EE9" w:rsidRPr="00774EE9" w:rsidRDefault="00774EE9" w:rsidP="00774EE9">
      <w:pPr>
        <w:jc w:val="both"/>
        <w:rPr>
          <w:rFonts w:eastAsiaTheme="minorHAnsi"/>
          <w:lang w:eastAsia="en-US"/>
        </w:rPr>
      </w:pPr>
      <w:r w:rsidRPr="00774EE9">
        <w:rPr>
          <w:rFonts w:eastAsiaTheme="minorHAnsi"/>
          <w:lang w:eastAsia="en-US"/>
        </w:rPr>
        <w:t xml:space="preserve">b) a Bizottság tájékoztatása a jelentős eltérésről megtörtént. </w:t>
      </w:r>
    </w:p>
    <w:p w:rsidR="00774EE9" w:rsidRPr="00774EE9" w:rsidRDefault="00774EE9" w:rsidP="00774EE9">
      <w:pPr>
        <w:jc w:val="both"/>
        <w:rPr>
          <w:rFonts w:eastAsiaTheme="minorHAnsi"/>
          <w:lang w:eastAsia="en-US"/>
        </w:rPr>
      </w:pPr>
      <w:r w:rsidRPr="00774EE9">
        <w:rPr>
          <w:rFonts w:eastAsiaTheme="minorHAnsi"/>
          <w:lang w:eastAsia="en-US"/>
        </w:rPr>
        <w:t>21/D. § Ha az országos légszennyezőanyag kibocsátás-csökkentési kötelezettségek egy adott évben a különösen hideg tél, vagy különösen száraz nyár miatt nem teljesülnek, de a szóban forgó év, az azt megelőző év és az azt követő év adott szennyezőanyagra vonatkozó kibocsátásainak átlaga nem haladja meg az országos légszennyezőanyag kibocsátás-csökkentési kötelezettséget, az országos légszennyezőanyag kibocsátás-csökkentési kötelezettséget teljesítettnek kell tekinteni.</w:t>
      </w:r>
    </w:p>
    <w:p w:rsidR="00774EE9" w:rsidRPr="00774EE9" w:rsidRDefault="00774EE9" w:rsidP="00774EE9">
      <w:pPr>
        <w:jc w:val="both"/>
        <w:rPr>
          <w:rFonts w:eastAsiaTheme="minorHAnsi"/>
          <w:lang w:eastAsia="en-US"/>
        </w:rPr>
      </w:pPr>
      <w:r w:rsidRPr="00774EE9">
        <w:rPr>
          <w:rFonts w:eastAsiaTheme="minorHAnsi"/>
          <w:lang w:eastAsia="en-US"/>
        </w:rPr>
        <w:t xml:space="preserve">21/E. § Az országos légszennyezőanyag kibocsátáscsökkentési-kötelezettséget legfeljebb három éven keresztül teljesítettnek kell tekinteni, ha </w:t>
      </w:r>
    </w:p>
    <w:p w:rsidR="00774EE9" w:rsidRPr="00774EE9" w:rsidRDefault="00774EE9" w:rsidP="00774EE9">
      <w:pPr>
        <w:jc w:val="both"/>
        <w:rPr>
          <w:rFonts w:eastAsiaTheme="minorHAnsi"/>
          <w:lang w:eastAsia="en-US"/>
        </w:rPr>
      </w:pPr>
      <w:r w:rsidRPr="00774EE9">
        <w:rPr>
          <w:rFonts w:eastAsiaTheme="minorHAnsi"/>
          <w:lang w:eastAsia="en-US"/>
        </w:rPr>
        <w:lastRenderedPageBreak/>
        <w:t>a) az érintett szennyezőanyagra vonatkozó kibocsátás-csökkentési kötelezettség nem teljesítésének oka a villamos energia- vagy hő szolgáltatásban vagy ezek termelésében bekövetkezett előre nem látható, hirtelen és rendkívüli üzemzavar vagy kapacitás kiesés,</w:t>
      </w:r>
    </w:p>
    <w:p w:rsidR="00774EE9" w:rsidRPr="00774EE9" w:rsidRDefault="00774EE9" w:rsidP="00774EE9">
      <w:pPr>
        <w:jc w:val="both"/>
        <w:rPr>
          <w:rFonts w:eastAsiaTheme="minorHAnsi"/>
          <w:lang w:eastAsia="en-US"/>
        </w:rPr>
      </w:pPr>
      <w:r w:rsidRPr="00774EE9">
        <w:rPr>
          <w:rFonts w:eastAsiaTheme="minorHAnsi"/>
          <w:lang w:eastAsia="en-US"/>
        </w:rPr>
        <w:t>b) igazolható, hogy a kötelezettség teljesítése érdekében minden lehetséges költséghatékony intézkedés megtörtént és további intézkedéseket tesznek a kötelezettség lehető legrövidebb időn belüli teljesítéséhez,</w:t>
      </w:r>
    </w:p>
    <w:p w:rsidR="00774EE9" w:rsidRPr="00774EE9" w:rsidRDefault="00774EE9" w:rsidP="00774EE9">
      <w:pPr>
        <w:jc w:val="both"/>
        <w:rPr>
          <w:rFonts w:eastAsiaTheme="minorHAnsi"/>
          <w:lang w:eastAsia="en-US"/>
        </w:rPr>
      </w:pPr>
      <w:r w:rsidRPr="00774EE9">
        <w:rPr>
          <w:rFonts w:eastAsiaTheme="minorHAnsi"/>
          <w:lang w:eastAsia="en-US"/>
        </w:rPr>
        <w:t>c) igazolható, hogy a megtett és tervezett intézkedéseken kívüli további intézkedés, vagy szakpolitikai előírás aránytalanul nagy költséggel  járna és súlyosan veszélyeztetné Magyarország energiabiztonságát vagy a lakosság nagy részénél növelné az energiaszegénység kockázatát.</w:t>
      </w:r>
    </w:p>
    <w:p w:rsidR="00774EE9" w:rsidRPr="00774EE9" w:rsidRDefault="00774EE9" w:rsidP="00774EE9">
      <w:pPr>
        <w:jc w:val="both"/>
        <w:rPr>
          <w:rFonts w:eastAsiaTheme="minorHAnsi"/>
          <w:lang w:eastAsia="en-US"/>
        </w:rPr>
      </w:pPr>
      <w:r w:rsidRPr="00774EE9">
        <w:rPr>
          <w:rFonts w:eastAsiaTheme="minorHAnsi"/>
          <w:lang w:eastAsia="en-US"/>
        </w:rPr>
        <w:t xml:space="preserve">21/F. § (1) A 21/C.-21/E. §-ban szereplő eltérések alkalmazásának kezdeményezéséről az Országos Meteorológiai Szolgálat (a továbbiakban: OMSZ) javaslatára a környezetvédelemért felelős miniszter dönt. </w:t>
      </w:r>
    </w:p>
    <w:p w:rsidR="00774EE9" w:rsidRPr="00774EE9" w:rsidRDefault="00774EE9" w:rsidP="00774EE9">
      <w:pPr>
        <w:jc w:val="both"/>
        <w:rPr>
          <w:rFonts w:eastAsiaTheme="minorHAnsi"/>
          <w:lang w:eastAsia="en-US"/>
        </w:rPr>
      </w:pPr>
      <w:r w:rsidRPr="00774EE9">
        <w:rPr>
          <w:rFonts w:eastAsiaTheme="minorHAnsi"/>
          <w:lang w:eastAsia="en-US"/>
        </w:rPr>
        <w:t xml:space="preserve">(2) Az (1) bekezdésben hivatkozott eltéréseket akkor lehet alkalmazni, ha a 33/A. § (1) bekezdésében szereplő jelentés kézhezvételét követő 9 hónapon belül a Bizottság nem emel kifogást. </w:t>
      </w:r>
    </w:p>
    <w:p w:rsidR="00774EE9" w:rsidRPr="00774EE9" w:rsidRDefault="00774EE9" w:rsidP="00774EE9">
      <w:pPr>
        <w:contextualSpacing/>
        <w:jc w:val="both"/>
        <w:rPr>
          <w:rFonts w:eastAsiaTheme="minorHAnsi"/>
          <w:lang w:eastAsia="en-US"/>
        </w:rPr>
      </w:pPr>
      <w:r w:rsidRPr="00774EE9">
        <w:rPr>
          <w:rFonts w:eastAsiaTheme="minorHAnsi"/>
          <w:lang w:eastAsia="en-US"/>
        </w:rPr>
        <w:t>21/G. § A környezetvédelemért felelős miniszter által vezetett minisztérium honlapján közzéteszi</w:t>
      </w:r>
    </w:p>
    <w:p w:rsidR="00774EE9" w:rsidRPr="00774EE9" w:rsidRDefault="00774EE9" w:rsidP="00774EE9">
      <w:pPr>
        <w:contextualSpacing/>
        <w:jc w:val="both"/>
        <w:rPr>
          <w:rFonts w:eastAsiaTheme="minorHAnsi"/>
          <w:lang w:eastAsia="en-US"/>
        </w:rPr>
      </w:pPr>
      <w:r w:rsidRPr="00774EE9">
        <w:rPr>
          <w:rFonts w:eastAsiaTheme="minorHAnsi"/>
          <w:lang w:eastAsia="en-US"/>
        </w:rPr>
        <w:t>a 33/A. § (1) bekezdés szerinti emisszió katasztereket, légszennyezőanyag kibocsátás-előrejelzéseket, jelentéseket és a levegőterhelés ökoszisztémára gyakorolt hatásainak nyomon követéséhez kapcsolódó jelentéseket és információkat.</w:t>
      </w:r>
    </w:p>
    <w:p w:rsidR="00774EE9" w:rsidRPr="00774EE9" w:rsidRDefault="00774EE9" w:rsidP="00774EE9">
      <w:pPr>
        <w:jc w:val="both"/>
        <w:rPr>
          <w:rFonts w:eastAsiaTheme="minorHAnsi"/>
          <w:lang w:eastAsia="en-US"/>
        </w:rPr>
      </w:pPr>
    </w:p>
    <w:p w:rsidR="00774EE9" w:rsidRPr="00774EE9" w:rsidRDefault="00774EE9" w:rsidP="00774EE9">
      <w:pPr>
        <w:jc w:val="center"/>
        <w:rPr>
          <w:rFonts w:eastAsiaTheme="minorHAnsi"/>
          <w:b/>
          <w:bCs/>
          <w:lang w:eastAsia="en-US"/>
        </w:rPr>
      </w:pPr>
      <w:r w:rsidRPr="00774EE9">
        <w:rPr>
          <w:rFonts w:eastAsiaTheme="minorHAnsi"/>
          <w:b/>
          <w:bCs/>
          <w:lang w:eastAsia="en-US"/>
        </w:rPr>
        <w:t>12/C. Országos levegőterhelés</w:t>
      </w:r>
      <w:r w:rsidRPr="00774EE9">
        <w:rPr>
          <w:rFonts w:eastAsiaTheme="minorHAnsi"/>
          <w:bCs/>
          <w:lang w:eastAsia="en-US"/>
        </w:rPr>
        <w:t>-</w:t>
      </w:r>
      <w:r w:rsidRPr="00774EE9">
        <w:rPr>
          <w:rFonts w:eastAsiaTheme="minorHAnsi"/>
          <w:b/>
          <w:bCs/>
          <w:lang w:eastAsia="en-US"/>
        </w:rPr>
        <w:t>csökkentési program</w:t>
      </w:r>
    </w:p>
    <w:p w:rsidR="00774EE9" w:rsidRPr="00774EE9" w:rsidRDefault="00774EE9" w:rsidP="00774EE9">
      <w:pPr>
        <w:jc w:val="center"/>
        <w:rPr>
          <w:rFonts w:eastAsiaTheme="minorHAnsi"/>
          <w:b/>
          <w:bCs/>
          <w:lang w:eastAsia="en-US"/>
        </w:rPr>
      </w:pPr>
    </w:p>
    <w:p w:rsidR="00774EE9" w:rsidRPr="00774EE9" w:rsidRDefault="00774EE9" w:rsidP="00774EE9">
      <w:pPr>
        <w:jc w:val="both"/>
        <w:rPr>
          <w:rFonts w:eastAsiaTheme="minorHAnsi"/>
          <w:lang w:eastAsia="en-US"/>
        </w:rPr>
      </w:pPr>
      <w:r w:rsidRPr="00774EE9">
        <w:rPr>
          <w:rFonts w:eastAsiaTheme="minorHAnsi"/>
          <w:lang w:eastAsia="en-US"/>
        </w:rPr>
        <w:t>21/H. § (1) Az országos légszennyezőanyag kibocsátás-csökkentési kötelezettség teljesítése érdekében e rendelet 4. melléklete szerinti tartalommal a Kormány országos levegőterhelés-csökkentési programot (a továbbiakban: Program) fogad el és hajt végre.</w:t>
      </w:r>
    </w:p>
    <w:p w:rsidR="00774EE9" w:rsidRPr="00774EE9" w:rsidRDefault="00774EE9" w:rsidP="00774EE9">
      <w:pPr>
        <w:jc w:val="both"/>
        <w:rPr>
          <w:rFonts w:eastAsiaTheme="minorHAnsi"/>
          <w:lang w:eastAsia="en-US"/>
        </w:rPr>
      </w:pPr>
      <w:r w:rsidRPr="00774EE9">
        <w:rPr>
          <w:rFonts w:eastAsiaTheme="minorHAnsi"/>
          <w:lang w:eastAsia="en-US"/>
        </w:rPr>
        <w:t>21/I. § (1) A Program kidolgozása, elfogadása és végrehajtása során</w:t>
      </w:r>
    </w:p>
    <w:p w:rsidR="00774EE9" w:rsidRPr="00774EE9" w:rsidRDefault="00774EE9" w:rsidP="00774EE9">
      <w:pPr>
        <w:jc w:val="both"/>
        <w:rPr>
          <w:rFonts w:eastAsiaTheme="minorHAnsi"/>
          <w:lang w:eastAsia="en-US"/>
        </w:rPr>
      </w:pPr>
      <w:r w:rsidRPr="00774EE9">
        <w:rPr>
          <w:rFonts w:eastAsiaTheme="minorHAnsi"/>
          <w:lang w:eastAsia="en-US"/>
        </w:rPr>
        <w:t>a) értékelni kell a magyarországi szennyezőanyag kibocsátások hazai és szomszédos országok levegőminőségére gyakorolt hatásait - ahol alkalmazható -  az LRTAP  Egyezmény alapján működő európai monitoring és értékelési program (a továbbiakban: EMEP) adatainak és módszereinek használatával,</w:t>
      </w:r>
    </w:p>
    <w:p w:rsidR="00774EE9" w:rsidRPr="00774EE9" w:rsidRDefault="00774EE9" w:rsidP="00774EE9">
      <w:pPr>
        <w:jc w:val="both"/>
        <w:rPr>
          <w:rFonts w:eastAsiaTheme="minorHAnsi"/>
          <w:lang w:eastAsia="en-US"/>
        </w:rPr>
      </w:pPr>
      <w:r w:rsidRPr="00774EE9">
        <w:rPr>
          <w:rFonts w:eastAsiaTheme="minorHAnsi"/>
          <w:lang w:eastAsia="en-US"/>
        </w:rPr>
        <w:t>b) figyelembe kell venni a hazai és szomszédos országbeli levegőminőségi célok teljesítéséhez szükséges légszennyezőanyag kibocsátás csökkentési igényeket,</w:t>
      </w:r>
    </w:p>
    <w:p w:rsidR="00774EE9" w:rsidRPr="00774EE9" w:rsidRDefault="00774EE9" w:rsidP="00774EE9">
      <w:pPr>
        <w:jc w:val="both"/>
        <w:rPr>
          <w:rFonts w:eastAsiaTheme="minorHAnsi"/>
          <w:lang w:eastAsia="en-US"/>
        </w:rPr>
      </w:pPr>
      <w:r w:rsidRPr="00774EE9">
        <w:rPr>
          <w:rFonts w:eastAsiaTheme="minorHAnsi"/>
          <w:lang w:eastAsia="en-US"/>
        </w:rPr>
        <w:t>c) az országos kibocsátás-csökkentési cél elérése érdekében tett PM</w:t>
      </w:r>
      <w:r w:rsidRPr="00774EE9">
        <w:rPr>
          <w:rFonts w:eastAsiaTheme="minorHAnsi"/>
          <w:vertAlign w:val="subscript"/>
          <w:lang w:eastAsia="en-US"/>
        </w:rPr>
        <w:t>2,5</w:t>
      </w:r>
      <w:r w:rsidRPr="00774EE9">
        <w:rPr>
          <w:rFonts w:eastAsiaTheme="minorHAnsi"/>
          <w:lang w:eastAsia="en-US"/>
        </w:rPr>
        <w:t xml:space="preserve"> kibocsátás csökkentésére irányuló intézkedések végrehajtásánál a korom kibocsátás csökkentését eredményező intézkedéseket prioritásként kell kezelni, és</w:t>
      </w:r>
    </w:p>
    <w:p w:rsidR="00774EE9" w:rsidRPr="00774EE9" w:rsidRDefault="00774EE9" w:rsidP="00774EE9">
      <w:pPr>
        <w:jc w:val="both"/>
        <w:rPr>
          <w:rFonts w:eastAsiaTheme="minorHAnsi"/>
          <w:lang w:eastAsia="en-US"/>
        </w:rPr>
      </w:pPr>
      <w:r w:rsidRPr="00774EE9">
        <w:rPr>
          <w:rFonts w:eastAsiaTheme="minorHAnsi"/>
          <w:lang w:eastAsia="en-US"/>
        </w:rPr>
        <w:t>d) biztosítani kell az összhangot a magyar vagy uniós jogszabályban meghatározott követelmények alapján létrejött releváns tervekkel és programokkal.</w:t>
      </w:r>
    </w:p>
    <w:p w:rsidR="00774EE9" w:rsidRPr="00774EE9" w:rsidRDefault="00774EE9" w:rsidP="00774EE9">
      <w:pPr>
        <w:jc w:val="both"/>
        <w:rPr>
          <w:rFonts w:eastAsiaTheme="minorHAnsi"/>
          <w:lang w:eastAsia="en-US"/>
        </w:rPr>
      </w:pPr>
      <w:r w:rsidRPr="00774EE9">
        <w:rPr>
          <w:rFonts w:eastAsiaTheme="minorHAnsi"/>
          <w:lang w:eastAsia="en-US"/>
        </w:rPr>
        <w:t>(2) A Programnak tartalmaznia kell a 13. melléklet II. 2. pontjában szereplő intézkedéseket, továbbá a 13. melléklet II. 3. pontjában szereplő intézkedéseket vagy azokkal egyenértékű kibocsátás csökkentést eredményező intézkedéseket.</w:t>
      </w:r>
    </w:p>
    <w:p w:rsidR="00774EE9" w:rsidRPr="00774EE9" w:rsidRDefault="00774EE9" w:rsidP="00774EE9">
      <w:pPr>
        <w:jc w:val="both"/>
        <w:rPr>
          <w:rFonts w:eastAsiaTheme="minorHAnsi"/>
          <w:lang w:eastAsia="en-US"/>
        </w:rPr>
      </w:pPr>
      <w:r w:rsidRPr="00774EE9">
        <w:rPr>
          <w:rFonts w:eastAsiaTheme="minorHAnsi"/>
          <w:lang w:eastAsia="en-US"/>
        </w:rPr>
        <w:t>(3) A Programot a Kormány legalább négyévente felülvizsgálja és ha szükséges módosítja.</w:t>
      </w:r>
    </w:p>
    <w:p w:rsidR="00774EE9" w:rsidRPr="00774EE9" w:rsidRDefault="00774EE9" w:rsidP="00774EE9">
      <w:pPr>
        <w:jc w:val="both"/>
        <w:rPr>
          <w:rFonts w:eastAsiaTheme="minorHAnsi"/>
          <w:lang w:eastAsia="en-US"/>
        </w:rPr>
      </w:pPr>
      <w:r w:rsidRPr="00774EE9">
        <w:rPr>
          <w:rFonts w:eastAsiaTheme="minorHAnsi"/>
          <w:lang w:eastAsia="en-US"/>
        </w:rPr>
        <w:t>(4) A (3) bekezdéstől eltérően az országos emisszió katasztert vagy a légszennyezőanyag kibocsátás-előrejelzés benyújtástól számított 18 hónapon belül kell felülvizsgálni és a Programot</w:t>
      </w:r>
      <w:r w:rsidRPr="00774EE9" w:rsidDel="00187ACE">
        <w:rPr>
          <w:rFonts w:eastAsiaTheme="minorHAnsi"/>
          <w:lang w:eastAsia="en-US"/>
        </w:rPr>
        <w:t xml:space="preserve"> </w:t>
      </w:r>
      <w:r w:rsidRPr="00774EE9">
        <w:rPr>
          <w:rFonts w:eastAsiaTheme="minorHAnsi"/>
          <w:lang w:eastAsia="en-US"/>
        </w:rPr>
        <w:t>módosítani, ha a benyújtott adatok azt mutatják, hogy az országos légszennyezőanyag kibocsátási kötelezettség nem teljesül, vagy a légszennyezőanyag kibocsátás-előrejelzés alapján nem fog teljesülni.</w:t>
      </w:r>
    </w:p>
    <w:p w:rsidR="00774EE9" w:rsidRPr="00774EE9" w:rsidRDefault="00774EE9" w:rsidP="00774EE9">
      <w:pPr>
        <w:spacing w:after="200" w:line="276" w:lineRule="auto"/>
        <w:contextualSpacing/>
        <w:jc w:val="both"/>
        <w:rPr>
          <w:rFonts w:eastAsiaTheme="minorHAnsi"/>
          <w:lang w:eastAsia="en-US"/>
        </w:rPr>
      </w:pPr>
      <w:r w:rsidRPr="00774EE9">
        <w:rPr>
          <w:rFonts w:eastAsiaTheme="minorHAnsi"/>
          <w:lang w:eastAsia="en-US"/>
        </w:rPr>
        <w:lastRenderedPageBreak/>
        <w:t>21/J. § (1) A környezetvédelemért felelős miniszter által vezetett minisztérium az országos levegőterhelés-csökkentési program és annak felülvizsgált és szükséges esetben módosított tervezetét legalább 30 napra honlapján egy tájékoztató keretében közzéteszi.</w:t>
      </w:r>
    </w:p>
    <w:p w:rsidR="00774EE9" w:rsidRPr="00774EE9" w:rsidRDefault="00774EE9" w:rsidP="00774EE9">
      <w:pPr>
        <w:contextualSpacing/>
        <w:jc w:val="both"/>
        <w:rPr>
          <w:rFonts w:eastAsiaTheme="minorHAnsi"/>
          <w:lang w:eastAsia="en-US"/>
        </w:rPr>
      </w:pPr>
      <w:r w:rsidRPr="00774EE9">
        <w:rPr>
          <w:rFonts w:eastAsiaTheme="minorHAnsi"/>
          <w:lang w:eastAsia="en-US"/>
        </w:rPr>
        <w:t>(2) Az (1) bekezdés szerinti tájékoztató tartalmazza</w:t>
      </w:r>
    </w:p>
    <w:p w:rsidR="00774EE9" w:rsidRPr="00774EE9" w:rsidRDefault="00774EE9" w:rsidP="00774EE9">
      <w:pPr>
        <w:contextualSpacing/>
        <w:jc w:val="both"/>
        <w:rPr>
          <w:rFonts w:eastAsiaTheme="minorHAnsi"/>
          <w:lang w:eastAsia="en-US"/>
        </w:rPr>
      </w:pPr>
      <w:r w:rsidRPr="00774EE9">
        <w:rPr>
          <w:rFonts w:eastAsiaTheme="minorHAnsi"/>
          <w:lang w:eastAsia="en-US"/>
        </w:rPr>
        <w:t>a) az országos levegőterhelés-csökkentési program vagy annak felülvizsgált és szükséges esetben módosított tervezetét;</w:t>
      </w:r>
    </w:p>
    <w:p w:rsidR="00774EE9" w:rsidRPr="00774EE9" w:rsidRDefault="00774EE9" w:rsidP="00774EE9">
      <w:pPr>
        <w:contextualSpacing/>
        <w:jc w:val="both"/>
        <w:rPr>
          <w:rFonts w:eastAsiaTheme="minorHAnsi"/>
          <w:lang w:eastAsia="en-US"/>
        </w:rPr>
      </w:pPr>
      <w:r w:rsidRPr="00774EE9">
        <w:rPr>
          <w:rFonts w:eastAsiaTheme="minorHAnsi"/>
          <w:lang w:eastAsia="en-US"/>
        </w:rPr>
        <w:t>b) a felhívást arra vonatkozóan, hogy a tervezetre az érintett nyilvánosság észrevételt tehet;</w:t>
      </w:r>
    </w:p>
    <w:p w:rsidR="00774EE9" w:rsidRPr="00774EE9" w:rsidRDefault="00774EE9" w:rsidP="00774EE9">
      <w:pPr>
        <w:contextualSpacing/>
        <w:jc w:val="both"/>
        <w:rPr>
          <w:rFonts w:eastAsiaTheme="minorHAnsi"/>
          <w:lang w:eastAsia="en-US"/>
        </w:rPr>
      </w:pPr>
      <w:r w:rsidRPr="00774EE9">
        <w:rPr>
          <w:rFonts w:eastAsiaTheme="minorHAnsi"/>
          <w:lang w:eastAsia="en-US"/>
        </w:rPr>
        <w:t>c) az észrevételek benyújtásának helyét, és</w:t>
      </w:r>
    </w:p>
    <w:p w:rsidR="00774EE9" w:rsidRPr="00774EE9" w:rsidRDefault="00774EE9" w:rsidP="00774EE9">
      <w:pPr>
        <w:contextualSpacing/>
        <w:jc w:val="both"/>
        <w:rPr>
          <w:rFonts w:eastAsiaTheme="minorHAnsi"/>
          <w:lang w:eastAsia="en-US"/>
        </w:rPr>
      </w:pPr>
      <w:r w:rsidRPr="00774EE9">
        <w:rPr>
          <w:rFonts w:eastAsiaTheme="minorHAnsi"/>
          <w:lang w:eastAsia="en-US"/>
        </w:rPr>
        <w:t>d) az észrevételek benyújtásának határidejét.</w:t>
      </w:r>
    </w:p>
    <w:p w:rsidR="00774EE9" w:rsidRPr="00774EE9" w:rsidRDefault="00774EE9" w:rsidP="00774EE9">
      <w:pPr>
        <w:contextualSpacing/>
        <w:jc w:val="both"/>
        <w:rPr>
          <w:rFonts w:eastAsiaTheme="minorHAnsi"/>
          <w:lang w:eastAsia="en-US"/>
        </w:rPr>
      </w:pPr>
      <w:r w:rsidRPr="00774EE9">
        <w:rPr>
          <w:rFonts w:eastAsiaTheme="minorHAnsi"/>
          <w:lang w:eastAsia="en-US"/>
        </w:rPr>
        <w:t xml:space="preserve">(3) Az érintett nyilvánosság és a feladatkörében érintett hatóság az országos levegőterhelés-csökkentési program vagy annak felülvizsgált és szükséges esetben módosított tervezetére a (2) bekezdés szerinti közzétételtől számított 30 napon belül tehet észrevételt. </w:t>
      </w:r>
    </w:p>
    <w:p w:rsidR="00774EE9" w:rsidRPr="00774EE9" w:rsidRDefault="00774EE9" w:rsidP="00774EE9">
      <w:pPr>
        <w:contextualSpacing/>
        <w:jc w:val="both"/>
        <w:rPr>
          <w:rFonts w:eastAsiaTheme="minorHAnsi"/>
          <w:lang w:eastAsia="en-US"/>
        </w:rPr>
      </w:pPr>
      <w:r w:rsidRPr="00774EE9">
        <w:rPr>
          <w:rFonts w:eastAsiaTheme="minorHAnsi"/>
          <w:lang w:eastAsia="en-US"/>
        </w:rPr>
        <w:t>(4) Az érintett nyilvánosság és a feladatkörében érintett hatóság a (3) bekezdés szerinti határidőn belül beérkezett észrevételeit az országos levegőterhelés-csökkentési program vagy annak felülvizsgált és szükséges esetben módosított tervezetének elfogadása előtt a környezetvédelmi érdekekre tekintettel kellő mértékben figyelembevételre kerül.</w:t>
      </w:r>
    </w:p>
    <w:p w:rsidR="00774EE9" w:rsidRPr="00774EE9" w:rsidRDefault="00774EE9" w:rsidP="00774EE9">
      <w:pPr>
        <w:shd w:val="clear" w:color="auto" w:fill="FFFFFF"/>
        <w:spacing w:after="75"/>
        <w:jc w:val="both"/>
        <w:outlineLvl w:val="1"/>
        <w:rPr>
          <w:rFonts w:eastAsiaTheme="minorHAnsi"/>
          <w:lang w:eastAsia="en-US"/>
        </w:rPr>
      </w:pPr>
      <w:r w:rsidRPr="00774EE9">
        <w:rPr>
          <w:rFonts w:eastAsiaTheme="minorHAnsi"/>
          <w:lang w:eastAsia="en-US"/>
        </w:rPr>
        <w:t>(5) A figyelembe vett észrevételekről, vagy figyelmen kívül hagyásuk esetén annak indokairól a környezetvédelemért felelős miniszter által működtetett minisztérium honlapján tájékoztatja az érintett nyilvánosságot és a feladatkörében érintett hatóságot.</w:t>
      </w:r>
    </w:p>
    <w:p w:rsidR="00774EE9" w:rsidRPr="00774EE9" w:rsidRDefault="00774EE9" w:rsidP="00774EE9">
      <w:pPr>
        <w:jc w:val="both"/>
        <w:rPr>
          <w:rFonts w:eastAsiaTheme="minorHAnsi"/>
          <w:lang w:eastAsia="en-US"/>
        </w:rPr>
      </w:pPr>
      <w:r w:rsidRPr="00774EE9">
        <w:rPr>
          <w:rFonts w:eastAsiaTheme="minorHAnsi"/>
          <w:lang w:eastAsia="en-US"/>
        </w:rPr>
        <w:t>21/K. § (1) A környezetvédelemért felelős miniszter által vezetett minisztérium honlapján közzéteszi az országos levegőterhelés-csökkentési programot és annak módosított változatait.</w:t>
      </w:r>
    </w:p>
    <w:p w:rsidR="00774EE9" w:rsidRPr="00774EE9" w:rsidRDefault="00774EE9" w:rsidP="00774EE9">
      <w:pPr>
        <w:autoSpaceDE w:val="0"/>
        <w:autoSpaceDN w:val="0"/>
        <w:adjustRightInd w:val="0"/>
        <w:jc w:val="both"/>
        <w:rPr>
          <w:rFonts w:eastAsia="Calibri"/>
        </w:rPr>
      </w:pPr>
      <w:r w:rsidRPr="00774EE9">
        <w:rPr>
          <w:rFonts w:eastAsiaTheme="minorHAnsi"/>
          <w:lang w:eastAsia="en-US"/>
        </w:rPr>
        <w:t xml:space="preserve">(2) </w:t>
      </w:r>
      <w:r w:rsidRPr="00774EE9">
        <w:rPr>
          <w:lang w:eastAsia="en-GB"/>
        </w:rPr>
        <w:t xml:space="preserve">A környezetvédelemért felelős miniszter a </w:t>
      </w:r>
      <w:r w:rsidRPr="00774EE9">
        <w:rPr>
          <w:rFonts w:eastAsiaTheme="minorHAnsi"/>
          <w:lang w:eastAsia="en-US"/>
        </w:rPr>
        <w:t xml:space="preserve">21/I. § </w:t>
      </w:r>
      <w:r w:rsidRPr="00774EE9">
        <w:rPr>
          <w:lang w:eastAsia="en-GB"/>
        </w:rPr>
        <w:t>(4) bekezdés szerint módosított országos levegőterhelés-csökkentési programot a módosítást követő két hónapon belül küldi meg a Bizottságnak.”</w:t>
      </w:r>
    </w:p>
    <w:p w:rsidR="00774EE9" w:rsidRPr="00774EE9" w:rsidRDefault="00774EE9" w:rsidP="00774EE9">
      <w:pPr>
        <w:numPr>
          <w:ilvl w:val="0"/>
          <w:numId w:val="1"/>
        </w:numPr>
        <w:spacing w:after="200" w:line="276" w:lineRule="auto"/>
        <w:contextualSpacing/>
        <w:jc w:val="center"/>
        <w:rPr>
          <w:rFonts w:eastAsiaTheme="minorHAnsi"/>
          <w:b/>
          <w:bCs/>
          <w:lang w:eastAsia="en-US"/>
        </w:rPr>
      </w:pPr>
      <w:r w:rsidRPr="00774EE9">
        <w:rPr>
          <w:rFonts w:eastAsiaTheme="minorHAnsi"/>
          <w:b/>
          <w:bCs/>
          <w:lang w:eastAsia="en-US"/>
        </w:rPr>
        <w:t>§</w:t>
      </w:r>
    </w:p>
    <w:p w:rsidR="00774EE9" w:rsidRPr="00774EE9" w:rsidRDefault="00774EE9" w:rsidP="00774EE9">
      <w:pPr>
        <w:ind w:left="720"/>
        <w:contextualSpacing/>
        <w:rPr>
          <w:rFonts w:eastAsiaTheme="minorHAnsi"/>
          <w:b/>
          <w:bCs/>
          <w:lang w:eastAsia="en-US"/>
        </w:rPr>
      </w:pPr>
    </w:p>
    <w:p w:rsidR="00774EE9" w:rsidRPr="00774EE9" w:rsidRDefault="00774EE9" w:rsidP="00774EE9">
      <w:pPr>
        <w:jc w:val="both"/>
        <w:rPr>
          <w:rFonts w:eastAsiaTheme="minorHAnsi"/>
          <w:lang w:eastAsia="en-US"/>
        </w:rPr>
      </w:pPr>
      <w:r w:rsidRPr="00774EE9">
        <w:rPr>
          <w:rFonts w:eastAsiaTheme="minorHAnsi"/>
          <w:lang w:eastAsia="en-US"/>
        </w:rPr>
        <w:t>Az R III. fejezete a következő 19/A. és 19/B. alcímekkel egészül ki:</w:t>
      </w:r>
    </w:p>
    <w:p w:rsidR="00774EE9" w:rsidRPr="00774EE9" w:rsidRDefault="00774EE9" w:rsidP="00774EE9">
      <w:pPr>
        <w:shd w:val="clear" w:color="auto" w:fill="FFFFFF"/>
        <w:spacing w:before="100" w:beforeAutospacing="1" w:after="360"/>
        <w:jc w:val="center"/>
        <w:outlineLvl w:val="1"/>
        <w:rPr>
          <w:b/>
          <w:bCs/>
          <w:lang w:eastAsia="en-GB"/>
        </w:rPr>
      </w:pPr>
      <w:r w:rsidRPr="00774EE9">
        <w:rPr>
          <w:b/>
          <w:bCs/>
          <w:lang w:eastAsia="en-GB"/>
        </w:rPr>
        <w:t>„19/A. Országos emisszió kataszter, légszennyezőanyag kibocsátás-előrejelzés, tájékoztató kataszter jelentés</w:t>
      </w:r>
    </w:p>
    <w:p w:rsidR="00774EE9" w:rsidRPr="00774EE9" w:rsidRDefault="00774EE9" w:rsidP="00774EE9">
      <w:pPr>
        <w:spacing w:after="200" w:line="276" w:lineRule="auto"/>
        <w:jc w:val="both"/>
        <w:rPr>
          <w:rFonts w:eastAsiaTheme="minorHAnsi"/>
          <w:lang w:eastAsia="en-US"/>
        </w:rPr>
      </w:pPr>
      <w:r w:rsidRPr="00774EE9">
        <w:rPr>
          <w:b/>
          <w:bCs/>
          <w:lang w:eastAsia="en-GB"/>
        </w:rPr>
        <w:t xml:space="preserve">32/A. § </w:t>
      </w:r>
      <w:r w:rsidRPr="00774EE9">
        <w:rPr>
          <w:rFonts w:eastAsiaTheme="minorHAnsi"/>
          <w:lang w:eastAsia="en-US"/>
        </w:rPr>
        <w:t xml:space="preserve">(1) A környezetvédelemért felelős miniszter az OMSZ által készített javaslat alapján </w:t>
      </w:r>
    </w:p>
    <w:p w:rsidR="00774EE9" w:rsidRPr="00774EE9" w:rsidRDefault="00774EE9" w:rsidP="00774EE9">
      <w:pPr>
        <w:spacing w:line="276" w:lineRule="auto"/>
        <w:jc w:val="both"/>
        <w:rPr>
          <w:rFonts w:eastAsiaTheme="minorHAnsi"/>
          <w:lang w:eastAsia="en-US"/>
        </w:rPr>
      </w:pPr>
      <w:r w:rsidRPr="00774EE9">
        <w:rPr>
          <w:rFonts w:eastAsiaTheme="minorHAnsi"/>
          <w:lang w:eastAsia="en-US"/>
        </w:rPr>
        <w:t xml:space="preserve">a) a 11. melléklet 2.1. pontjában meghatározott szennyezőanyagokra országos emisszió katasztert, </w:t>
      </w:r>
    </w:p>
    <w:p w:rsidR="00774EE9" w:rsidRPr="00774EE9" w:rsidRDefault="00774EE9" w:rsidP="00774EE9">
      <w:pPr>
        <w:jc w:val="both"/>
        <w:rPr>
          <w:rFonts w:eastAsiaTheme="minorHAnsi"/>
          <w:lang w:eastAsia="en-US"/>
        </w:rPr>
      </w:pPr>
      <w:r w:rsidRPr="00774EE9">
        <w:rPr>
          <w:rFonts w:eastAsiaTheme="minorHAnsi"/>
          <w:lang w:eastAsia="en-US"/>
        </w:rPr>
        <w:t>b) a 11. melléklet 3.1. pontjában meghatározott szennyezőanyagokra a megadott határidőkig térbeli bontásban megadott adatokat tartalmazó országos emisszió katasztert és nagy pontszerű forrásokra vonatkozó katasztert, továbbá országos légszennyezőanyag kibocsátás-előrejelzést, és</w:t>
      </w:r>
    </w:p>
    <w:p w:rsidR="00774EE9" w:rsidRPr="00774EE9" w:rsidRDefault="00774EE9" w:rsidP="00774EE9">
      <w:pPr>
        <w:jc w:val="both"/>
        <w:rPr>
          <w:rFonts w:eastAsiaTheme="minorHAnsi"/>
          <w:lang w:eastAsia="en-US"/>
        </w:rPr>
      </w:pPr>
      <w:r w:rsidRPr="00774EE9">
        <w:rPr>
          <w:rFonts w:eastAsiaTheme="minorHAnsi"/>
          <w:lang w:eastAsia="en-US"/>
        </w:rPr>
        <w:t>c) az a) és b) pont alapján készített emisszió kataszterekhez és légszennyezőanyag kibocsátás-előrejelzéshez a 11. melléklet 4. pontjában meghatározott követelmények figyelembe vételével tájékoztató kataszterjelentést</w:t>
      </w:r>
    </w:p>
    <w:p w:rsidR="00774EE9" w:rsidRPr="00774EE9" w:rsidRDefault="00774EE9" w:rsidP="00774EE9">
      <w:pPr>
        <w:jc w:val="both"/>
        <w:rPr>
          <w:rFonts w:eastAsiaTheme="minorHAnsi"/>
          <w:lang w:eastAsia="en-US"/>
        </w:rPr>
      </w:pPr>
      <w:r w:rsidRPr="00774EE9">
        <w:rPr>
          <w:rFonts w:eastAsiaTheme="minorHAnsi"/>
          <w:lang w:eastAsia="en-US"/>
        </w:rPr>
        <w:t>készít.</w:t>
      </w:r>
    </w:p>
    <w:p w:rsidR="00774EE9" w:rsidRPr="00774EE9" w:rsidRDefault="00774EE9" w:rsidP="00774EE9">
      <w:pPr>
        <w:jc w:val="both"/>
        <w:rPr>
          <w:rFonts w:eastAsiaTheme="minorHAnsi"/>
          <w:lang w:eastAsia="en-US"/>
        </w:rPr>
      </w:pPr>
    </w:p>
    <w:p w:rsidR="00774EE9" w:rsidRPr="00774EE9" w:rsidRDefault="00774EE9" w:rsidP="00774EE9">
      <w:pPr>
        <w:jc w:val="both"/>
        <w:rPr>
          <w:rFonts w:eastAsiaTheme="minorHAnsi"/>
          <w:lang w:eastAsia="en-US"/>
        </w:rPr>
      </w:pPr>
      <w:r w:rsidRPr="00774EE9">
        <w:rPr>
          <w:rFonts w:eastAsiaTheme="minorHAnsi"/>
          <w:lang w:eastAsia="en-US"/>
        </w:rPr>
        <w:t>(2) A 21/C.-21/E. §-ban foglalt bármely eltérés alkalmazása esetén a (3) bekezdés szerinti tájékoztató kataszterjelentésnek tartalmazni kell azokat az információkat, amelyek igazolják, hogy az eltérés alkalmazására az e jogszabályban meghatározott feltételeknek megfelelően került sor.</w:t>
      </w:r>
    </w:p>
    <w:p w:rsidR="00774EE9" w:rsidRPr="00774EE9" w:rsidRDefault="00774EE9" w:rsidP="00774EE9">
      <w:pPr>
        <w:jc w:val="both"/>
        <w:rPr>
          <w:rFonts w:eastAsiaTheme="minorHAnsi"/>
          <w:lang w:eastAsia="en-US"/>
        </w:rPr>
      </w:pPr>
    </w:p>
    <w:p w:rsidR="00774EE9" w:rsidRPr="00774EE9" w:rsidRDefault="00774EE9" w:rsidP="00774EE9">
      <w:pPr>
        <w:jc w:val="both"/>
        <w:rPr>
          <w:rFonts w:eastAsiaTheme="minorHAnsi"/>
          <w:lang w:eastAsia="en-US"/>
        </w:rPr>
      </w:pPr>
      <w:r w:rsidRPr="00774EE9">
        <w:rPr>
          <w:rFonts w:eastAsiaTheme="minorHAnsi"/>
          <w:lang w:eastAsia="en-US"/>
        </w:rPr>
        <w:lastRenderedPageBreak/>
        <w:t xml:space="preserve">(3) Az országos emisszió katasztert, a kiigazított országos emisszió katasztert, a térbeli bontásban megadott adatokat tartalmazó országos emisszió katasztert, a nagy pontszerű forrásokra vonatkozó katasztert, a tájékoztató kataszterjelentést és az országos légszennyezőanyag kibocsátás-előrejelzést a 12. melléklet előírásainak figyelembe vételével kell elkészíteni. </w:t>
      </w:r>
    </w:p>
    <w:p w:rsidR="00774EE9" w:rsidRPr="00774EE9" w:rsidRDefault="00774EE9" w:rsidP="00774EE9">
      <w:pPr>
        <w:jc w:val="both"/>
        <w:rPr>
          <w:rFonts w:eastAsiaTheme="minorHAnsi"/>
          <w:lang w:eastAsia="en-US"/>
        </w:rPr>
      </w:pPr>
    </w:p>
    <w:p w:rsidR="00774EE9" w:rsidRPr="00774EE9" w:rsidRDefault="00774EE9" w:rsidP="00774EE9">
      <w:pPr>
        <w:jc w:val="both"/>
        <w:rPr>
          <w:rFonts w:eastAsiaTheme="minorHAnsi"/>
          <w:lang w:eastAsia="en-US"/>
        </w:rPr>
      </w:pPr>
      <w:r w:rsidRPr="00774EE9">
        <w:rPr>
          <w:rFonts w:eastAsiaTheme="minorHAnsi"/>
          <w:lang w:eastAsia="en-US"/>
        </w:rPr>
        <w:t>(4) Ha a 2025-re vonatkozó kibocsátási szintek meghaladják a 21/A. § (2)-(3) bekezdés alapján megállapított kibocsátás-csökkentési pályának megfelelő értékeket a környezetvédelemért felelős miniszter által vezetett minisztérium a 33/A. § (1)-(2) bekezdésnek megfelelően megküldött soron következő tájékoztató kataszterjelentésben feltünteti az eltérés indokát és a tervezett kibocsátási pályára történő visszaálláshoz szükséges intézkedéseket .</w:t>
      </w:r>
    </w:p>
    <w:p w:rsidR="00774EE9" w:rsidRPr="00774EE9" w:rsidRDefault="00774EE9" w:rsidP="00774EE9">
      <w:pPr>
        <w:jc w:val="both"/>
        <w:rPr>
          <w:rFonts w:eastAsiaTheme="minorHAnsi"/>
          <w:lang w:eastAsia="en-US"/>
        </w:rPr>
      </w:pPr>
      <w:r w:rsidRPr="00774EE9">
        <w:rPr>
          <w:rFonts w:eastAsiaTheme="minorHAnsi"/>
          <w:lang w:eastAsia="en-US"/>
        </w:rPr>
        <w:t xml:space="preserve">(5) Az (1) bekezdésben foglalt kataszterekhez, kataszter jelentésekhez és előrejelzésekhez  a </w:t>
      </w:r>
    </w:p>
    <w:p w:rsidR="00774EE9" w:rsidRPr="00774EE9" w:rsidRDefault="00774EE9" w:rsidP="00774EE9">
      <w:pPr>
        <w:jc w:val="both"/>
        <w:rPr>
          <w:rFonts w:eastAsiaTheme="minorHAnsi"/>
          <w:lang w:eastAsia="en-US"/>
        </w:rPr>
      </w:pPr>
      <w:r w:rsidRPr="00774EE9">
        <w:rPr>
          <w:rFonts w:eastAsiaTheme="minorHAnsi"/>
          <w:lang w:eastAsia="en-US"/>
        </w:rPr>
        <w:t xml:space="preserve">a) a mezőgazdasággal kapcsolatos adatok és előrejelzések vonatkozásában a mezőgazdaságért felelős miniszter által vezetett minisztérium által szolgáltatott adatok alapján, </w:t>
      </w:r>
    </w:p>
    <w:p w:rsidR="00774EE9" w:rsidRPr="00774EE9" w:rsidRDefault="00774EE9" w:rsidP="00774EE9">
      <w:pPr>
        <w:jc w:val="both"/>
        <w:rPr>
          <w:rFonts w:eastAsiaTheme="minorHAnsi"/>
          <w:lang w:eastAsia="en-US"/>
        </w:rPr>
      </w:pPr>
      <w:r w:rsidRPr="00774EE9">
        <w:rPr>
          <w:rFonts w:eastAsiaTheme="minorHAnsi"/>
          <w:lang w:eastAsia="en-US"/>
        </w:rPr>
        <w:t xml:space="preserve">b) az iparra vonatkozó adatok és előrejelzések vonatkozásában a nemzetgazdaságért felelős miniszter által vezetett minisztérium által szolgáltatott adatok alapján, </w:t>
      </w:r>
    </w:p>
    <w:p w:rsidR="00774EE9" w:rsidRPr="00774EE9" w:rsidRDefault="00774EE9" w:rsidP="00774EE9">
      <w:pPr>
        <w:jc w:val="both"/>
        <w:rPr>
          <w:rFonts w:eastAsiaTheme="minorHAnsi"/>
          <w:lang w:eastAsia="en-US"/>
        </w:rPr>
      </w:pPr>
      <w:r w:rsidRPr="00774EE9">
        <w:rPr>
          <w:rFonts w:eastAsiaTheme="minorHAnsi"/>
          <w:lang w:eastAsia="en-US"/>
        </w:rPr>
        <w:t>c) az energetikára vonatkozó adatok és előrejelzések vonatkozásában az energetikáért felelős miniszter által vezetett minisztérium által szolgáltatott adatok alapján,</w:t>
      </w:r>
    </w:p>
    <w:p w:rsidR="00774EE9" w:rsidRPr="00774EE9" w:rsidRDefault="00774EE9" w:rsidP="00774EE9">
      <w:pPr>
        <w:jc w:val="both"/>
        <w:rPr>
          <w:rFonts w:eastAsiaTheme="minorHAnsi"/>
          <w:lang w:eastAsia="en-US"/>
        </w:rPr>
      </w:pPr>
      <w:r w:rsidRPr="00774EE9">
        <w:rPr>
          <w:rFonts w:eastAsiaTheme="minorHAnsi"/>
          <w:lang w:eastAsia="en-US"/>
        </w:rPr>
        <w:t>d) a hulladékgazdálkodásra vonatkozó adatok és előrejelzések vonatkozásában a környezetvédelemért felelős miniszter által vezetett minisztérium által szolgáltatott adatok alapján,</w:t>
      </w:r>
    </w:p>
    <w:p w:rsidR="00774EE9" w:rsidRPr="00774EE9" w:rsidRDefault="00774EE9" w:rsidP="00774EE9">
      <w:pPr>
        <w:jc w:val="both"/>
        <w:rPr>
          <w:rFonts w:eastAsiaTheme="minorHAnsi"/>
          <w:lang w:eastAsia="en-US"/>
        </w:rPr>
      </w:pPr>
      <w:r w:rsidRPr="00774EE9">
        <w:rPr>
          <w:rFonts w:eastAsiaTheme="minorHAnsi"/>
          <w:lang w:eastAsia="en-US"/>
        </w:rPr>
        <w:t>e) a szennyvízkezelésre vonatkozó adatok és előrejelzések vonatkozásában a vízgazdálkodásért felelős miniszter által vezetett minisztérium által szolgáltatott adatok alapján,</w:t>
      </w:r>
    </w:p>
    <w:p w:rsidR="00774EE9" w:rsidRPr="00774EE9" w:rsidRDefault="00774EE9" w:rsidP="00774EE9">
      <w:pPr>
        <w:spacing w:line="276" w:lineRule="auto"/>
        <w:jc w:val="both"/>
        <w:rPr>
          <w:color w:val="000000"/>
          <w:lang w:eastAsia="en-GB"/>
        </w:rPr>
      </w:pPr>
      <w:r w:rsidRPr="00774EE9">
        <w:rPr>
          <w:color w:val="000000"/>
          <w:lang w:eastAsia="en-GB"/>
        </w:rPr>
        <w:t>f) az ország gazdaságára és a társadalomra vonatkozó általános adatok vonatkozásában a Központi Statisztikai Hivatal által szolgáltatott adatok alapján, és</w:t>
      </w:r>
    </w:p>
    <w:p w:rsidR="00774EE9" w:rsidRPr="00774EE9" w:rsidRDefault="00774EE9" w:rsidP="00774EE9">
      <w:pPr>
        <w:spacing w:line="276" w:lineRule="auto"/>
        <w:jc w:val="both"/>
        <w:rPr>
          <w:color w:val="000000"/>
          <w:lang w:eastAsia="en-GB"/>
        </w:rPr>
      </w:pPr>
      <w:r w:rsidRPr="00774EE9">
        <w:rPr>
          <w:color w:val="000000"/>
          <w:lang w:eastAsia="en-GB"/>
        </w:rPr>
        <w:t xml:space="preserve">g) a Közlekedéstudományi Intézet által készített és az OMSZ számára megküldött, a közlekedési, szállítási ágazatra vonatkozó, az (1) bekezdésben foglalt kataszterek, kataszter jelentések és előrejelzések beépítésével, </w:t>
      </w:r>
    </w:p>
    <w:p w:rsidR="00774EE9" w:rsidRPr="00774EE9" w:rsidRDefault="00774EE9" w:rsidP="00774EE9">
      <w:pPr>
        <w:spacing w:after="200" w:line="276" w:lineRule="auto"/>
        <w:jc w:val="both"/>
        <w:rPr>
          <w:rFonts w:eastAsiaTheme="minorHAnsi"/>
          <w:lang w:eastAsia="en-US"/>
        </w:rPr>
      </w:pPr>
      <w:r w:rsidRPr="00774EE9">
        <w:rPr>
          <w:rFonts w:eastAsiaTheme="minorHAnsi"/>
          <w:lang w:eastAsia="en-US"/>
        </w:rPr>
        <w:t>az OMSZ készít javaslatot.</w:t>
      </w:r>
    </w:p>
    <w:p w:rsidR="00774EE9" w:rsidRPr="00774EE9" w:rsidRDefault="00774EE9" w:rsidP="00774EE9">
      <w:pPr>
        <w:autoSpaceDE w:val="0"/>
        <w:autoSpaceDN w:val="0"/>
        <w:adjustRightInd w:val="0"/>
        <w:jc w:val="both"/>
        <w:rPr>
          <w:rFonts w:eastAsia="Calibri"/>
        </w:rPr>
      </w:pPr>
      <w:r w:rsidRPr="00774EE9">
        <w:rPr>
          <w:rFonts w:eastAsia="Calibri"/>
        </w:rPr>
        <w:t xml:space="preserve">(6) Az (5) bekezdés szerinti adatszolgáltatás és a </w:t>
      </w:r>
      <w:r w:rsidRPr="00774EE9">
        <w:rPr>
          <w:color w:val="000000"/>
          <w:lang w:eastAsia="en-GB"/>
        </w:rPr>
        <w:t xml:space="preserve">közlekedési, szállítási ágazatra vonatkozó kataszterek, kataszter jelentések és előrejelzések  átadása </w:t>
      </w:r>
      <w:r w:rsidRPr="00774EE9">
        <w:rPr>
          <w:rFonts w:eastAsia="Calibri"/>
        </w:rPr>
        <w:t>ingyenesen történik.</w:t>
      </w:r>
    </w:p>
    <w:p w:rsidR="00774EE9" w:rsidRPr="00774EE9" w:rsidRDefault="00774EE9" w:rsidP="00774EE9">
      <w:pPr>
        <w:autoSpaceDE w:val="0"/>
        <w:autoSpaceDN w:val="0"/>
        <w:adjustRightInd w:val="0"/>
        <w:jc w:val="both"/>
        <w:rPr>
          <w:rFonts w:eastAsia="Calibri"/>
        </w:rPr>
      </w:pPr>
    </w:p>
    <w:p w:rsidR="00774EE9" w:rsidRPr="00774EE9" w:rsidRDefault="00774EE9" w:rsidP="00774EE9">
      <w:pPr>
        <w:autoSpaceDE w:val="0"/>
        <w:autoSpaceDN w:val="0"/>
        <w:adjustRightInd w:val="0"/>
        <w:jc w:val="both"/>
        <w:rPr>
          <w:rFonts w:eastAsia="Calibri"/>
        </w:rPr>
      </w:pPr>
      <w:r w:rsidRPr="00774EE9">
        <w:rPr>
          <w:rFonts w:eastAsia="Calibri"/>
        </w:rPr>
        <w:t>(7) Az OMSZ részére az adatszolgáltatás kizárólag elektronikus úton történik, kivéve, ha az adatok csak papír alapon állnak rendelkezésre. Az adatokat elektronikus továbbítás esetén további feldolgozásra alkalmas, szerkeszthető formátumban kell átadni.</w:t>
      </w:r>
    </w:p>
    <w:p w:rsidR="00774EE9" w:rsidRPr="00774EE9" w:rsidRDefault="00774EE9" w:rsidP="00774EE9">
      <w:pPr>
        <w:autoSpaceDE w:val="0"/>
        <w:autoSpaceDN w:val="0"/>
        <w:adjustRightInd w:val="0"/>
        <w:jc w:val="both"/>
        <w:rPr>
          <w:rFonts w:eastAsia="Calibri"/>
        </w:rPr>
      </w:pPr>
    </w:p>
    <w:p w:rsidR="00774EE9" w:rsidRPr="00774EE9" w:rsidRDefault="00774EE9" w:rsidP="00774EE9">
      <w:pPr>
        <w:autoSpaceDE w:val="0"/>
        <w:autoSpaceDN w:val="0"/>
        <w:adjustRightInd w:val="0"/>
        <w:jc w:val="both"/>
        <w:rPr>
          <w:rFonts w:eastAsia="Calibri"/>
        </w:rPr>
      </w:pPr>
      <w:r w:rsidRPr="00774EE9">
        <w:rPr>
          <w:rFonts w:eastAsia="Calibri"/>
        </w:rPr>
        <w:t>(8) Az (5) bekezdésében meghatározott rendszeres adatszolgáltatáson túlmenően az OMSZ jogosult az adatok kiegészítésének, pontosításának és a felülvizsgálat során szükségessé vált kijavítások elvégzésének érdekében adatot kérni az (5) bekezdésben felsorolt adatszolgáltatóktól és a 11. mellékletben meghatározott szennyezőanyagok kibocsátóitól.</w:t>
      </w:r>
    </w:p>
    <w:p w:rsidR="00774EE9" w:rsidRPr="00774EE9" w:rsidRDefault="00774EE9" w:rsidP="00774EE9">
      <w:pPr>
        <w:autoSpaceDE w:val="0"/>
        <w:autoSpaceDN w:val="0"/>
        <w:adjustRightInd w:val="0"/>
        <w:jc w:val="both"/>
        <w:rPr>
          <w:rFonts w:eastAsia="Calibri"/>
        </w:rPr>
      </w:pPr>
    </w:p>
    <w:p w:rsidR="00774EE9" w:rsidRPr="00774EE9" w:rsidRDefault="00774EE9" w:rsidP="00774EE9">
      <w:pPr>
        <w:autoSpaceDE w:val="0"/>
        <w:autoSpaceDN w:val="0"/>
        <w:adjustRightInd w:val="0"/>
        <w:jc w:val="both"/>
        <w:rPr>
          <w:rFonts w:eastAsia="Calibri"/>
        </w:rPr>
      </w:pPr>
      <w:r w:rsidRPr="00774EE9">
        <w:rPr>
          <w:rFonts w:eastAsia="Calibri"/>
        </w:rPr>
        <w:t>(5) Az üvegházhatású gázok kibocsátásával, valamint az éghajlatváltozással kapcsolatos országos jelentéssel való összhang biztosítása érdekében az OMSZ jogosult az üvegházhatású gázok kibocsátásával, valamint az éghajlatváltozással kapcsolatos nemzeti jelentés tartalmáról és elkészítésének módjáról, az adatszolgáltatás rendjéről, illetve az adatszolgáltatási kötelezettség megszegése esetén fizetendő bírságról</w:t>
      </w:r>
      <w:r w:rsidRPr="00774EE9" w:rsidDel="004028AA">
        <w:rPr>
          <w:rFonts w:eastAsia="Calibri"/>
        </w:rPr>
        <w:t xml:space="preserve"> </w:t>
      </w:r>
      <w:r w:rsidRPr="00774EE9">
        <w:rPr>
          <w:rFonts w:eastAsia="Calibri"/>
        </w:rPr>
        <w:t>szóló kormányrendelet keretében gyűjtött adatok felhasználására.</w:t>
      </w:r>
    </w:p>
    <w:p w:rsidR="00774EE9" w:rsidRPr="00774EE9" w:rsidRDefault="00774EE9" w:rsidP="00774EE9">
      <w:pPr>
        <w:autoSpaceDE w:val="0"/>
        <w:autoSpaceDN w:val="0"/>
        <w:adjustRightInd w:val="0"/>
        <w:jc w:val="both"/>
        <w:rPr>
          <w:rFonts w:eastAsia="Calibri"/>
        </w:rPr>
      </w:pPr>
    </w:p>
    <w:p w:rsidR="00774EE9" w:rsidRPr="00774EE9" w:rsidRDefault="00774EE9" w:rsidP="00774EE9">
      <w:pPr>
        <w:shd w:val="clear" w:color="auto" w:fill="FFFFFF"/>
        <w:spacing w:before="100" w:beforeAutospacing="1" w:after="360"/>
        <w:jc w:val="center"/>
        <w:outlineLvl w:val="1"/>
        <w:rPr>
          <w:rFonts w:eastAsiaTheme="minorHAnsi"/>
          <w:b/>
          <w:bCs/>
          <w:lang w:eastAsia="en-US"/>
        </w:rPr>
      </w:pPr>
      <w:r w:rsidRPr="00774EE9">
        <w:rPr>
          <w:b/>
          <w:bCs/>
          <w:lang w:eastAsia="en-GB"/>
        </w:rPr>
        <w:t xml:space="preserve">19/B. </w:t>
      </w:r>
      <w:r w:rsidRPr="00774EE9">
        <w:rPr>
          <w:rFonts w:eastAsiaTheme="minorHAnsi"/>
          <w:b/>
          <w:bCs/>
          <w:lang w:eastAsia="en-US"/>
        </w:rPr>
        <w:t>A levegőterhelés hatásainak nyomon követése</w:t>
      </w:r>
    </w:p>
    <w:p w:rsidR="00774EE9" w:rsidRPr="00774EE9" w:rsidRDefault="00774EE9" w:rsidP="00774EE9">
      <w:pPr>
        <w:shd w:val="clear" w:color="auto" w:fill="FFFFFF"/>
        <w:spacing w:before="100" w:beforeAutospacing="1" w:after="360"/>
        <w:jc w:val="both"/>
        <w:outlineLvl w:val="1"/>
        <w:rPr>
          <w:bCs/>
          <w:lang w:eastAsia="en-GB"/>
        </w:rPr>
      </w:pPr>
      <w:r w:rsidRPr="00774EE9">
        <w:rPr>
          <w:bCs/>
          <w:lang w:eastAsia="en-GB"/>
        </w:rPr>
        <w:t>32/C. § (1) A környezetvédelemért felelős miniszter meghatározza a levegőterhelés ökoszisztémákra gyakorolt káros hatásainak nyomon követését biztosító hálózat megfigyelési helyszíneit és az alkalmazott megfigyelési mutatókat.</w:t>
      </w:r>
    </w:p>
    <w:p w:rsidR="00774EE9" w:rsidRPr="00774EE9" w:rsidRDefault="00774EE9" w:rsidP="00774EE9">
      <w:pPr>
        <w:shd w:val="clear" w:color="auto" w:fill="FFFFFF"/>
        <w:spacing w:before="100" w:beforeAutospacing="1" w:after="360"/>
        <w:jc w:val="both"/>
        <w:outlineLvl w:val="1"/>
        <w:rPr>
          <w:bCs/>
          <w:lang w:eastAsia="en-GB"/>
        </w:rPr>
      </w:pPr>
      <w:r w:rsidRPr="00774EE9">
        <w:rPr>
          <w:bCs/>
          <w:lang w:eastAsia="en-GB"/>
        </w:rPr>
        <w:t xml:space="preserve">(2) A megfigyelési helyszínek meghatározásánál </w:t>
      </w:r>
    </w:p>
    <w:p w:rsidR="00774EE9" w:rsidRPr="00774EE9" w:rsidRDefault="00774EE9" w:rsidP="00774EE9">
      <w:pPr>
        <w:shd w:val="clear" w:color="auto" w:fill="FFFFFF"/>
        <w:spacing w:before="100" w:beforeAutospacing="1" w:after="360"/>
        <w:jc w:val="both"/>
        <w:outlineLvl w:val="1"/>
        <w:rPr>
          <w:bCs/>
          <w:lang w:eastAsia="en-GB"/>
        </w:rPr>
      </w:pPr>
      <w:r w:rsidRPr="00774EE9">
        <w:rPr>
          <w:bCs/>
          <w:lang w:eastAsia="en-GB"/>
        </w:rPr>
        <w:t>a) biztosítani kell a reprezentativitást az ország területén található édesvízi, természetes és természetközeli élőhely, valamint erdei ökoszisztéma típusok szempontjából;</w:t>
      </w:r>
    </w:p>
    <w:p w:rsidR="00774EE9" w:rsidRPr="00774EE9" w:rsidRDefault="00774EE9" w:rsidP="00774EE9">
      <w:pPr>
        <w:shd w:val="clear" w:color="auto" w:fill="FFFFFF"/>
        <w:spacing w:before="100" w:beforeAutospacing="1" w:after="360"/>
        <w:jc w:val="both"/>
        <w:outlineLvl w:val="1"/>
        <w:rPr>
          <w:bCs/>
          <w:lang w:eastAsia="en-GB"/>
        </w:rPr>
      </w:pPr>
      <w:r w:rsidRPr="00774EE9">
        <w:rPr>
          <w:bCs/>
          <w:lang w:eastAsia="en-GB"/>
        </w:rPr>
        <w:t xml:space="preserve">b) figyelembe kell venni a levegő védelméről szóló kormányrendelet, a felszíni vizek minősége védelmének szabályairól szóló kormányrendelet, a természetes élőhelyek, valamint a vadon élő állatok és növények védelméről szóló szabályozás előírásainak teljesítése céljából jelenleg működő megfigyelési helyszíneket annak érdekében, hogy a hálózat üzemeltetése költséghatékony legyen; </w:t>
      </w:r>
    </w:p>
    <w:p w:rsidR="00774EE9" w:rsidRPr="00774EE9" w:rsidRDefault="00774EE9" w:rsidP="00774EE9">
      <w:pPr>
        <w:shd w:val="clear" w:color="auto" w:fill="FFFFFF"/>
        <w:spacing w:before="100" w:beforeAutospacing="1" w:after="360"/>
        <w:jc w:val="both"/>
        <w:outlineLvl w:val="1"/>
        <w:rPr>
          <w:bCs/>
          <w:lang w:eastAsia="en-GB"/>
        </w:rPr>
      </w:pPr>
      <w:r w:rsidRPr="00774EE9">
        <w:rPr>
          <w:bCs/>
          <w:lang w:eastAsia="en-GB"/>
        </w:rPr>
        <w:t>c) kockázatalapú megközelítést kell alkalmazni.</w:t>
      </w:r>
    </w:p>
    <w:p w:rsidR="00774EE9" w:rsidRPr="00774EE9" w:rsidRDefault="00774EE9" w:rsidP="00774EE9">
      <w:pPr>
        <w:shd w:val="clear" w:color="auto" w:fill="FFFFFF"/>
        <w:spacing w:before="100" w:beforeAutospacing="1" w:after="360"/>
        <w:jc w:val="both"/>
        <w:outlineLvl w:val="1"/>
        <w:rPr>
          <w:bCs/>
          <w:lang w:eastAsia="en-GB"/>
        </w:rPr>
      </w:pPr>
      <w:r w:rsidRPr="00774EE9">
        <w:rPr>
          <w:bCs/>
          <w:lang w:eastAsia="en-GB"/>
        </w:rPr>
        <w:t>(3) A levegőterhelés hatásainak megfigyelésére vonatkozó mutatókat a LRTAP egyezmény nemzetközi együttműködési programjaihoz rendelkezésre álló kézikönyvekben leírtak alapján kell meghatározni.</w:t>
      </w:r>
    </w:p>
    <w:p w:rsidR="00774EE9" w:rsidRPr="00774EE9" w:rsidRDefault="00774EE9" w:rsidP="00774EE9">
      <w:pPr>
        <w:numPr>
          <w:ilvl w:val="0"/>
          <w:numId w:val="1"/>
        </w:numPr>
        <w:spacing w:after="200" w:line="276" w:lineRule="auto"/>
        <w:contextualSpacing/>
        <w:jc w:val="center"/>
        <w:rPr>
          <w:rFonts w:eastAsiaTheme="minorHAnsi"/>
          <w:b/>
          <w:bCs/>
          <w:lang w:eastAsia="en-US"/>
        </w:rPr>
      </w:pPr>
      <w:r w:rsidRPr="00774EE9">
        <w:rPr>
          <w:rFonts w:eastAsiaTheme="minorHAnsi"/>
          <w:b/>
          <w:bCs/>
          <w:lang w:eastAsia="en-US"/>
        </w:rPr>
        <w:t>§</w:t>
      </w:r>
    </w:p>
    <w:p w:rsidR="00774EE9" w:rsidRPr="00774EE9" w:rsidRDefault="00774EE9" w:rsidP="00774EE9">
      <w:pPr>
        <w:ind w:left="720"/>
        <w:contextualSpacing/>
        <w:rPr>
          <w:rFonts w:eastAsiaTheme="minorHAnsi"/>
          <w:b/>
          <w:bCs/>
          <w:lang w:eastAsia="en-US"/>
        </w:rPr>
      </w:pPr>
    </w:p>
    <w:p w:rsidR="00774EE9" w:rsidRPr="00774EE9" w:rsidRDefault="00774EE9" w:rsidP="00774EE9">
      <w:pPr>
        <w:jc w:val="both"/>
        <w:rPr>
          <w:rFonts w:eastAsiaTheme="minorHAnsi"/>
          <w:lang w:eastAsia="en-US"/>
        </w:rPr>
      </w:pPr>
      <w:r w:rsidRPr="00774EE9">
        <w:rPr>
          <w:rFonts w:eastAsiaTheme="minorHAnsi"/>
          <w:lang w:eastAsia="en-US"/>
        </w:rPr>
        <w:t>Az R III. fejezete a 20. alcíme a következő 33/A. szakasszal egészül ki:</w:t>
      </w:r>
    </w:p>
    <w:p w:rsidR="00774EE9" w:rsidRPr="00774EE9" w:rsidRDefault="00774EE9" w:rsidP="00774EE9">
      <w:pPr>
        <w:autoSpaceDE w:val="0"/>
        <w:autoSpaceDN w:val="0"/>
        <w:adjustRightInd w:val="0"/>
        <w:jc w:val="both"/>
        <w:rPr>
          <w:rFonts w:eastAsiaTheme="minorHAnsi"/>
          <w:lang w:eastAsia="en-US"/>
        </w:rPr>
      </w:pPr>
    </w:p>
    <w:p w:rsidR="00774EE9" w:rsidRPr="00774EE9" w:rsidRDefault="00774EE9" w:rsidP="00774EE9">
      <w:pPr>
        <w:shd w:val="clear" w:color="auto" w:fill="FFFFFF"/>
        <w:jc w:val="both"/>
        <w:rPr>
          <w:lang w:eastAsia="en-GB"/>
        </w:rPr>
      </w:pPr>
      <w:r w:rsidRPr="00774EE9">
        <w:rPr>
          <w:lang w:eastAsia="en-GB"/>
        </w:rPr>
        <w:t>„33/A. § (1) A 32/A. § (1) bekezdés szerinti, továbbá az 21/C.-21/E. §-ban szereplő eltérések bármelyikének alkalmazása esetén a 32/A. § (2) bekezdés szerinti országos emisszió katasztert, térbeli bontásban megadott adatokat tartalmazó országos emisszió katasztert, nagy pontszerű forrásokra vonatkozó katasztert, országos légszennyezőanyag kibocsátás-előrejelzést, tájékoztató kataszterjelentést a 11. mellékletben szereplő határidőkig a környezetvédelemért felelős miniszter benyújtja a Bizottságnak és egyidejűleg az Európai Környezetvédelmi Ügynökségnek.</w:t>
      </w:r>
    </w:p>
    <w:p w:rsidR="00774EE9" w:rsidRPr="00774EE9" w:rsidRDefault="00774EE9" w:rsidP="00774EE9">
      <w:pPr>
        <w:shd w:val="clear" w:color="auto" w:fill="FFFFFF"/>
        <w:ind w:firstLine="240"/>
        <w:jc w:val="both"/>
        <w:rPr>
          <w:lang w:eastAsia="en-GB"/>
        </w:rPr>
      </w:pPr>
    </w:p>
    <w:p w:rsidR="00774EE9" w:rsidRPr="00774EE9" w:rsidRDefault="00774EE9" w:rsidP="00774EE9">
      <w:pPr>
        <w:shd w:val="clear" w:color="auto" w:fill="FFFFFF"/>
        <w:jc w:val="both"/>
        <w:rPr>
          <w:lang w:eastAsia="en-GB"/>
        </w:rPr>
      </w:pPr>
      <w:r w:rsidRPr="00774EE9">
        <w:rPr>
          <w:lang w:eastAsia="en-GB"/>
        </w:rPr>
        <w:t>(2) Az 21/C.-21/E. §-ban szereplő valamely eltérés alkalmazásakor a környezetvédelemért felelős miniszter által vezetett minisztérium az adott jelentéstételi év február 15-ig tájékoztatja erről a Bizottságot.</w:t>
      </w:r>
    </w:p>
    <w:p w:rsidR="00774EE9" w:rsidRPr="00774EE9" w:rsidRDefault="00774EE9" w:rsidP="00774EE9">
      <w:pPr>
        <w:shd w:val="clear" w:color="auto" w:fill="FFFFFF"/>
        <w:ind w:firstLine="240"/>
        <w:jc w:val="both"/>
        <w:rPr>
          <w:lang w:eastAsia="en-GB"/>
        </w:rPr>
      </w:pPr>
    </w:p>
    <w:p w:rsidR="00774EE9" w:rsidRPr="00774EE9" w:rsidRDefault="00774EE9" w:rsidP="00774EE9">
      <w:pPr>
        <w:shd w:val="clear" w:color="auto" w:fill="FFFFFF"/>
        <w:jc w:val="both"/>
        <w:rPr>
          <w:lang w:eastAsia="en-GB"/>
        </w:rPr>
      </w:pPr>
      <w:r w:rsidRPr="00774EE9">
        <w:rPr>
          <w:lang w:eastAsia="en-GB"/>
        </w:rPr>
        <w:t xml:space="preserve">(3) A (2) bekezdés szerinti tájékoztatás tartalmazza az érintett szennyezőanyagok megnevezését, az érintett kibocsátó ágazatokat és - amennyiben indokolt - hatását az emisszió kataszter adataira.  </w:t>
      </w:r>
    </w:p>
    <w:p w:rsidR="00774EE9" w:rsidRPr="00774EE9" w:rsidRDefault="00774EE9" w:rsidP="00774EE9">
      <w:pPr>
        <w:shd w:val="clear" w:color="auto" w:fill="FFFFFF"/>
        <w:ind w:firstLine="240"/>
        <w:jc w:val="both"/>
        <w:rPr>
          <w:lang w:eastAsia="en-GB"/>
        </w:rPr>
      </w:pPr>
    </w:p>
    <w:p w:rsidR="00774EE9" w:rsidRPr="00774EE9" w:rsidRDefault="00774EE9" w:rsidP="00774EE9">
      <w:pPr>
        <w:shd w:val="clear" w:color="auto" w:fill="FFFFFF"/>
        <w:jc w:val="both"/>
        <w:rPr>
          <w:lang w:eastAsia="en-GB"/>
        </w:rPr>
      </w:pPr>
      <w:r w:rsidRPr="00774EE9">
        <w:rPr>
          <w:lang w:eastAsia="en-GB"/>
        </w:rPr>
        <w:t xml:space="preserve">(4) A LRTAP egyezményhez kapcsolódó, a savasodás, az eutrofizáció és a talaj közeli ózon csökkentéséről szóló, 1999. december 1-én Göteborgban aláírt Jegyzőkönyv kihirdetéséről szóló kormányrendelet előírása alapján az (1) bekezdésben szereplő emisszió kataszterek és </w:t>
      </w:r>
      <w:r w:rsidRPr="00774EE9">
        <w:rPr>
          <w:lang w:eastAsia="en-GB"/>
        </w:rPr>
        <w:lastRenderedPageBreak/>
        <w:t>légszennyezőanyag kibocsátás-előrejelzések benyújtását a környezetvédelemért felelős miniszter által vezetett minisztérium az Egyezmény titkárságának bejelenti.”</w:t>
      </w:r>
    </w:p>
    <w:p w:rsidR="00774EE9" w:rsidRPr="00774EE9" w:rsidRDefault="00774EE9" w:rsidP="00774EE9">
      <w:pPr>
        <w:shd w:val="clear" w:color="auto" w:fill="FFFFFF"/>
        <w:ind w:firstLine="240"/>
        <w:jc w:val="both"/>
        <w:rPr>
          <w:lang w:eastAsia="en-GB"/>
        </w:rPr>
      </w:pPr>
    </w:p>
    <w:p w:rsidR="00774EE9" w:rsidRPr="00774EE9" w:rsidRDefault="00774EE9" w:rsidP="00774EE9">
      <w:pPr>
        <w:numPr>
          <w:ilvl w:val="0"/>
          <w:numId w:val="1"/>
        </w:numPr>
        <w:spacing w:after="200" w:line="276" w:lineRule="auto"/>
        <w:contextualSpacing/>
        <w:jc w:val="center"/>
        <w:rPr>
          <w:rFonts w:eastAsiaTheme="minorHAnsi"/>
          <w:b/>
          <w:bCs/>
          <w:lang w:eastAsia="en-US"/>
        </w:rPr>
      </w:pPr>
      <w:r w:rsidRPr="00774EE9">
        <w:rPr>
          <w:rFonts w:eastAsiaTheme="minorHAnsi"/>
          <w:b/>
          <w:bCs/>
          <w:lang w:eastAsia="en-US"/>
        </w:rPr>
        <w:t>§</w:t>
      </w:r>
    </w:p>
    <w:p w:rsidR="00774EE9" w:rsidRPr="00774EE9" w:rsidRDefault="00774EE9" w:rsidP="00774EE9">
      <w:pPr>
        <w:jc w:val="both"/>
        <w:rPr>
          <w:rFonts w:eastAsiaTheme="minorHAnsi"/>
          <w:lang w:eastAsia="en-US"/>
        </w:rPr>
      </w:pPr>
    </w:p>
    <w:p w:rsidR="00774EE9" w:rsidRPr="00774EE9" w:rsidRDefault="00774EE9" w:rsidP="00774EE9">
      <w:pPr>
        <w:jc w:val="both"/>
        <w:rPr>
          <w:rFonts w:eastAsiaTheme="minorHAnsi"/>
          <w:lang w:eastAsia="en-US"/>
        </w:rPr>
      </w:pPr>
      <w:r w:rsidRPr="00774EE9">
        <w:rPr>
          <w:rFonts w:eastAsiaTheme="minorHAnsi"/>
          <w:lang w:eastAsia="en-US"/>
        </w:rPr>
        <w:t>Az R IV. fejezet 24. alcíme a következő 42/A. szakasszal egészül ki:</w:t>
      </w:r>
    </w:p>
    <w:p w:rsidR="00774EE9" w:rsidRPr="00774EE9" w:rsidRDefault="00774EE9" w:rsidP="00774EE9">
      <w:pPr>
        <w:jc w:val="both"/>
        <w:rPr>
          <w:rFonts w:eastAsiaTheme="minorHAnsi"/>
          <w:lang w:eastAsia="en-US"/>
        </w:rPr>
      </w:pPr>
    </w:p>
    <w:p w:rsidR="00774EE9" w:rsidRPr="00774EE9" w:rsidRDefault="00774EE9" w:rsidP="00774EE9">
      <w:pPr>
        <w:shd w:val="clear" w:color="auto" w:fill="FFFFFF"/>
        <w:jc w:val="both"/>
        <w:rPr>
          <w:lang w:eastAsia="en-GB"/>
        </w:rPr>
      </w:pPr>
      <w:r w:rsidRPr="00774EE9">
        <w:rPr>
          <w:lang w:eastAsia="en-GB"/>
        </w:rPr>
        <w:t>„42/A.§ (1) A 10. melléklet 2. pontja alatt szereplő táblázat légszennyezőanyagokra vonatkozó 2010. évi országos összkibocsátási határértékeit 2019. december 31-ig kell alkalmazni.</w:t>
      </w:r>
    </w:p>
    <w:p w:rsidR="00774EE9" w:rsidRPr="00774EE9" w:rsidRDefault="00774EE9" w:rsidP="00774EE9">
      <w:pPr>
        <w:shd w:val="clear" w:color="auto" w:fill="FFFFFF"/>
        <w:jc w:val="both"/>
        <w:rPr>
          <w:lang w:eastAsia="en-GB"/>
        </w:rPr>
      </w:pPr>
      <w:r w:rsidRPr="00774EE9">
        <w:rPr>
          <w:lang w:eastAsia="en-GB"/>
        </w:rPr>
        <w:t xml:space="preserve">(2) Az (1) bekezdés szerinti határértékek tekintetében e rendelet 21/C. § (1)-(3) bekezdései 2019. december 31-ig alkalmazhatóak. </w:t>
      </w:r>
    </w:p>
    <w:p w:rsidR="00774EE9" w:rsidRPr="00774EE9" w:rsidRDefault="00774EE9" w:rsidP="00774EE9">
      <w:pPr>
        <w:jc w:val="both"/>
        <w:rPr>
          <w:rFonts w:eastAsiaTheme="minorHAnsi"/>
          <w:lang w:eastAsia="en-US"/>
        </w:rPr>
      </w:pPr>
    </w:p>
    <w:p w:rsidR="00774EE9" w:rsidRPr="00774EE9" w:rsidRDefault="00774EE9" w:rsidP="00774EE9">
      <w:pPr>
        <w:numPr>
          <w:ilvl w:val="0"/>
          <w:numId w:val="1"/>
        </w:numPr>
        <w:spacing w:after="200" w:line="276" w:lineRule="auto"/>
        <w:contextualSpacing/>
        <w:jc w:val="center"/>
        <w:rPr>
          <w:rFonts w:eastAsiaTheme="minorHAnsi"/>
          <w:b/>
          <w:bCs/>
          <w:lang w:eastAsia="en-US"/>
        </w:rPr>
      </w:pPr>
      <w:r w:rsidRPr="00774EE9">
        <w:rPr>
          <w:rFonts w:eastAsiaTheme="minorHAnsi"/>
          <w:b/>
          <w:bCs/>
          <w:lang w:eastAsia="en-US"/>
        </w:rPr>
        <w:t>§</w:t>
      </w:r>
    </w:p>
    <w:p w:rsidR="00774EE9" w:rsidRPr="00774EE9" w:rsidRDefault="00774EE9" w:rsidP="00774EE9">
      <w:pPr>
        <w:jc w:val="both"/>
        <w:rPr>
          <w:rFonts w:eastAsiaTheme="minorHAnsi"/>
          <w:lang w:eastAsia="en-US"/>
        </w:rPr>
      </w:pPr>
    </w:p>
    <w:p w:rsidR="00774EE9" w:rsidRPr="00774EE9" w:rsidRDefault="00774EE9" w:rsidP="00774EE9">
      <w:pPr>
        <w:jc w:val="both"/>
        <w:rPr>
          <w:rFonts w:eastAsiaTheme="minorHAnsi"/>
          <w:lang w:eastAsia="en-US"/>
        </w:rPr>
      </w:pPr>
      <w:r w:rsidRPr="00774EE9">
        <w:rPr>
          <w:rFonts w:eastAsiaTheme="minorHAnsi"/>
          <w:lang w:eastAsia="en-US"/>
        </w:rPr>
        <w:t>Az R 43.§ (1) bekezdés d) pontja helyébe a következő rendelkezés lép:</w:t>
      </w:r>
    </w:p>
    <w:p w:rsidR="00774EE9" w:rsidRPr="00774EE9" w:rsidRDefault="00774EE9" w:rsidP="00774EE9">
      <w:pPr>
        <w:jc w:val="both"/>
        <w:rPr>
          <w:rFonts w:eastAsiaTheme="minorHAnsi"/>
          <w:lang w:eastAsia="en-US"/>
        </w:rPr>
      </w:pPr>
    </w:p>
    <w:p w:rsidR="00774EE9" w:rsidRPr="00774EE9" w:rsidRDefault="00774EE9" w:rsidP="00774EE9">
      <w:pPr>
        <w:jc w:val="both"/>
        <w:rPr>
          <w:rFonts w:eastAsiaTheme="minorHAnsi"/>
          <w:i/>
          <w:lang w:eastAsia="en-US"/>
        </w:rPr>
      </w:pPr>
      <w:r w:rsidRPr="00774EE9">
        <w:rPr>
          <w:rFonts w:eastAsiaTheme="minorHAnsi"/>
          <w:i/>
          <w:lang w:eastAsia="en-US"/>
        </w:rPr>
        <w:t>Ez a rendelet</w:t>
      </w:r>
    </w:p>
    <w:p w:rsidR="00774EE9" w:rsidRPr="00774EE9" w:rsidRDefault="00774EE9" w:rsidP="00774EE9">
      <w:pPr>
        <w:shd w:val="clear" w:color="auto" w:fill="FFFFFF"/>
        <w:ind w:firstLine="240"/>
        <w:jc w:val="both"/>
        <w:rPr>
          <w:rFonts w:eastAsiaTheme="minorHAnsi"/>
          <w:lang w:eastAsia="en-US"/>
        </w:rPr>
      </w:pPr>
      <w:r w:rsidRPr="00774EE9">
        <w:rPr>
          <w:rFonts w:eastAsiaTheme="minorHAnsi"/>
          <w:lang w:eastAsia="en-US"/>
        </w:rPr>
        <w:t xml:space="preserve">„d) </w:t>
      </w:r>
      <w:r w:rsidRPr="00774EE9">
        <w:rPr>
          <w:lang w:eastAsia="en-GB"/>
        </w:rPr>
        <w:t>az egyes légköri szennyező anyagok nemzeti kibocsátásának csökkentéséről, a 2003/35/EK irányelv módosításáról, valamint a 2001/81/EK irányelv hatályon kívül helyezéséről szóló, 2016. december 14-i 2016/2284 európai parlamenti és tanácsi irányelvnek,</w:t>
      </w:r>
      <w:r w:rsidRPr="00774EE9">
        <w:rPr>
          <w:rFonts w:eastAsiaTheme="minorHAnsi"/>
          <w:lang w:eastAsia="en-US"/>
        </w:rPr>
        <w:t>”</w:t>
      </w:r>
    </w:p>
    <w:p w:rsidR="00774EE9" w:rsidRPr="00774EE9" w:rsidRDefault="00774EE9" w:rsidP="00774EE9">
      <w:pPr>
        <w:shd w:val="clear" w:color="auto" w:fill="FFFFFF"/>
        <w:ind w:firstLine="240"/>
        <w:jc w:val="both"/>
        <w:rPr>
          <w:rFonts w:eastAsiaTheme="minorHAnsi"/>
          <w:i/>
          <w:lang w:eastAsia="en-US"/>
        </w:rPr>
      </w:pPr>
      <w:r w:rsidRPr="00774EE9">
        <w:rPr>
          <w:rFonts w:eastAsiaTheme="minorHAnsi"/>
          <w:i/>
          <w:lang w:eastAsia="en-US"/>
        </w:rPr>
        <w:t>való megfelelést szolgálja.</w:t>
      </w:r>
    </w:p>
    <w:p w:rsidR="00774EE9" w:rsidRPr="00774EE9" w:rsidRDefault="00774EE9" w:rsidP="00774EE9">
      <w:pPr>
        <w:jc w:val="both"/>
        <w:rPr>
          <w:rFonts w:eastAsiaTheme="minorHAnsi"/>
          <w:lang w:eastAsia="en-US"/>
        </w:rPr>
      </w:pPr>
    </w:p>
    <w:p w:rsidR="00774EE9" w:rsidRPr="00774EE9" w:rsidRDefault="00774EE9" w:rsidP="00774EE9">
      <w:pPr>
        <w:numPr>
          <w:ilvl w:val="0"/>
          <w:numId w:val="1"/>
        </w:numPr>
        <w:contextualSpacing/>
        <w:jc w:val="center"/>
        <w:rPr>
          <w:rFonts w:eastAsiaTheme="minorHAnsi"/>
          <w:b/>
          <w:lang w:eastAsia="en-US"/>
        </w:rPr>
      </w:pPr>
      <w:r w:rsidRPr="00774EE9">
        <w:rPr>
          <w:rFonts w:eastAsiaTheme="minorHAnsi"/>
          <w:b/>
          <w:lang w:eastAsia="en-US"/>
        </w:rPr>
        <w:t>§</w:t>
      </w:r>
    </w:p>
    <w:p w:rsidR="00774EE9" w:rsidRPr="00774EE9" w:rsidRDefault="00774EE9" w:rsidP="00774EE9">
      <w:pPr>
        <w:jc w:val="both"/>
        <w:rPr>
          <w:rFonts w:eastAsiaTheme="minorHAnsi"/>
          <w:lang w:eastAsia="en-US"/>
        </w:rPr>
      </w:pPr>
    </w:p>
    <w:p w:rsidR="00774EE9" w:rsidRPr="00774EE9" w:rsidRDefault="00774EE9" w:rsidP="00774EE9">
      <w:pPr>
        <w:jc w:val="both"/>
        <w:rPr>
          <w:rFonts w:eastAsiaTheme="minorHAnsi"/>
          <w:lang w:eastAsia="en-US"/>
        </w:rPr>
      </w:pPr>
      <w:r w:rsidRPr="00774EE9">
        <w:rPr>
          <w:rFonts w:eastAsiaTheme="minorHAnsi"/>
          <w:lang w:eastAsia="en-US"/>
        </w:rPr>
        <w:t>Az R 8. mellékletének e) pontjában a „10. cikk (2) bekezdése” szövegrész helyébe a „10. cikke” szöveg lép.</w:t>
      </w:r>
    </w:p>
    <w:p w:rsidR="00774EE9" w:rsidRPr="00774EE9" w:rsidRDefault="00774EE9" w:rsidP="00774EE9">
      <w:pPr>
        <w:jc w:val="both"/>
        <w:rPr>
          <w:rFonts w:eastAsiaTheme="minorHAnsi"/>
          <w:lang w:eastAsia="en-US"/>
        </w:rPr>
      </w:pPr>
    </w:p>
    <w:p w:rsidR="00774EE9" w:rsidRPr="00774EE9" w:rsidRDefault="00774EE9" w:rsidP="00774EE9">
      <w:pPr>
        <w:numPr>
          <w:ilvl w:val="0"/>
          <w:numId w:val="1"/>
        </w:numPr>
        <w:spacing w:after="200" w:line="276" w:lineRule="auto"/>
        <w:contextualSpacing/>
        <w:jc w:val="center"/>
        <w:rPr>
          <w:rFonts w:eastAsiaTheme="minorHAnsi"/>
          <w:b/>
          <w:bCs/>
          <w:lang w:eastAsia="en-US"/>
        </w:rPr>
      </w:pPr>
      <w:r w:rsidRPr="00774EE9">
        <w:rPr>
          <w:rFonts w:eastAsiaTheme="minorHAnsi"/>
          <w:b/>
          <w:bCs/>
          <w:lang w:eastAsia="en-US"/>
        </w:rPr>
        <w:t>§</w:t>
      </w:r>
    </w:p>
    <w:p w:rsidR="00774EE9" w:rsidRPr="00774EE9" w:rsidRDefault="00774EE9" w:rsidP="00774EE9">
      <w:pPr>
        <w:jc w:val="both"/>
        <w:rPr>
          <w:rFonts w:eastAsiaTheme="minorHAnsi"/>
          <w:lang w:eastAsia="en-US"/>
        </w:rPr>
      </w:pPr>
    </w:p>
    <w:p w:rsidR="00774EE9" w:rsidRPr="00774EE9" w:rsidRDefault="00774EE9" w:rsidP="00774EE9">
      <w:pPr>
        <w:jc w:val="both"/>
        <w:rPr>
          <w:rFonts w:eastAsiaTheme="minorHAnsi"/>
          <w:lang w:eastAsia="en-US"/>
        </w:rPr>
      </w:pPr>
      <w:r w:rsidRPr="00774EE9">
        <w:rPr>
          <w:rFonts w:eastAsiaTheme="minorHAnsi"/>
          <w:lang w:eastAsia="en-US"/>
        </w:rPr>
        <w:t>Az R kiegészül e-rendelet 1-4 mellékletével.</w:t>
      </w:r>
    </w:p>
    <w:p w:rsidR="00774EE9" w:rsidRPr="00774EE9" w:rsidRDefault="00774EE9" w:rsidP="00774EE9">
      <w:pPr>
        <w:jc w:val="both"/>
        <w:rPr>
          <w:rFonts w:eastAsiaTheme="minorHAnsi"/>
          <w:lang w:eastAsia="en-US"/>
        </w:rPr>
      </w:pPr>
    </w:p>
    <w:p w:rsidR="00774EE9" w:rsidRPr="00774EE9" w:rsidRDefault="00774EE9" w:rsidP="00774EE9">
      <w:pPr>
        <w:numPr>
          <w:ilvl w:val="0"/>
          <w:numId w:val="1"/>
        </w:numPr>
        <w:spacing w:after="200" w:line="276" w:lineRule="auto"/>
        <w:contextualSpacing/>
        <w:jc w:val="center"/>
        <w:rPr>
          <w:rFonts w:eastAsiaTheme="minorHAnsi"/>
          <w:b/>
          <w:bCs/>
          <w:lang w:eastAsia="en-US"/>
        </w:rPr>
      </w:pPr>
      <w:r w:rsidRPr="00774EE9">
        <w:rPr>
          <w:rFonts w:eastAsiaTheme="minorHAnsi"/>
          <w:b/>
          <w:bCs/>
          <w:lang w:eastAsia="en-US"/>
        </w:rPr>
        <w:t>§</w:t>
      </w:r>
    </w:p>
    <w:p w:rsidR="00774EE9" w:rsidRPr="00774EE9" w:rsidRDefault="00774EE9" w:rsidP="00774EE9">
      <w:pPr>
        <w:jc w:val="both"/>
        <w:rPr>
          <w:rFonts w:eastAsiaTheme="minorHAnsi"/>
          <w:lang w:eastAsia="en-US"/>
        </w:rPr>
      </w:pPr>
    </w:p>
    <w:p w:rsidR="00774EE9" w:rsidRPr="00774EE9" w:rsidRDefault="00774EE9" w:rsidP="00774EE9">
      <w:pPr>
        <w:autoSpaceDE w:val="0"/>
        <w:autoSpaceDN w:val="0"/>
        <w:adjustRightInd w:val="0"/>
      </w:pPr>
      <w:r w:rsidRPr="00774EE9">
        <w:t>Ez a rendelet a kihirdetését követő 8. napon lép hatályba.</w:t>
      </w:r>
    </w:p>
    <w:p w:rsidR="00774EE9" w:rsidRPr="00774EE9" w:rsidRDefault="00774EE9" w:rsidP="00774EE9">
      <w:pPr>
        <w:autoSpaceDE w:val="0"/>
        <w:autoSpaceDN w:val="0"/>
        <w:adjustRightInd w:val="0"/>
      </w:pPr>
    </w:p>
    <w:p w:rsidR="00774EE9" w:rsidRPr="00774EE9" w:rsidRDefault="00774EE9" w:rsidP="00774EE9">
      <w:pPr>
        <w:numPr>
          <w:ilvl w:val="0"/>
          <w:numId w:val="1"/>
        </w:numPr>
        <w:spacing w:after="200" w:line="276" w:lineRule="auto"/>
        <w:contextualSpacing/>
        <w:jc w:val="center"/>
        <w:rPr>
          <w:rFonts w:eastAsiaTheme="minorHAnsi"/>
          <w:b/>
          <w:bCs/>
          <w:lang w:eastAsia="en-US"/>
        </w:rPr>
      </w:pPr>
      <w:r w:rsidRPr="00774EE9">
        <w:rPr>
          <w:rFonts w:eastAsiaTheme="minorHAnsi"/>
          <w:b/>
          <w:bCs/>
          <w:lang w:eastAsia="en-US"/>
        </w:rPr>
        <w:t>§</w:t>
      </w:r>
    </w:p>
    <w:p w:rsidR="00774EE9" w:rsidRPr="00774EE9" w:rsidRDefault="00774EE9" w:rsidP="00774EE9">
      <w:pPr>
        <w:jc w:val="both"/>
        <w:rPr>
          <w:rFonts w:eastAsiaTheme="minorHAnsi"/>
          <w:lang w:eastAsia="en-US"/>
        </w:rPr>
      </w:pPr>
    </w:p>
    <w:p w:rsidR="00774EE9" w:rsidRPr="00774EE9" w:rsidRDefault="00774EE9" w:rsidP="00774EE9">
      <w:pPr>
        <w:jc w:val="both"/>
        <w:rPr>
          <w:rFonts w:eastAsiaTheme="minorHAnsi"/>
          <w:lang w:eastAsia="en-US"/>
        </w:rPr>
      </w:pPr>
      <w:r w:rsidRPr="00774EE9">
        <w:rPr>
          <w:rFonts w:eastAsiaTheme="minorHAnsi"/>
          <w:lang w:eastAsia="en-US"/>
        </w:rPr>
        <w:t>Ez a rendelet az egyes légköri szennyezőanyagok nemzeti kibocsátásának csökkentéséről, a 2003/35/EK irányelv módosításáról, valamint a 2001/81/EK irányelv hatályon kívül helyezéséről szóló, 2016. december 10-i 2016/2284 európai parlamenti és tanácsi irányelvnek való megfelelést szolgálja.</w:t>
      </w:r>
    </w:p>
    <w:p w:rsidR="00774EE9" w:rsidRPr="00774EE9" w:rsidRDefault="00774EE9" w:rsidP="00774EE9">
      <w:pPr>
        <w:spacing w:after="200" w:line="276" w:lineRule="auto"/>
        <w:rPr>
          <w:rFonts w:eastAsiaTheme="minorHAnsi"/>
          <w:lang w:eastAsia="en-US"/>
        </w:rPr>
      </w:pPr>
      <w:r w:rsidRPr="00774EE9">
        <w:rPr>
          <w:rFonts w:eastAsiaTheme="minorHAnsi"/>
          <w:lang w:eastAsia="en-US"/>
        </w:rPr>
        <w:br w:type="page"/>
      </w:r>
    </w:p>
    <w:p w:rsidR="00774EE9" w:rsidRPr="00774EE9" w:rsidRDefault="00774EE9" w:rsidP="00774EE9">
      <w:pPr>
        <w:jc w:val="right"/>
        <w:rPr>
          <w:bCs/>
          <w:i/>
        </w:rPr>
      </w:pPr>
      <w:r w:rsidRPr="00774EE9">
        <w:rPr>
          <w:bCs/>
          <w:i/>
        </w:rPr>
        <w:lastRenderedPageBreak/>
        <w:t>1. melléklet a …/2018. (…) Korm. rendelethez</w:t>
      </w:r>
    </w:p>
    <w:p w:rsidR="00774EE9" w:rsidRPr="00774EE9" w:rsidRDefault="00774EE9" w:rsidP="00774EE9">
      <w:pPr>
        <w:rPr>
          <w:i/>
          <w:iCs/>
          <w:color w:val="000000"/>
        </w:rPr>
      </w:pPr>
    </w:p>
    <w:p w:rsidR="00774EE9" w:rsidRPr="00774EE9" w:rsidRDefault="00774EE9" w:rsidP="00774EE9">
      <w:pPr>
        <w:rPr>
          <w:bCs/>
          <w:u w:val="single"/>
        </w:rPr>
      </w:pPr>
      <w:r w:rsidRPr="00774EE9">
        <w:rPr>
          <w:bCs/>
          <w:u w:val="single"/>
        </w:rPr>
        <w:t xml:space="preserve">10. melléklet a 306/2010. (XII. 23.) Korm. rendelethez </w:t>
      </w:r>
    </w:p>
    <w:p w:rsidR="00774EE9" w:rsidRPr="00774EE9" w:rsidRDefault="00774EE9" w:rsidP="00774EE9">
      <w:pPr>
        <w:rPr>
          <w:iCs/>
          <w:color w:val="000000"/>
        </w:rPr>
      </w:pPr>
    </w:p>
    <w:p w:rsidR="00774EE9" w:rsidRPr="00774EE9" w:rsidRDefault="00774EE9" w:rsidP="00774EE9">
      <w:pPr>
        <w:jc w:val="both"/>
        <w:rPr>
          <w:b/>
          <w:bCs/>
          <w:i/>
        </w:rPr>
      </w:pPr>
      <w:r w:rsidRPr="00774EE9">
        <w:rPr>
          <w:b/>
          <w:bCs/>
          <w:i/>
        </w:rPr>
        <w:t>1. Országos légszennyezőanyag kibocsátás-csökkentési kötelezettségek</w:t>
      </w:r>
    </w:p>
    <w:p w:rsidR="00774EE9" w:rsidRPr="00774EE9" w:rsidRDefault="00774EE9" w:rsidP="00774EE9">
      <w:pPr>
        <w:jc w:val="both"/>
        <w:rPr>
          <w:b/>
          <w:bCs/>
          <w:i/>
        </w:rPr>
      </w:pPr>
    </w:p>
    <w:p w:rsidR="00774EE9" w:rsidRPr="00774EE9" w:rsidRDefault="00774EE9" w:rsidP="00774EE9">
      <w:pPr>
        <w:jc w:val="both"/>
        <w:rPr>
          <w:bCs/>
        </w:rPr>
      </w:pPr>
      <w:r w:rsidRPr="00774EE9">
        <w:rPr>
          <w:bCs/>
        </w:rPr>
        <w:t>1.1 A kén-dioxid (SO</w:t>
      </w:r>
      <w:r w:rsidRPr="00774EE9">
        <w:rPr>
          <w:bCs/>
          <w:vertAlign w:val="subscript"/>
        </w:rPr>
        <w:t>2</w:t>
      </w:r>
      <w:r w:rsidRPr="00774EE9">
        <w:rPr>
          <w:bCs/>
        </w:rPr>
        <w:t>), nitrogén-oxidok (NOx), a metántól eltérő illékony szerves vegyületek (NM NMVOC), az ammónia (NH</w:t>
      </w:r>
      <w:r w:rsidRPr="00774EE9">
        <w:rPr>
          <w:bCs/>
          <w:vertAlign w:val="subscript"/>
        </w:rPr>
        <w:t>3</w:t>
      </w:r>
      <w:r w:rsidRPr="00774EE9">
        <w:rPr>
          <w:bCs/>
        </w:rPr>
        <w:t>) és a PM</w:t>
      </w:r>
      <w:r w:rsidRPr="00774EE9">
        <w:rPr>
          <w:bCs/>
          <w:vertAlign w:val="subscript"/>
        </w:rPr>
        <w:t>2,5</w:t>
      </w:r>
      <w:r w:rsidRPr="00774EE9">
        <w:rPr>
          <w:bCs/>
        </w:rPr>
        <w:t xml:space="preserve"> légszennyezőanyagokra vonatkozó országos kibocsátás csökkentési kötelezettségek.</w:t>
      </w:r>
    </w:p>
    <w:p w:rsidR="00774EE9" w:rsidRPr="00774EE9" w:rsidRDefault="00774EE9" w:rsidP="00774EE9">
      <w:pPr>
        <w:jc w:val="both"/>
        <w:rPr>
          <w:bCs/>
        </w:rPr>
      </w:pPr>
    </w:p>
    <w:tbl>
      <w:tblPr>
        <w:tblStyle w:val="Rcsostblzat"/>
        <w:tblW w:w="0" w:type="auto"/>
        <w:tblInd w:w="108" w:type="dxa"/>
        <w:tblLook w:val="04A0" w:firstRow="1" w:lastRow="0" w:firstColumn="1" w:lastColumn="0" w:noHBand="0" w:noVBand="1"/>
      </w:tblPr>
      <w:tblGrid>
        <w:gridCol w:w="456"/>
        <w:gridCol w:w="3061"/>
        <w:gridCol w:w="3214"/>
        <w:gridCol w:w="2449"/>
      </w:tblGrid>
      <w:tr w:rsidR="00774EE9" w:rsidRPr="00774EE9" w:rsidTr="00465851">
        <w:tc>
          <w:tcPr>
            <w:tcW w:w="456" w:type="dxa"/>
            <w:vAlign w:val="center"/>
          </w:tcPr>
          <w:p w:rsidR="00774EE9" w:rsidRPr="00774EE9" w:rsidRDefault="00774EE9" w:rsidP="00774EE9">
            <w:pPr>
              <w:jc w:val="center"/>
              <w:rPr>
                <w:bCs/>
              </w:rPr>
            </w:pPr>
          </w:p>
        </w:tc>
        <w:tc>
          <w:tcPr>
            <w:tcW w:w="3230" w:type="dxa"/>
            <w:shd w:val="clear" w:color="auto" w:fill="auto"/>
            <w:vAlign w:val="center"/>
          </w:tcPr>
          <w:p w:rsidR="00774EE9" w:rsidRPr="00774EE9" w:rsidRDefault="00774EE9" w:rsidP="00774EE9">
            <w:pPr>
              <w:jc w:val="center"/>
              <w:rPr>
                <w:bCs/>
                <w:lang w:val="en-GB"/>
              </w:rPr>
            </w:pPr>
            <w:r w:rsidRPr="00774EE9">
              <w:rPr>
                <w:bCs/>
                <w:lang w:val="en-GB"/>
              </w:rPr>
              <w:t>A</w:t>
            </w:r>
          </w:p>
        </w:tc>
        <w:tc>
          <w:tcPr>
            <w:tcW w:w="3423" w:type="dxa"/>
            <w:shd w:val="clear" w:color="auto" w:fill="auto"/>
            <w:vAlign w:val="center"/>
          </w:tcPr>
          <w:p w:rsidR="00774EE9" w:rsidRPr="00774EE9" w:rsidRDefault="00774EE9" w:rsidP="00774EE9">
            <w:pPr>
              <w:jc w:val="center"/>
              <w:rPr>
                <w:bCs/>
                <w:lang w:val="en-GB"/>
              </w:rPr>
            </w:pPr>
            <w:r w:rsidRPr="00774EE9">
              <w:rPr>
                <w:bCs/>
                <w:lang w:val="en-GB"/>
              </w:rPr>
              <w:t>B</w:t>
            </w:r>
          </w:p>
        </w:tc>
        <w:tc>
          <w:tcPr>
            <w:tcW w:w="2638" w:type="dxa"/>
            <w:shd w:val="clear" w:color="auto" w:fill="auto"/>
            <w:vAlign w:val="center"/>
          </w:tcPr>
          <w:p w:rsidR="00774EE9" w:rsidRPr="00774EE9" w:rsidRDefault="00774EE9" w:rsidP="00774EE9">
            <w:pPr>
              <w:jc w:val="center"/>
              <w:rPr>
                <w:bCs/>
                <w:lang w:val="en-GB"/>
              </w:rPr>
            </w:pPr>
            <w:r w:rsidRPr="00774EE9">
              <w:rPr>
                <w:bCs/>
                <w:lang w:val="en-GB"/>
              </w:rPr>
              <w:t>C</w:t>
            </w:r>
          </w:p>
        </w:tc>
      </w:tr>
      <w:tr w:rsidR="00774EE9" w:rsidRPr="00774EE9" w:rsidTr="00465851">
        <w:tc>
          <w:tcPr>
            <w:tcW w:w="456" w:type="dxa"/>
            <w:vAlign w:val="center"/>
          </w:tcPr>
          <w:p w:rsidR="00774EE9" w:rsidRPr="00774EE9" w:rsidRDefault="00774EE9" w:rsidP="00774EE9">
            <w:pPr>
              <w:jc w:val="center"/>
              <w:rPr>
                <w:bCs/>
                <w:lang w:val="en-GB"/>
              </w:rPr>
            </w:pPr>
            <w:r w:rsidRPr="00774EE9">
              <w:rPr>
                <w:bCs/>
                <w:lang w:val="en-GB"/>
              </w:rPr>
              <w:t>1</w:t>
            </w:r>
          </w:p>
        </w:tc>
        <w:tc>
          <w:tcPr>
            <w:tcW w:w="3230" w:type="dxa"/>
            <w:shd w:val="clear" w:color="auto" w:fill="auto"/>
            <w:vAlign w:val="center"/>
          </w:tcPr>
          <w:p w:rsidR="00774EE9" w:rsidRPr="00774EE9" w:rsidRDefault="00774EE9" w:rsidP="00774EE9">
            <w:pPr>
              <w:jc w:val="center"/>
              <w:rPr>
                <w:bCs/>
                <w:lang w:val="en-GB"/>
              </w:rPr>
            </w:pPr>
          </w:p>
        </w:tc>
        <w:tc>
          <w:tcPr>
            <w:tcW w:w="3423" w:type="dxa"/>
            <w:shd w:val="clear" w:color="auto" w:fill="auto"/>
            <w:vAlign w:val="center"/>
          </w:tcPr>
          <w:p w:rsidR="00774EE9" w:rsidRPr="00774EE9" w:rsidRDefault="00774EE9" w:rsidP="00774EE9">
            <w:pPr>
              <w:jc w:val="center"/>
              <w:rPr>
                <w:bCs/>
                <w:lang w:val="en-GB"/>
              </w:rPr>
            </w:pPr>
          </w:p>
        </w:tc>
        <w:tc>
          <w:tcPr>
            <w:tcW w:w="2638" w:type="dxa"/>
            <w:shd w:val="clear" w:color="auto" w:fill="auto"/>
            <w:vAlign w:val="center"/>
          </w:tcPr>
          <w:p w:rsidR="00774EE9" w:rsidRPr="00774EE9" w:rsidRDefault="00774EE9" w:rsidP="00774EE9">
            <w:pPr>
              <w:jc w:val="center"/>
              <w:rPr>
                <w:bCs/>
                <w:lang w:val="en-GB"/>
              </w:rPr>
            </w:pPr>
            <w:r w:rsidRPr="00774EE9">
              <w:rPr>
                <w:bCs/>
                <w:lang w:val="en-GB"/>
              </w:rPr>
              <w:t>%</w:t>
            </w:r>
          </w:p>
        </w:tc>
      </w:tr>
      <w:tr w:rsidR="00774EE9" w:rsidRPr="00774EE9" w:rsidTr="00465851">
        <w:tc>
          <w:tcPr>
            <w:tcW w:w="456" w:type="dxa"/>
            <w:vAlign w:val="center"/>
          </w:tcPr>
          <w:p w:rsidR="00774EE9" w:rsidRPr="00774EE9" w:rsidRDefault="00774EE9" w:rsidP="00774EE9">
            <w:pPr>
              <w:jc w:val="center"/>
              <w:rPr>
                <w:bCs/>
                <w:lang w:val="en-GB"/>
              </w:rPr>
            </w:pPr>
            <w:r w:rsidRPr="00774EE9">
              <w:rPr>
                <w:bCs/>
                <w:lang w:val="en-GB"/>
              </w:rPr>
              <w:t>2</w:t>
            </w:r>
          </w:p>
        </w:tc>
        <w:tc>
          <w:tcPr>
            <w:tcW w:w="3230" w:type="dxa"/>
            <w:vMerge w:val="restart"/>
            <w:shd w:val="clear" w:color="auto" w:fill="auto"/>
            <w:vAlign w:val="center"/>
          </w:tcPr>
          <w:p w:rsidR="00774EE9" w:rsidRPr="00774EE9" w:rsidRDefault="00774EE9" w:rsidP="00774EE9">
            <w:pPr>
              <w:jc w:val="center"/>
              <w:rPr>
                <w:bCs/>
                <w:lang w:val="en-GB"/>
              </w:rPr>
            </w:pPr>
            <w:r w:rsidRPr="00774EE9">
              <w:rPr>
                <w:bCs/>
                <w:lang w:val="en-GB"/>
              </w:rPr>
              <w:t>SO</w:t>
            </w:r>
            <w:r w:rsidRPr="00774EE9">
              <w:rPr>
                <w:bCs/>
                <w:vertAlign w:val="subscript"/>
                <w:lang w:val="en-GB"/>
              </w:rPr>
              <w:t>2</w:t>
            </w:r>
            <w:r w:rsidRPr="00774EE9">
              <w:rPr>
                <w:bCs/>
                <w:lang w:val="en-GB"/>
              </w:rPr>
              <w:t xml:space="preserve"> csökkentés </w:t>
            </w:r>
          </w:p>
        </w:tc>
        <w:tc>
          <w:tcPr>
            <w:tcW w:w="3423" w:type="dxa"/>
            <w:shd w:val="clear" w:color="auto" w:fill="auto"/>
            <w:vAlign w:val="center"/>
          </w:tcPr>
          <w:p w:rsidR="00774EE9" w:rsidRPr="00774EE9" w:rsidRDefault="00774EE9" w:rsidP="00774EE9">
            <w:pPr>
              <w:jc w:val="center"/>
              <w:rPr>
                <w:bCs/>
                <w:lang w:val="en-GB"/>
              </w:rPr>
            </w:pPr>
            <w:r w:rsidRPr="00774EE9">
              <w:rPr>
                <w:bCs/>
                <w:lang w:val="en-GB"/>
              </w:rPr>
              <w:t>A 2020 és 2029 közötti</w:t>
            </w:r>
          </w:p>
          <w:p w:rsidR="00774EE9" w:rsidRPr="00774EE9" w:rsidRDefault="00774EE9" w:rsidP="00774EE9">
            <w:pPr>
              <w:jc w:val="center"/>
              <w:rPr>
                <w:bCs/>
                <w:lang w:val="en-GB"/>
              </w:rPr>
            </w:pPr>
            <w:r w:rsidRPr="00774EE9">
              <w:rPr>
                <w:bCs/>
                <w:lang w:val="en-GB"/>
              </w:rPr>
              <w:t>bármely év</w:t>
            </w:r>
          </w:p>
        </w:tc>
        <w:tc>
          <w:tcPr>
            <w:tcW w:w="2638" w:type="dxa"/>
            <w:shd w:val="clear" w:color="auto" w:fill="auto"/>
            <w:vAlign w:val="center"/>
          </w:tcPr>
          <w:p w:rsidR="00774EE9" w:rsidRPr="00774EE9" w:rsidRDefault="00774EE9" w:rsidP="00774EE9">
            <w:pPr>
              <w:jc w:val="center"/>
              <w:rPr>
                <w:bCs/>
                <w:lang w:val="en-GB"/>
              </w:rPr>
            </w:pPr>
            <w:r w:rsidRPr="00774EE9">
              <w:rPr>
                <w:bCs/>
                <w:lang w:val="en-GB"/>
              </w:rPr>
              <w:t>46</w:t>
            </w:r>
          </w:p>
        </w:tc>
      </w:tr>
      <w:tr w:rsidR="00774EE9" w:rsidRPr="00774EE9" w:rsidTr="00465851">
        <w:tc>
          <w:tcPr>
            <w:tcW w:w="456" w:type="dxa"/>
            <w:vAlign w:val="center"/>
          </w:tcPr>
          <w:p w:rsidR="00774EE9" w:rsidRPr="00774EE9" w:rsidRDefault="00774EE9" w:rsidP="00774EE9">
            <w:pPr>
              <w:jc w:val="center"/>
              <w:rPr>
                <w:bCs/>
                <w:lang w:val="en-GB"/>
              </w:rPr>
            </w:pPr>
            <w:r w:rsidRPr="00774EE9">
              <w:rPr>
                <w:bCs/>
                <w:lang w:val="en-GB"/>
              </w:rPr>
              <w:t>3</w:t>
            </w:r>
          </w:p>
        </w:tc>
        <w:tc>
          <w:tcPr>
            <w:tcW w:w="3230" w:type="dxa"/>
            <w:vMerge/>
            <w:shd w:val="clear" w:color="auto" w:fill="auto"/>
            <w:vAlign w:val="center"/>
          </w:tcPr>
          <w:p w:rsidR="00774EE9" w:rsidRPr="00774EE9" w:rsidRDefault="00774EE9" w:rsidP="00774EE9">
            <w:pPr>
              <w:jc w:val="center"/>
              <w:rPr>
                <w:bCs/>
                <w:lang w:val="en-GB"/>
              </w:rPr>
            </w:pPr>
          </w:p>
        </w:tc>
        <w:tc>
          <w:tcPr>
            <w:tcW w:w="3423" w:type="dxa"/>
            <w:shd w:val="clear" w:color="auto" w:fill="auto"/>
            <w:vAlign w:val="center"/>
          </w:tcPr>
          <w:p w:rsidR="00774EE9" w:rsidRPr="00774EE9" w:rsidRDefault="00774EE9" w:rsidP="00774EE9">
            <w:pPr>
              <w:jc w:val="center"/>
              <w:rPr>
                <w:bCs/>
                <w:lang w:val="en-GB"/>
              </w:rPr>
            </w:pPr>
            <w:r w:rsidRPr="00774EE9">
              <w:rPr>
                <w:bCs/>
                <w:lang w:val="en-GB"/>
              </w:rPr>
              <w:t>2030 és az az követő</w:t>
            </w:r>
          </w:p>
          <w:p w:rsidR="00774EE9" w:rsidRPr="00774EE9" w:rsidRDefault="00774EE9" w:rsidP="00774EE9">
            <w:pPr>
              <w:jc w:val="center"/>
              <w:rPr>
                <w:bCs/>
                <w:lang w:val="en-GB"/>
              </w:rPr>
            </w:pPr>
            <w:r w:rsidRPr="00774EE9">
              <w:rPr>
                <w:bCs/>
                <w:lang w:val="en-GB"/>
              </w:rPr>
              <w:t>bármely év</w:t>
            </w:r>
          </w:p>
        </w:tc>
        <w:tc>
          <w:tcPr>
            <w:tcW w:w="2638" w:type="dxa"/>
            <w:shd w:val="clear" w:color="auto" w:fill="auto"/>
            <w:vAlign w:val="center"/>
          </w:tcPr>
          <w:p w:rsidR="00774EE9" w:rsidRPr="00774EE9" w:rsidRDefault="00774EE9" w:rsidP="00774EE9">
            <w:pPr>
              <w:jc w:val="center"/>
              <w:rPr>
                <w:bCs/>
                <w:lang w:val="en-GB"/>
              </w:rPr>
            </w:pPr>
            <w:r w:rsidRPr="00774EE9">
              <w:rPr>
                <w:bCs/>
                <w:lang w:val="en-GB"/>
              </w:rPr>
              <w:t>73</w:t>
            </w:r>
          </w:p>
        </w:tc>
      </w:tr>
      <w:tr w:rsidR="00774EE9" w:rsidRPr="00774EE9" w:rsidTr="00465851">
        <w:tc>
          <w:tcPr>
            <w:tcW w:w="456" w:type="dxa"/>
            <w:vAlign w:val="center"/>
          </w:tcPr>
          <w:p w:rsidR="00774EE9" w:rsidRPr="00774EE9" w:rsidRDefault="00774EE9" w:rsidP="00774EE9">
            <w:pPr>
              <w:jc w:val="center"/>
              <w:rPr>
                <w:bCs/>
                <w:lang w:val="en-GB"/>
              </w:rPr>
            </w:pPr>
            <w:r w:rsidRPr="00774EE9">
              <w:rPr>
                <w:bCs/>
                <w:lang w:val="en-GB"/>
              </w:rPr>
              <w:t>4</w:t>
            </w:r>
          </w:p>
        </w:tc>
        <w:tc>
          <w:tcPr>
            <w:tcW w:w="3230" w:type="dxa"/>
            <w:vMerge w:val="restart"/>
            <w:shd w:val="clear" w:color="auto" w:fill="auto"/>
            <w:vAlign w:val="center"/>
          </w:tcPr>
          <w:p w:rsidR="00774EE9" w:rsidRPr="00774EE9" w:rsidRDefault="00774EE9" w:rsidP="00774EE9">
            <w:pPr>
              <w:jc w:val="center"/>
              <w:rPr>
                <w:bCs/>
                <w:lang w:val="en-GB"/>
              </w:rPr>
            </w:pPr>
            <w:r w:rsidRPr="00774EE9">
              <w:rPr>
                <w:bCs/>
                <w:lang w:val="en-GB"/>
              </w:rPr>
              <w:t>NO</w:t>
            </w:r>
            <w:r w:rsidRPr="00774EE9">
              <w:rPr>
                <w:bCs/>
                <w:vertAlign w:val="subscript"/>
                <w:lang w:val="en-GB"/>
              </w:rPr>
              <w:t>x</w:t>
            </w:r>
            <w:r w:rsidRPr="00774EE9">
              <w:rPr>
                <w:bCs/>
                <w:lang w:val="en-GB"/>
              </w:rPr>
              <w:t xml:space="preserve"> csökkentés </w:t>
            </w:r>
          </w:p>
        </w:tc>
        <w:tc>
          <w:tcPr>
            <w:tcW w:w="3423" w:type="dxa"/>
            <w:shd w:val="clear" w:color="auto" w:fill="auto"/>
            <w:vAlign w:val="center"/>
          </w:tcPr>
          <w:p w:rsidR="00774EE9" w:rsidRPr="00774EE9" w:rsidRDefault="00774EE9" w:rsidP="00774EE9">
            <w:pPr>
              <w:jc w:val="center"/>
              <w:rPr>
                <w:bCs/>
                <w:lang w:val="en-GB"/>
              </w:rPr>
            </w:pPr>
            <w:r w:rsidRPr="00774EE9">
              <w:rPr>
                <w:bCs/>
                <w:lang w:val="en-GB"/>
              </w:rPr>
              <w:t xml:space="preserve">A 2020 és 2029 közötti </w:t>
            </w:r>
          </w:p>
          <w:p w:rsidR="00774EE9" w:rsidRPr="00774EE9" w:rsidRDefault="00774EE9" w:rsidP="00774EE9">
            <w:pPr>
              <w:jc w:val="center"/>
              <w:rPr>
                <w:bCs/>
                <w:lang w:val="en-GB"/>
              </w:rPr>
            </w:pPr>
            <w:r w:rsidRPr="00774EE9">
              <w:rPr>
                <w:bCs/>
                <w:lang w:val="en-GB"/>
              </w:rPr>
              <w:t>bármely év</w:t>
            </w:r>
          </w:p>
        </w:tc>
        <w:tc>
          <w:tcPr>
            <w:tcW w:w="2638" w:type="dxa"/>
            <w:shd w:val="clear" w:color="auto" w:fill="auto"/>
            <w:vAlign w:val="center"/>
          </w:tcPr>
          <w:p w:rsidR="00774EE9" w:rsidRPr="00774EE9" w:rsidRDefault="00774EE9" w:rsidP="00774EE9">
            <w:pPr>
              <w:jc w:val="center"/>
              <w:rPr>
                <w:bCs/>
                <w:lang w:val="en-GB"/>
              </w:rPr>
            </w:pPr>
            <w:r w:rsidRPr="00774EE9">
              <w:rPr>
                <w:bCs/>
                <w:lang w:val="en-GB"/>
              </w:rPr>
              <w:t>34</w:t>
            </w:r>
          </w:p>
        </w:tc>
      </w:tr>
      <w:tr w:rsidR="00774EE9" w:rsidRPr="00774EE9" w:rsidTr="00465851">
        <w:tc>
          <w:tcPr>
            <w:tcW w:w="456" w:type="dxa"/>
            <w:vAlign w:val="center"/>
          </w:tcPr>
          <w:p w:rsidR="00774EE9" w:rsidRPr="00774EE9" w:rsidRDefault="00774EE9" w:rsidP="00774EE9">
            <w:pPr>
              <w:jc w:val="center"/>
              <w:rPr>
                <w:bCs/>
                <w:lang w:val="en-GB"/>
              </w:rPr>
            </w:pPr>
            <w:r w:rsidRPr="00774EE9">
              <w:rPr>
                <w:bCs/>
                <w:lang w:val="en-GB"/>
              </w:rPr>
              <w:t>5</w:t>
            </w:r>
          </w:p>
        </w:tc>
        <w:tc>
          <w:tcPr>
            <w:tcW w:w="3230" w:type="dxa"/>
            <w:vMerge/>
            <w:shd w:val="clear" w:color="auto" w:fill="auto"/>
            <w:vAlign w:val="center"/>
          </w:tcPr>
          <w:p w:rsidR="00774EE9" w:rsidRPr="00774EE9" w:rsidRDefault="00774EE9" w:rsidP="00774EE9">
            <w:pPr>
              <w:jc w:val="center"/>
              <w:rPr>
                <w:bCs/>
                <w:lang w:val="en-GB"/>
              </w:rPr>
            </w:pPr>
          </w:p>
        </w:tc>
        <w:tc>
          <w:tcPr>
            <w:tcW w:w="3423" w:type="dxa"/>
            <w:shd w:val="clear" w:color="auto" w:fill="auto"/>
            <w:vAlign w:val="center"/>
          </w:tcPr>
          <w:p w:rsidR="00774EE9" w:rsidRPr="00774EE9" w:rsidRDefault="00774EE9" w:rsidP="00774EE9">
            <w:pPr>
              <w:jc w:val="center"/>
              <w:rPr>
                <w:bCs/>
                <w:lang w:val="en-GB"/>
              </w:rPr>
            </w:pPr>
            <w:r w:rsidRPr="00774EE9">
              <w:rPr>
                <w:bCs/>
                <w:lang w:val="en-GB"/>
              </w:rPr>
              <w:t>2030 és az az követő</w:t>
            </w:r>
          </w:p>
          <w:p w:rsidR="00774EE9" w:rsidRPr="00774EE9" w:rsidRDefault="00774EE9" w:rsidP="00774EE9">
            <w:pPr>
              <w:jc w:val="center"/>
              <w:rPr>
                <w:bCs/>
                <w:lang w:val="en-GB"/>
              </w:rPr>
            </w:pPr>
            <w:r w:rsidRPr="00774EE9">
              <w:rPr>
                <w:bCs/>
                <w:lang w:val="en-GB"/>
              </w:rPr>
              <w:t>bármely év</w:t>
            </w:r>
          </w:p>
        </w:tc>
        <w:tc>
          <w:tcPr>
            <w:tcW w:w="2638" w:type="dxa"/>
            <w:shd w:val="clear" w:color="auto" w:fill="auto"/>
            <w:vAlign w:val="center"/>
          </w:tcPr>
          <w:p w:rsidR="00774EE9" w:rsidRPr="00774EE9" w:rsidRDefault="00774EE9" w:rsidP="00774EE9">
            <w:pPr>
              <w:jc w:val="center"/>
              <w:rPr>
                <w:bCs/>
                <w:lang w:val="en-GB"/>
              </w:rPr>
            </w:pPr>
            <w:r w:rsidRPr="00774EE9">
              <w:rPr>
                <w:bCs/>
                <w:lang w:val="en-GB"/>
              </w:rPr>
              <w:t>66</w:t>
            </w:r>
          </w:p>
        </w:tc>
      </w:tr>
      <w:tr w:rsidR="00774EE9" w:rsidRPr="00774EE9" w:rsidTr="00465851">
        <w:tc>
          <w:tcPr>
            <w:tcW w:w="456" w:type="dxa"/>
            <w:vAlign w:val="center"/>
          </w:tcPr>
          <w:p w:rsidR="00774EE9" w:rsidRPr="00774EE9" w:rsidRDefault="00774EE9" w:rsidP="00774EE9">
            <w:pPr>
              <w:jc w:val="center"/>
              <w:rPr>
                <w:bCs/>
                <w:lang w:val="en-GB"/>
              </w:rPr>
            </w:pPr>
            <w:r w:rsidRPr="00774EE9">
              <w:rPr>
                <w:bCs/>
                <w:lang w:val="en-GB"/>
              </w:rPr>
              <w:t>6</w:t>
            </w:r>
          </w:p>
        </w:tc>
        <w:tc>
          <w:tcPr>
            <w:tcW w:w="3230" w:type="dxa"/>
            <w:vMerge w:val="restart"/>
            <w:shd w:val="clear" w:color="auto" w:fill="auto"/>
            <w:vAlign w:val="center"/>
          </w:tcPr>
          <w:p w:rsidR="00774EE9" w:rsidRPr="00774EE9" w:rsidRDefault="00774EE9" w:rsidP="00774EE9">
            <w:pPr>
              <w:jc w:val="center"/>
              <w:rPr>
                <w:bCs/>
                <w:lang w:val="en-GB"/>
              </w:rPr>
            </w:pPr>
            <w:r w:rsidRPr="00774EE9">
              <w:rPr>
                <w:bCs/>
                <w:lang w:val="en-GB"/>
              </w:rPr>
              <w:t xml:space="preserve">NM VOC csökkentés </w:t>
            </w:r>
          </w:p>
        </w:tc>
        <w:tc>
          <w:tcPr>
            <w:tcW w:w="3423" w:type="dxa"/>
            <w:shd w:val="clear" w:color="auto" w:fill="auto"/>
            <w:vAlign w:val="center"/>
          </w:tcPr>
          <w:p w:rsidR="00774EE9" w:rsidRPr="00774EE9" w:rsidRDefault="00774EE9" w:rsidP="00774EE9">
            <w:pPr>
              <w:jc w:val="center"/>
              <w:rPr>
                <w:bCs/>
                <w:lang w:val="en-GB"/>
              </w:rPr>
            </w:pPr>
            <w:r w:rsidRPr="00774EE9">
              <w:rPr>
                <w:bCs/>
                <w:lang w:val="en-GB"/>
              </w:rPr>
              <w:t xml:space="preserve">A 2020 és 2029 közötti </w:t>
            </w:r>
          </w:p>
          <w:p w:rsidR="00774EE9" w:rsidRPr="00774EE9" w:rsidRDefault="00774EE9" w:rsidP="00774EE9">
            <w:pPr>
              <w:jc w:val="center"/>
              <w:rPr>
                <w:bCs/>
                <w:lang w:val="en-GB"/>
              </w:rPr>
            </w:pPr>
            <w:r w:rsidRPr="00774EE9">
              <w:rPr>
                <w:bCs/>
                <w:lang w:val="en-GB"/>
              </w:rPr>
              <w:t>bármely év</w:t>
            </w:r>
          </w:p>
        </w:tc>
        <w:tc>
          <w:tcPr>
            <w:tcW w:w="2638" w:type="dxa"/>
            <w:shd w:val="clear" w:color="auto" w:fill="auto"/>
            <w:vAlign w:val="center"/>
          </w:tcPr>
          <w:p w:rsidR="00774EE9" w:rsidRPr="00774EE9" w:rsidRDefault="00774EE9" w:rsidP="00774EE9">
            <w:pPr>
              <w:jc w:val="center"/>
              <w:rPr>
                <w:bCs/>
                <w:lang w:val="en-GB"/>
              </w:rPr>
            </w:pPr>
            <w:r w:rsidRPr="00774EE9">
              <w:rPr>
                <w:bCs/>
                <w:lang w:val="en-GB"/>
              </w:rPr>
              <w:t>30</w:t>
            </w:r>
          </w:p>
        </w:tc>
      </w:tr>
      <w:tr w:rsidR="00774EE9" w:rsidRPr="00774EE9" w:rsidTr="00465851">
        <w:tc>
          <w:tcPr>
            <w:tcW w:w="456" w:type="dxa"/>
            <w:vAlign w:val="center"/>
          </w:tcPr>
          <w:p w:rsidR="00774EE9" w:rsidRPr="00774EE9" w:rsidRDefault="00774EE9" w:rsidP="00774EE9">
            <w:pPr>
              <w:jc w:val="center"/>
              <w:rPr>
                <w:bCs/>
                <w:lang w:val="en-GB"/>
              </w:rPr>
            </w:pPr>
            <w:r w:rsidRPr="00774EE9">
              <w:rPr>
                <w:bCs/>
                <w:lang w:val="en-GB"/>
              </w:rPr>
              <w:t>7</w:t>
            </w:r>
          </w:p>
        </w:tc>
        <w:tc>
          <w:tcPr>
            <w:tcW w:w="3230" w:type="dxa"/>
            <w:vMerge/>
            <w:shd w:val="clear" w:color="auto" w:fill="auto"/>
            <w:vAlign w:val="center"/>
          </w:tcPr>
          <w:p w:rsidR="00774EE9" w:rsidRPr="00774EE9" w:rsidRDefault="00774EE9" w:rsidP="00774EE9">
            <w:pPr>
              <w:jc w:val="center"/>
              <w:rPr>
                <w:bCs/>
                <w:lang w:val="en-GB"/>
              </w:rPr>
            </w:pPr>
          </w:p>
        </w:tc>
        <w:tc>
          <w:tcPr>
            <w:tcW w:w="3423" w:type="dxa"/>
            <w:shd w:val="clear" w:color="auto" w:fill="auto"/>
            <w:vAlign w:val="center"/>
          </w:tcPr>
          <w:p w:rsidR="00774EE9" w:rsidRPr="00774EE9" w:rsidRDefault="00774EE9" w:rsidP="00774EE9">
            <w:pPr>
              <w:jc w:val="center"/>
              <w:rPr>
                <w:bCs/>
                <w:lang w:val="en-GB"/>
              </w:rPr>
            </w:pPr>
            <w:r w:rsidRPr="00774EE9">
              <w:rPr>
                <w:bCs/>
                <w:lang w:val="en-GB"/>
              </w:rPr>
              <w:t>2030 és az az követő</w:t>
            </w:r>
          </w:p>
          <w:p w:rsidR="00774EE9" w:rsidRPr="00774EE9" w:rsidRDefault="00774EE9" w:rsidP="00774EE9">
            <w:pPr>
              <w:jc w:val="center"/>
              <w:rPr>
                <w:bCs/>
                <w:lang w:val="en-GB"/>
              </w:rPr>
            </w:pPr>
            <w:r w:rsidRPr="00774EE9">
              <w:rPr>
                <w:bCs/>
                <w:lang w:val="en-GB"/>
              </w:rPr>
              <w:t>bármely év</w:t>
            </w:r>
          </w:p>
        </w:tc>
        <w:tc>
          <w:tcPr>
            <w:tcW w:w="2638" w:type="dxa"/>
            <w:shd w:val="clear" w:color="auto" w:fill="auto"/>
            <w:vAlign w:val="center"/>
          </w:tcPr>
          <w:p w:rsidR="00774EE9" w:rsidRPr="00774EE9" w:rsidRDefault="00774EE9" w:rsidP="00774EE9">
            <w:pPr>
              <w:jc w:val="center"/>
              <w:rPr>
                <w:bCs/>
                <w:lang w:val="en-GB"/>
              </w:rPr>
            </w:pPr>
            <w:r w:rsidRPr="00774EE9">
              <w:rPr>
                <w:bCs/>
                <w:lang w:val="en-GB"/>
              </w:rPr>
              <w:t>58</w:t>
            </w:r>
          </w:p>
        </w:tc>
      </w:tr>
      <w:tr w:rsidR="00774EE9" w:rsidRPr="00774EE9" w:rsidTr="00465851">
        <w:tc>
          <w:tcPr>
            <w:tcW w:w="456" w:type="dxa"/>
            <w:vAlign w:val="center"/>
          </w:tcPr>
          <w:p w:rsidR="00774EE9" w:rsidRPr="00774EE9" w:rsidRDefault="00774EE9" w:rsidP="00774EE9">
            <w:pPr>
              <w:jc w:val="center"/>
              <w:rPr>
                <w:bCs/>
                <w:lang w:val="en-GB"/>
              </w:rPr>
            </w:pPr>
            <w:r w:rsidRPr="00774EE9">
              <w:rPr>
                <w:bCs/>
                <w:lang w:val="en-GB"/>
              </w:rPr>
              <w:t>8</w:t>
            </w:r>
          </w:p>
        </w:tc>
        <w:tc>
          <w:tcPr>
            <w:tcW w:w="3230" w:type="dxa"/>
            <w:vMerge w:val="restart"/>
            <w:shd w:val="clear" w:color="auto" w:fill="auto"/>
            <w:vAlign w:val="center"/>
          </w:tcPr>
          <w:p w:rsidR="00774EE9" w:rsidRPr="00774EE9" w:rsidRDefault="00774EE9" w:rsidP="00774EE9">
            <w:pPr>
              <w:jc w:val="center"/>
              <w:rPr>
                <w:bCs/>
                <w:lang w:val="en-GB"/>
              </w:rPr>
            </w:pPr>
            <w:r w:rsidRPr="00774EE9">
              <w:rPr>
                <w:bCs/>
                <w:lang w:val="en-GB"/>
              </w:rPr>
              <w:t>NH</w:t>
            </w:r>
            <w:r w:rsidRPr="00774EE9">
              <w:rPr>
                <w:bCs/>
                <w:vertAlign w:val="subscript"/>
                <w:lang w:val="en-GB"/>
              </w:rPr>
              <w:t>3</w:t>
            </w:r>
            <w:r w:rsidRPr="00774EE9">
              <w:rPr>
                <w:bCs/>
                <w:lang w:val="en-GB"/>
              </w:rPr>
              <w:t xml:space="preserve"> csökkentés </w:t>
            </w:r>
          </w:p>
        </w:tc>
        <w:tc>
          <w:tcPr>
            <w:tcW w:w="3423" w:type="dxa"/>
            <w:shd w:val="clear" w:color="auto" w:fill="auto"/>
            <w:vAlign w:val="center"/>
          </w:tcPr>
          <w:p w:rsidR="00774EE9" w:rsidRPr="00774EE9" w:rsidRDefault="00774EE9" w:rsidP="00774EE9">
            <w:pPr>
              <w:jc w:val="center"/>
              <w:rPr>
                <w:bCs/>
                <w:lang w:val="en-GB"/>
              </w:rPr>
            </w:pPr>
            <w:r w:rsidRPr="00774EE9">
              <w:rPr>
                <w:bCs/>
                <w:lang w:val="en-GB"/>
              </w:rPr>
              <w:t xml:space="preserve">A 2020 és 2029 közötti </w:t>
            </w:r>
          </w:p>
          <w:p w:rsidR="00774EE9" w:rsidRPr="00774EE9" w:rsidRDefault="00774EE9" w:rsidP="00774EE9">
            <w:pPr>
              <w:jc w:val="center"/>
              <w:rPr>
                <w:bCs/>
                <w:lang w:val="en-GB"/>
              </w:rPr>
            </w:pPr>
            <w:r w:rsidRPr="00774EE9">
              <w:rPr>
                <w:bCs/>
                <w:lang w:val="en-GB"/>
              </w:rPr>
              <w:t>bármely év</w:t>
            </w:r>
          </w:p>
        </w:tc>
        <w:tc>
          <w:tcPr>
            <w:tcW w:w="2638" w:type="dxa"/>
            <w:shd w:val="clear" w:color="auto" w:fill="auto"/>
            <w:vAlign w:val="center"/>
          </w:tcPr>
          <w:p w:rsidR="00774EE9" w:rsidRPr="00774EE9" w:rsidRDefault="00774EE9" w:rsidP="00774EE9">
            <w:pPr>
              <w:jc w:val="center"/>
              <w:rPr>
                <w:bCs/>
                <w:lang w:val="en-GB"/>
              </w:rPr>
            </w:pPr>
            <w:r w:rsidRPr="00774EE9">
              <w:rPr>
                <w:bCs/>
                <w:lang w:val="en-GB"/>
              </w:rPr>
              <w:t>10</w:t>
            </w:r>
          </w:p>
        </w:tc>
      </w:tr>
      <w:tr w:rsidR="00774EE9" w:rsidRPr="00774EE9" w:rsidTr="00465851">
        <w:tc>
          <w:tcPr>
            <w:tcW w:w="456" w:type="dxa"/>
            <w:vAlign w:val="center"/>
          </w:tcPr>
          <w:p w:rsidR="00774EE9" w:rsidRPr="00774EE9" w:rsidRDefault="00774EE9" w:rsidP="00774EE9">
            <w:pPr>
              <w:jc w:val="center"/>
              <w:rPr>
                <w:bCs/>
                <w:lang w:val="en-GB"/>
              </w:rPr>
            </w:pPr>
            <w:r w:rsidRPr="00774EE9">
              <w:rPr>
                <w:bCs/>
                <w:lang w:val="en-GB"/>
              </w:rPr>
              <w:t>9</w:t>
            </w:r>
          </w:p>
        </w:tc>
        <w:tc>
          <w:tcPr>
            <w:tcW w:w="3230" w:type="dxa"/>
            <w:vMerge/>
            <w:shd w:val="clear" w:color="auto" w:fill="auto"/>
            <w:vAlign w:val="center"/>
          </w:tcPr>
          <w:p w:rsidR="00774EE9" w:rsidRPr="00774EE9" w:rsidRDefault="00774EE9" w:rsidP="00774EE9">
            <w:pPr>
              <w:jc w:val="center"/>
              <w:rPr>
                <w:bCs/>
                <w:lang w:val="en-GB"/>
              </w:rPr>
            </w:pPr>
          </w:p>
        </w:tc>
        <w:tc>
          <w:tcPr>
            <w:tcW w:w="3423" w:type="dxa"/>
            <w:shd w:val="clear" w:color="auto" w:fill="auto"/>
            <w:vAlign w:val="center"/>
          </w:tcPr>
          <w:p w:rsidR="00774EE9" w:rsidRPr="00774EE9" w:rsidRDefault="00774EE9" w:rsidP="00774EE9">
            <w:pPr>
              <w:jc w:val="center"/>
              <w:rPr>
                <w:bCs/>
                <w:lang w:val="en-GB"/>
              </w:rPr>
            </w:pPr>
            <w:r w:rsidRPr="00774EE9">
              <w:rPr>
                <w:bCs/>
                <w:lang w:val="en-GB"/>
              </w:rPr>
              <w:t>2030 és az az követő</w:t>
            </w:r>
          </w:p>
          <w:p w:rsidR="00774EE9" w:rsidRPr="00774EE9" w:rsidRDefault="00774EE9" w:rsidP="00774EE9">
            <w:pPr>
              <w:jc w:val="center"/>
              <w:rPr>
                <w:bCs/>
                <w:lang w:val="en-GB"/>
              </w:rPr>
            </w:pPr>
            <w:r w:rsidRPr="00774EE9">
              <w:rPr>
                <w:bCs/>
                <w:lang w:val="en-GB"/>
              </w:rPr>
              <w:t>bármely év</w:t>
            </w:r>
          </w:p>
        </w:tc>
        <w:tc>
          <w:tcPr>
            <w:tcW w:w="2638" w:type="dxa"/>
            <w:shd w:val="clear" w:color="auto" w:fill="auto"/>
            <w:vAlign w:val="center"/>
          </w:tcPr>
          <w:p w:rsidR="00774EE9" w:rsidRPr="00774EE9" w:rsidRDefault="00774EE9" w:rsidP="00774EE9">
            <w:pPr>
              <w:jc w:val="center"/>
              <w:rPr>
                <w:bCs/>
                <w:lang w:val="en-GB"/>
              </w:rPr>
            </w:pPr>
            <w:r w:rsidRPr="00774EE9">
              <w:rPr>
                <w:bCs/>
                <w:lang w:val="en-GB"/>
              </w:rPr>
              <w:t>32</w:t>
            </w:r>
          </w:p>
        </w:tc>
      </w:tr>
      <w:tr w:rsidR="00774EE9" w:rsidRPr="00774EE9" w:rsidTr="00465851">
        <w:tc>
          <w:tcPr>
            <w:tcW w:w="456" w:type="dxa"/>
            <w:vAlign w:val="center"/>
          </w:tcPr>
          <w:p w:rsidR="00774EE9" w:rsidRPr="00774EE9" w:rsidRDefault="00774EE9" w:rsidP="00774EE9">
            <w:pPr>
              <w:jc w:val="center"/>
              <w:rPr>
                <w:bCs/>
                <w:lang w:val="en-GB"/>
              </w:rPr>
            </w:pPr>
            <w:r w:rsidRPr="00774EE9">
              <w:rPr>
                <w:bCs/>
                <w:lang w:val="en-GB"/>
              </w:rPr>
              <w:t>10</w:t>
            </w:r>
          </w:p>
        </w:tc>
        <w:tc>
          <w:tcPr>
            <w:tcW w:w="3230" w:type="dxa"/>
            <w:vMerge w:val="restart"/>
            <w:shd w:val="clear" w:color="auto" w:fill="auto"/>
            <w:vAlign w:val="center"/>
          </w:tcPr>
          <w:p w:rsidR="00774EE9" w:rsidRPr="00774EE9" w:rsidRDefault="00774EE9" w:rsidP="00774EE9">
            <w:pPr>
              <w:jc w:val="center"/>
              <w:rPr>
                <w:bCs/>
                <w:lang w:val="en-GB"/>
              </w:rPr>
            </w:pPr>
            <w:r w:rsidRPr="00774EE9">
              <w:rPr>
                <w:bCs/>
                <w:lang w:val="en-GB"/>
              </w:rPr>
              <w:t>PM</w:t>
            </w:r>
            <w:r w:rsidRPr="00774EE9">
              <w:rPr>
                <w:bCs/>
                <w:vertAlign w:val="subscript"/>
                <w:lang w:val="en-GB"/>
              </w:rPr>
              <w:t>2,5</w:t>
            </w:r>
            <w:r w:rsidRPr="00774EE9">
              <w:rPr>
                <w:bCs/>
                <w:lang w:val="en-GB"/>
              </w:rPr>
              <w:t xml:space="preserve"> csökkentés</w:t>
            </w:r>
          </w:p>
        </w:tc>
        <w:tc>
          <w:tcPr>
            <w:tcW w:w="3423" w:type="dxa"/>
            <w:shd w:val="clear" w:color="auto" w:fill="auto"/>
            <w:vAlign w:val="center"/>
          </w:tcPr>
          <w:p w:rsidR="00774EE9" w:rsidRPr="00774EE9" w:rsidRDefault="00774EE9" w:rsidP="00774EE9">
            <w:pPr>
              <w:jc w:val="center"/>
              <w:rPr>
                <w:bCs/>
                <w:lang w:val="en-GB"/>
              </w:rPr>
            </w:pPr>
            <w:r w:rsidRPr="00774EE9">
              <w:rPr>
                <w:bCs/>
                <w:lang w:val="en-GB"/>
              </w:rPr>
              <w:t xml:space="preserve">A 2020 és 2029 közötti </w:t>
            </w:r>
          </w:p>
          <w:p w:rsidR="00774EE9" w:rsidRPr="00774EE9" w:rsidRDefault="00774EE9" w:rsidP="00774EE9">
            <w:pPr>
              <w:jc w:val="center"/>
              <w:rPr>
                <w:bCs/>
                <w:lang w:val="en-GB"/>
              </w:rPr>
            </w:pPr>
            <w:r w:rsidRPr="00774EE9">
              <w:rPr>
                <w:bCs/>
                <w:lang w:val="en-GB"/>
              </w:rPr>
              <w:t>bármely év</w:t>
            </w:r>
          </w:p>
        </w:tc>
        <w:tc>
          <w:tcPr>
            <w:tcW w:w="2638" w:type="dxa"/>
            <w:shd w:val="clear" w:color="auto" w:fill="auto"/>
            <w:vAlign w:val="center"/>
          </w:tcPr>
          <w:p w:rsidR="00774EE9" w:rsidRPr="00774EE9" w:rsidRDefault="00774EE9" w:rsidP="00774EE9">
            <w:pPr>
              <w:jc w:val="center"/>
              <w:rPr>
                <w:bCs/>
                <w:lang w:val="en-GB"/>
              </w:rPr>
            </w:pPr>
            <w:r w:rsidRPr="00774EE9">
              <w:rPr>
                <w:bCs/>
                <w:lang w:val="en-GB"/>
              </w:rPr>
              <w:t>13</w:t>
            </w:r>
          </w:p>
        </w:tc>
      </w:tr>
      <w:tr w:rsidR="00774EE9" w:rsidRPr="00774EE9" w:rsidTr="00465851">
        <w:tc>
          <w:tcPr>
            <w:tcW w:w="456" w:type="dxa"/>
            <w:vAlign w:val="center"/>
          </w:tcPr>
          <w:p w:rsidR="00774EE9" w:rsidRPr="00774EE9" w:rsidRDefault="00774EE9" w:rsidP="00774EE9">
            <w:pPr>
              <w:jc w:val="center"/>
              <w:rPr>
                <w:bCs/>
                <w:lang w:val="en-GB"/>
              </w:rPr>
            </w:pPr>
            <w:r w:rsidRPr="00774EE9">
              <w:rPr>
                <w:bCs/>
                <w:lang w:val="en-GB"/>
              </w:rPr>
              <w:t>11</w:t>
            </w:r>
          </w:p>
        </w:tc>
        <w:tc>
          <w:tcPr>
            <w:tcW w:w="3230" w:type="dxa"/>
            <w:vMerge/>
            <w:shd w:val="clear" w:color="auto" w:fill="auto"/>
            <w:vAlign w:val="center"/>
          </w:tcPr>
          <w:p w:rsidR="00774EE9" w:rsidRPr="00774EE9" w:rsidRDefault="00774EE9" w:rsidP="00774EE9">
            <w:pPr>
              <w:jc w:val="center"/>
              <w:rPr>
                <w:bCs/>
                <w:lang w:val="en-GB"/>
              </w:rPr>
            </w:pPr>
          </w:p>
        </w:tc>
        <w:tc>
          <w:tcPr>
            <w:tcW w:w="3423" w:type="dxa"/>
            <w:shd w:val="clear" w:color="auto" w:fill="auto"/>
            <w:vAlign w:val="center"/>
          </w:tcPr>
          <w:p w:rsidR="00774EE9" w:rsidRPr="00774EE9" w:rsidRDefault="00774EE9" w:rsidP="00774EE9">
            <w:pPr>
              <w:jc w:val="center"/>
              <w:rPr>
                <w:bCs/>
                <w:lang w:val="en-GB"/>
              </w:rPr>
            </w:pPr>
            <w:r w:rsidRPr="00774EE9">
              <w:rPr>
                <w:bCs/>
                <w:lang w:val="en-GB"/>
              </w:rPr>
              <w:t>2030 és az az követő</w:t>
            </w:r>
          </w:p>
          <w:p w:rsidR="00774EE9" w:rsidRPr="00774EE9" w:rsidRDefault="00774EE9" w:rsidP="00774EE9">
            <w:pPr>
              <w:jc w:val="center"/>
              <w:rPr>
                <w:bCs/>
                <w:lang w:val="en-GB"/>
              </w:rPr>
            </w:pPr>
            <w:r w:rsidRPr="00774EE9">
              <w:rPr>
                <w:bCs/>
                <w:lang w:val="en-GB"/>
              </w:rPr>
              <w:t>bármely év</w:t>
            </w:r>
          </w:p>
        </w:tc>
        <w:tc>
          <w:tcPr>
            <w:tcW w:w="2638" w:type="dxa"/>
            <w:shd w:val="clear" w:color="auto" w:fill="auto"/>
            <w:vAlign w:val="center"/>
          </w:tcPr>
          <w:p w:rsidR="00774EE9" w:rsidRPr="00774EE9" w:rsidRDefault="00774EE9" w:rsidP="00774EE9">
            <w:pPr>
              <w:jc w:val="center"/>
              <w:rPr>
                <w:bCs/>
                <w:lang w:val="en-GB"/>
              </w:rPr>
            </w:pPr>
            <w:r w:rsidRPr="00774EE9">
              <w:rPr>
                <w:bCs/>
                <w:lang w:val="en-GB"/>
              </w:rPr>
              <w:t>55</w:t>
            </w:r>
          </w:p>
        </w:tc>
      </w:tr>
    </w:tbl>
    <w:p w:rsidR="00774EE9" w:rsidRPr="00774EE9" w:rsidRDefault="00774EE9" w:rsidP="00774EE9">
      <w:pPr>
        <w:jc w:val="both"/>
        <w:rPr>
          <w:bCs/>
        </w:rPr>
      </w:pPr>
    </w:p>
    <w:p w:rsidR="00774EE9" w:rsidRPr="00774EE9" w:rsidRDefault="00774EE9" w:rsidP="00774EE9">
      <w:pPr>
        <w:jc w:val="both"/>
        <w:rPr>
          <w:bCs/>
        </w:rPr>
      </w:pPr>
      <w:r w:rsidRPr="00774EE9">
        <w:rPr>
          <w:bCs/>
        </w:rPr>
        <w:t>1.2 A kibocsátás-csökkentési kötelezettségek vonatkoztatási éve 2005.</w:t>
      </w:r>
    </w:p>
    <w:p w:rsidR="00774EE9" w:rsidRPr="00774EE9" w:rsidRDefault="00774EE9" w:rsidP="00774EE9">
      <w:pPr>
        <w:jc w:val="both"/>
        <w:rPr>
          <w:bCs/>
        </w:rPr>
      </w:pPr>
      <w:r w:rsidRPr="00774EE9">
        <w:rPr>
          <w:bCs/>
        </w:rPr>
        <w:t>1.3 A közúti közlekedésből származó kibocsátás számítását az értékesített üzemanyag alapján kell elvégezni.</w:t>
      </w:r>
    </w:p>
    <w:p w:rsidR="00774EE9" w:rsidRPr="00774EE9" w:rsidRDefault="00774EE9" w:rsidP="00774EE9">
      <w:pPr>
        <w:jc w:val="both"/>
        <w:rPr>
          <w:bCs/>
        </w:rPr>
      </w:pPr>
    </w:p>
    <w:p w:rsidR="00774EE9" w:rsidRPr="00774EE9" w:rsidRDefault="00774EE9" w:rsidP="00774EE9">
      <w:pPr>
        <w:jc w:val="both"/>
        <w:rPr>
          <w:bCs/>
        </w:rPr>
      </w:pPr>
    </w:p>
    <w:p w:rsidR="00774EE9" w:rsidRPr="00774EE9" w:rsidRDefault="00774EE9" w:rsidP="00774EE9">
      <w:pPr>
        <w:jc w:val="both"/>
        <w:rPr>
          <w:bCs/>
        </w:rPr>
      </w:pPr>
    </w:p>
    <w:p w:rsidR="00774EE9" w:rsidRPr="00774EE9" w:rsidRDefault="00774EE9" w:rsidP="00774EE9">
      <w:pPr>
        <w:jc w:val="both"/>
        <w:rPr>
          <w:bCs/>
        </w:rPr>
      </w:pPr>
    </w:p>
    <w:p w:rsidR="00774EE9" w:rsidRPr="00774EE9" w:rsidRDefault="00774EE9" w:rsidP="00774EE9">
      <w:pPr>
        <w:jc w:val="both"/>
        <w:rPr>
          <w:bCs/>
        </w:rPr>
      </w:pPr>
    </w:p>
    <w:p w:rsidR="00774EE9" w:rsidRPr="00774EE9" w:rsidRDefault="00774EE9" w:rsidP="00774EE9">
      <w:pPr>
        <w:jc w:val="both"/>
        <w:rPr>
          <w:b/>
          <w:bCs/>
          <w:i/>
        </w:rPr>
      </w:pPr>
    </w:p>
    <w:p w:rsidR="00774EE9" w:rsidRPr="00774EE9" w:rsidRDefault="00774EE9" w:rsidP="00774EE9">
      <w:pPr>
        <w:jc w:val="both"/>
        <w:rPr>
          <w:b/>
          <w:bCs/>
          <w:i/>
        </w:rPr>
      </w:pPr>
      <w:r w:rsidRPr="00774EE9">
        <w:rPr>
          <w:b/>
          <w:bCs/>
          <w:i/>
        </w:rPr>
        <w:t>2. légszennyezőanyagok 2010-2019 között alkalmazandó országos összkibocsátási határértékei</w:t>
      </w:r>
    </w:p>
    <w:p w:rsidR="00774EE9" w:rsidRPr="00774EE9" w:rsidRDefault="00774EE9" w:rsidP="00774EE9">
      <w:pPr>
        <w:jc w:val="both"/>
        <w:rPr>
          <w:b/>
          <w:bCs/>
          <w:i/>
        </w:rPr>
      </w:pPr>
    </w:p>
    <w:tbl>
      <w:tblPr>
        <w:tblStyle w:val="Rcsostblzat"/>
        <w:tblW w:w="0" w:type="auto"/>
        <w:tblLook w:val="04A0" w:firstRow="1" w:lastRow="0" w:firstColumn="1" w:lastColumn="0" w:noHBand="0" w:noVBand="1"/>
      </w:tblPr>
      <w:tblGrid>
        <w:gridCol w:w="534"/>
        <w:gridCol w:w="2835"/>
        <w:gridCol w:w="3543"/>
      </w:tblGrid>
      <w:tr w:rsidR="00774EE9" w:rsidRPr="00774EE9" w:rsidTr="00465851">
        <w:tc>
          <w:tcPr>
            <w:tcW w:w="534" w:type="dxa"/>
            <w:vAlign w:val="center"/>
          </w:tcPr>
          <w:p w:rsidR="00774EE9" w:rsidRPr="00774EE9" w:rsidRDefault="00774EE9" w:rsidP="00774EE9">
            <w:pPr>
              <w:jc w:val="center"/>
              <w:rPr>
                <w:bCs/>
              </w:rPr>
            </w:pPr>
          </w:p>
        </w:tc>
        <w:tc>
          <w:tcPr>
            <w:tcW w:w="2835" w:type="dxa"/>
            <w:vAlign w:val="center"/>
          </w:tcPr>
          <w:p w:rsidR="00774EE9" w:rsidRPr="00774EE9" w:rsidRDefault="00774EE9" w:rsidP="00774EE9">
            <w:pPr>
              <w:jc w:val="center"/>
              <w:rPr>
                <w:bCs/>
                <w:lang w:val="en-GB"/>
              </w:rPr>
            </w:pPr>
            <w:r w:rsidRPr="00774EE9">
              <w:rPr>
                <w:bCs/>
                <w:lang w:val="en-GB"/>
              </w:rPr>
              <w:t>A</w:t>
            </w:r>
          </w:p>
        </w:tc>
        <w:tc>
          <w:tcPr>
            <w:tcW w:w="3543" w:type="dxa"/>
            <w:vAlign w:val="center"/>
          </w:tcPr>
          <w:p w:rsidR="00774EE9" w:rsidRPr="00774EE9" w:rsidRDefault="00774EE9" w:rsidP="00774EE9">
            <w:pPr>
              <w:jc w:val="center"/>
              <w:rPr>
                <w:bCs/>
                <w:lang w:val="en-GB"/>
              </w:rPr>
            </w:pPr>
            <w:r w:rsidRPr="00774EE9">
              <w:rPr>
                <w:bCs/>
                <w:lang w:val="en-GB"/>
              </w:rPr>
              <w:t>B</w:t>
            </w:r>
          </w:p>
        </w:tc>
      </w:tr>
      <w:tr w:rsidR="00774EE9" w:rsidRPr="00774EE9" w:rsidTr="00465851">
        <w:tc>
          <w:tcPr>
            <w:tcW w:w="534" w:type="dxa"/>
            <w:vAlign w:val="center"/>
          </w:tcPr>
          <w:p w:rsidR="00774EE9" w:rsidRPr="00774EE9" w:rsidRDefault="00774EE9" w:rsidP="00774EE9">
            <w:pPr>
              <w:jc w:val="center"/>
              <w:rPr>
                <w:bCs/>
                <w:lang w:val="en-GB"/>
              </w:rPr>
            </w:pPr>
            <w:r w:rsidRPr="00774EE9">
              <w:rPr>
                <w:bCs/>
                <w:lang w:val="en-GB"/>
              </w:rPr>
              <w:t>1</w:t>
            </w:r>
          </w:p>
        </w:tc>
        <w:tc>
          <w:tcPr>
            <w:tcW w:w="2835" w:type="dxa"/>
            <w:vAlign w:val="center"/>
          </w:tcPr>
          <w:p w:rsidR="00774EE9" w:rsidRPr="00774EE9" w:rsidRDefault="00774EE9" w:rsidP="00774EE9">
            <w:pPr>
              <w:jc w:val="center"/>
              <w:rPr>
                <w:bCs/>
                <w:lang w:val="en-GB"/>
              </w:rPr>
            </w:pPr>
          </w:p>
        </w:tc>
        <w:tc>
          <w:tcPr>
            <w:tcW w:w="3543" w:type="dxa"/>
            <w:vAlign w:val="center"/>
          </w:tcPr>
          <w:p w:rsidR="00774EE9" w:rsidRPr="00774EE9" w:rsidRDefault="00774EE9" w:rsidP="00774EE9">
            <w:pPr>
              <w:jc w:val="center"/>
              <w:rPr>
                <w:bCs/>
                <w:lang w:val="en-GB"/>
              </w:rPr>
            </w:pPr>
            <w:r w:rsidRPr="00774EE9">
              <w:rPr>
                <w:bCs/>
                <w:lang w:val="en-GB"/>
              </w:rPr>
              <w:t>kt</w:t>
            </w:r>
          </w:p>
        </w:tc>
      </w:tr>
      <w:tr w:rsidR="00774EE9" w:rsidRPr="00774EE9" w:rsidTr="00465851">
        <w:tc>
          <w:tcPr>
            <w:tcW w:w="534" w:type="dxa"/>
            <w:vAlign w:val="center"/>
          </w:tcPr>
          <w:p w:rsidR="00774EE9" w:rsidRPr="00774EE9" w:rsidRDefault="00774EE9" w:rsidP="00774EE9">
            <w:pPr>
              <w:jc w:val="center"/>
              <w:rPr>
                <w:bCs/>
                <w:lang w:val="en-GB"/>
              </w:rPr>
            </w:pPr>
            <w:r w:rsidRPr="00774EE9">
              <w:rPr>
                <w:bCs/>
                <w:lang w:val="en-GB"/>
              </w:rPr>
              <w:t>2</w:t>
            </w:r>
          </w:p>
        </w:tc>
        <w:tc>
          <w:tcPr>
            <w:tcW w:w="2835" w:type="dxa"/>
            <w:vAlign w:val="center"/>
          </w:tcPr>
          <w:p w:rsidR="00774EE9" w:rsidRPr="00774EE9" w:rsidRDefault="00774EE9" w:rsidP="00774EE9">
            <w:pPr>
              <w:jc w:val="center"/>
              <w:rPr>
                <w:bCs/>
                <w:lang w:val="en-GB"/>
              </w:rPr>
            </w:pPr>
            <w:r w:rsidRPr="00774EE9">
              <w:rPr>
                <w:bCs/>
                <w:lang w:val="en-GB"/>
              </w:rPr>
              <w:t>kén-dioxid (SO</w:t>
            </w:r>
            <w:r w:rsidRPr="00774EE9">
              <w:rPr>
                <w:bCs/>
                <w:vertAlign w:val="subscript"/>
                <w:lang w:val="en-GB"/>
              </w:rPr>
              <w:t>2</w:t>
            </w:r>
            <w:r w:rsidRPr="00774EE9">
              <w:rPr>
                <w:bCs/>
                <w:lang w:val="en-GB"/>
              </w:rPr>
              <w:t>)</w:t>
            </w:r>
          </w:p>
        </w:tc>
        <w:tc>
          <w:tcPr>
            <w:tcW w:w="3543" w:type="dxa"/>
            <w:vAlign w:val="center"/>
          </w:tcPr>
          <w:p w:rsidR="00774EE9" w:rsidRPr="00774EE9" w:rsidRDefault="00774EE9" w:rsidP="00774EE9">
            <w:pPr>
              <w:jc w:val="center"/>
              <w:rPr>
                <w:bCs/>
                <w:lang w:val="en-GB"/>
              </w:rPr>
            </w:pPr>
            <w:r w:rsidRPr="00774EE9">
              <w:rPr>
                <w:bCs/>
                <w:lang w:val="en-GB"/>
              </w:rPr>
              <w:t>500</w:t>
            </w:r>
          </w:p>
        </w:tc>
      </w:tr>
      <w:tr w:rsidR="00774EE9" w:rsidRPr="00774EE9" w:rsidTr="00465851">
        <w:tc>
          <w:tcPr>
            <w:tcW w:w="534" w:type="dxa"/>
            <w:vAlign w:val="center"/>
          </w:tcPr>
          <w:p w:rsidR="00774EE9" w:rsidRPr="00774EE9" w:rsidRDefault="00774EE9" w:rsidP="00774EE9">
            <w:pPr>
              <w:jc w:val="center"/>
              <w:rPr>
                <w:bCs/>
                <w:lang w:val="en-GB"/>
              </w:rPr>
            </w:pPr>
            <w:r w:rsidRPr="00774EE9">
              <w:rPr>
                <w:bCs/>
                <w:lang w:val="en-GB"/>
              </w:rPr>
              <w:t>3</w:t>
            </w:r>
          </w:p>
        </w:tc>
        <w:tc>
          <w:tcPr>
            <w:tcW w:w="2835" w:type="dxa"/>
            <w:vAlign w:val="center"/>
          </w:tcPr>
          <w:p w:rsidR="00774EE9" w:rsidRPr="00774EE9" w:rsidRDefault="00774EE9" w:rsidP="00774EE9">
            <w:pPr>
              <w:jc w:val="center"/>
              <w:rPr>
                <w:bCs/>
                <w:lang w:val="en-GB"/>
              </w:rPr>
            </w:pPr>
            <w:r w:rsidRPr="00774EE9">
              <w:rPr>
                <w:bCs/>
                <w:lang w:val="en-GB"/>
              </w:rPr>
              <w:t>nitrogén-oxidok (NO</w:t>
            </w:r>
            <w:r w:rsidRPr="00774EE9">
              <w:rPr>
                <w:bCs/>
                <w:vertAlign w:val="subscript"/>
                <w:lang w:val="en-GB"/>
              </w:rPr>
              <w:t>x</w:t>
            </w:r>
            <w:r w:rsidRPr="00774EE9">
              <w:rPr>
                <w:bCs/>
                <w:lang w:val="en-GB"/>
              </w:rPr>
              <w:t>)</w:t>
            </w:r>
          </w:p>
        </w:tc>
        <w:tc>
          <w:tcPr>
            <w:tcW w:w="3543" w:type="dxa"/>
            <w:vAlign w:val="center"/>
          </w:tcPr>
          <w:p w:rsidR="00774EE9" w:rsidRPr="00774EE9" w:rsidRDefault="00774EE9" w:rsidP="00774EE9">
            <w:pPr>
              <w:jc w:val="center"/>
              <w:rPr>
                <w:bCs/>
                <w:lang w:val="en-GB"/>
              </w:rPr>
            </w:pPr>
            <w:r w:rsidRPr="00774EE9">
              <w:rPr>
                <w:bCs/>
                <w:lang w:val="en-GB"/>
              </w:rPr>
              <w:t>198</w:t>
            </w:r>
          </w:p>
        </w:tc>
      </w:tr>
      <w:tr w:rsidR="00774EE9" w:rsidRPr="00774EE9" w:rsidTr="00465851">
        <w:tc>
          <w:tcPr>
            <w:tcW w:w="534" w:type="dxa"/>
            <w:vAlign w:val="center"/>
          </w:tcPr>
          <w:p w:rsidR="00774EE9" w:rsidRPr="00774EE9" w:rsidRDefault="00774EE9" w:rsidP="00774EE9">
            <w:pPr>
              <w:jc w:val="center"/>
              <w:rPr>
                <w:bCs/>
                <w:lang w:val="en-GB"/>
              </w:rPr>
            </w:pPr>
            <w:r w:rsidRPr="00774EE9">
              <w:rPr>
                <w:bCs/>
                <w:lang w:val="en-GB"/>
              </w:rPr>
              <w:t>4</w:t>
            </w:r>
          </w:p>
        </w:tc>
        <w:tc>
          <w:tcPr>
            <w:tcW w:w="2835" w:type="dxa"/>
            <w:vAlign w:val="center"/>
          </w:tcPr>
          <w:p w:rsidR="00774EE9" w:rsidRPr="00774EE9" w:rsidRDefault="00774EE9" w:rsidP="00774EE9">
            <w:pPr>
              <w:jc w:val="center"/>
              <w:rPr>
                <w:bCs/>
                <w:lang w:val="en-GB"/>
              </w:rPr>
            </w:pPr>
            <w:r w:rsidRPr="00774EE9">
              <w:rPr>
                <w:bCs/>
                <w:lang w:val="en-GB"/>
              </w:rPr>
              <w:t xml:space="preserve">NM VOC </w:t>
            </w:r>
          </w:p>
        </w:tc>
        <w:tc>
          <w:tcPr>
            <w:tcW w:w="3543" w:type="dxa"/>
            <w:vAlign w:val="center"/>
          </w:tcPr>
          <w:p w:rsidR="00774EE9" w:rsidRPr="00774EE9" w:rsidRDefault="00774EE9" w:rsidP="00774EE9">
            <w:pPr>
              <w:jc w:val="center"/>
              <w:rPr>
                <w:bCs/>
                <w:lang w:val="en-GB"/>
              </w:rPr>
            </w:pPr>
            <w:r w:rsidRPr="00774EE9">
              <w:rPr>
                <w:bCs/>
                <w:lang w:val="en-GB"/>
              </w:rPr>
              <w:t>137</w:t>
            </w:r>
          </w:p>
        </w:tc>
      </w:tr>
      <w:tr w:rsidR="00774EE9" w:rsidRPr="00774EE9" w:rsidTr="00465851">
        <w:tc>
          <w:tcPr>
            <w:tcW w:w="534" w:type="dxa"/>
            <w:vAlign w:val="center"/>
          </w:tcPr>
          <w:p w:rsidR="00774EE9" w:rsidRPr="00774EE9" w:rsidRDefault="00774EE9" w:rsidP="00774EE9">
            <w:pPr>
              <w:jc w:val="center"/>
              <w:rPr>
                <w:bCs/>
                <w:lang w:val="en-GB"/>
              </w:rPr>
            </w:pPr>
            <w:r w:rsidRPr="00774EE9">
              <w:rPr>
                <w:bCs/>
                <w:lang w:val="en-GB"/>
              </w:rPr>
              <w:lastRenderedPageBreak/>
              <w:t>5</w:t>
            </w:r>
          </w:p>
        </w:tc>
        <w:tc>
          <w:tcPr>
            <w:tcW w:w="2835" w:type="dxa"/>
            <w:vAlign w:val="center"/>
          </w:tcPr>
          <w:p w:rsidR="00774EE9" w:rsidRPr="00774EE9" w:rsidRDefault="00774EE9" w:rsidP="00774EE9">
            <w:pPr>
              <w:jc w:val="center"/>
              <w:rPr>
                <w:bCs/>
                <w:lang w:val="en-GB"/>
              </w:rPr>
            </w:pPr>
            <w:r w:rsidRPr="00774EE9">
              <w:rPr>
                <w:bCs/>
                <w:lang w:val="en-GB"/>
              </w:rPr>
              <w:t>ammónia (NH</w:t>
            </w:r>
            <w:r w:rsidRPr="00774EE9">
              <w:rPr>
                <w:bCs/>
                <w:vertAlign w:val="subscript"/>
                <w:lang w:val="en-GB"/>
              </w:rPr>
              <w:t>3</w:t>
            </w:r>
            <w:r w:rsidRPr="00774EE9">
              <w:rPr>
                <w:bCs/>
                <w:lang w:val="en-GB"/>
              </w:rPr>
              <w:t>)</w:t>
            </w:r>
          </w:p>
        </w:tc>
        <w:tc>
          <w:tcPr>
            <w:tcW w:w="3543" w:type="dxa"/>
            <w:vAlign w:val="center"/>
          </w:tcPr>
          <w:p w:rsidR="00774EE9" w:rsidRPr="00774EE9" w:rsidRDefault="00774EE9" w:rsidP="00774EE9">
            <w:pPr>
              <w:jc w:val="center"/>
              <w:rPr>
                <w:bCs/>
                <w:lang w:val="en-GB"/>
              </w:rPr>
            </w:pPr>
            <w:r w:rsidRPr="00774EE9">
              <w:rPr>
                <w:bCs/>
                <w:lang w:val="en-GB"/>
              </w:rPr>
              <w:t>90</w:t>
            </w:r>
          </w:p>
        </w:tc>
      </w:tr>
    </w:tbl>
    <w:p w:rsidR="00774EE9" w:rsidRPr="00774EE9" w:rsidRDefault="00774EE9" w:rsidP="00774EE9">
      <w:pPr>
        <w:jc w:val="both"/>
        <w:rPr>
          <w:bCs/>
        </w:rPr>
      </w:pPr>
    </w:p>
    <w:p w:rsidR="00774EE9" w:rsidRPr="00774EE9" w:rsidRDefault="00774EE9" w:rsidP="00774EE9">
      <w:pPr>
        <w:rPr>
          <w:b/>
          <w:bCs/>
          <w:i/>
        </w:rPr>
      </w:pPr>
    </w:p>
    <w:p w:rsidR="00774EE9" w:rsidRPr="00774EE9" w:rsidRDefault="00774EE9" w:rsidP="00774EE9">
      <w:pPr>
        <w:jc w:val="right"/>
        <w:rPr>
          <w:bCs/>
          <w:i/>
        </w:rPr>
      </w:pPr>
      <w:r w:rsidRPr="00774EE9">
        <w:rPr>
          <w:bCs/>
          <w:i/>
        </w:rPr>
        <w:t>2. melléklet a …/2018. (…) Korm. rendelethez</w:t>
      </w:r>
    </w:p>
    <w:p w:rsidR="00774EE9" w:rsidRPr="00774EE9" w:rsidRDefault="00774EE9" w:rsidP="00774EE9">
      <w:pPr>
        <w:rPr>
          <w:bCs/>
          <w:u w:val="single"/>
        </w:rPr>
      </w:pPr>
    </w:p>
    <w:p w:rsidR="00774EE9" w:rsidRPr="00774EE9" w:rsidRDefault="00774EE9" w:rsidP="00774EE9">
      <w:pPr>
        <w:rPr>
          <w:bCs/>
          <w:u w:val="single"/>
        </w:rPr>
      </w:pPr>
      <w:r w:rsidRPr="00774EE9">
        <w:rPr>
          <w:bCs/>
          <w:u w:val="single"/>
        </w:rPr>
        <w:t xml:space="preserve">11. melléklet a 306/2010. (XII. 23.) Korm. rendelethez </w:t>
      </w:r>
    </w:p>
    <w:p w:rsidR="00774EE9" w:rsidRPr="00774EE9" w:rsidRDefault="00774EE9" w:rsidP="00774EE9">
      <w:pPr>
        <w:jc w:val="both"/>
        <w:rPr>
          <w:b/>
          <w:bCs/>
          <w:i/>
        </w:rPr>
      </w:pPr>
    </w:p>
    <w:p w:rsidR="00774EE9" w:rsidRPr="00774EE9" w:rsidRDefault="00774EE9" w:rsidP="00774EE9">
      <w:pPr>
        <w:jc w:val="both"/>
        <w:rPr>
          <w:b/>
          <w:bCs/>
          <w:i/>
        </w:rPr>
      </w:pPr>
      <w:r w:rsidRPr="00774EE9">
        <w:rPr>
          <w:b/>
          <w:bCs/>
          <w:i/>
        </w:rPr>
        <w:t>1. A kibocsátások jelentésére vonatkozó előírások</w:t>
      </w:r>
    </w:p>
    <w:p w:rsidR="00774EE9" w:rsidRPr="00774EE9" w:rsidRDefault="00774EE9" w:rsidP="00774EE9">
      <w:pPr>
        <w:jc w:val="both"/>
        <w:rPr>
          <w:b/>
          <w:bCs/>
          <w:i/>
        </w:rPr>
      </w:pPr>
    </w:p>
    <w:p w:rsidR="00774EE9" w:rsidRPr="00774EE9" w:rsidRDefault="00774EE9" w:rsidP="00774EE9">
      <w:pPr>
        <w:jc w:val="both"/>
        <w:rPr>
          <w:bCs/>
        </w:rPr>
      </w:pPr>
      <w:r w:rsidRPr="00774EE9">
        <w:rPr>
          <w:bCs/>
        </w:rPr>
        <w:t xml:space="preserve">1.  Rövidítések </w:t>
      </w:r>
    </w:p>
    <w:p w:rsidR="00774EE9" w:rsidRPr="00774EE9" w:rsidRDefault="00774EE9" w:rsidP="00774EE9">
      <w:pPr>
        <w:jc w:val="both"/>
        <w:rPr>
          <w:bCs/>
        </w:rPr>
      </w:pPr>
      <w:r w:rsidRPr="00774EE9">
        <w:rPr>
          <w:bCs/>
        </w:rPr>
        <w:t>1.1.  NFR: a LRTAP Egyezmény keretében elfogadott nomentklatúra (Nomenklature for Reporting, NFR);</w:t>
      </w:r>
    </w:p>
    <w:p w:rsidR="00774EE9" w:rsidRPr="00774EE9" w:rsidRDefault="00774EE9" w:rsidP="00774EE9">
      <w:pPr>
        <w:jc w:val="both"/>
        <w:rPr>
          <w:bCs/>
        </w:rPr>
      </w:pPr>
      <w:r w:rsidRPr="00774EE9">
        <w:rPr>
          <w:bCs/>
        </w:rPr>
        <w:t>1.2 Cd: kadmium;</w:t>
      </w:r>
    </w:p>
    <w:p w:rsidR="00774EE9" w:rsidRPr="00774EE9" w:rsidRDefault="00774EE9" w:rsidP="00774EE9">
      <w:pPr>
        <w:jc w:val="both"/>
        <w:rPr>
          <w:bCs/>
        </w:rPr>
      </w:pPr>
      <w:r w:rsidRPr="00774EE9">
        <w:rPr>
          <w:bCs/>
        </w:rPr>
        <w:t>1.3 Hg: higany;</w:t>
      </w:r>
    </w:p>
    <w:p w:rsidR="00774EE9" w:rsidRPr="00774EE9" w:rsidRDefault="00774EE9" w:rsidP="00774EE9">
      <w:pPr>
        <w:jc w:val="both"/>
        <w:rPr>
          <w:bCs/>
        </w:rPr>
      </w:pPr>
      <w:r w:rsidRPr="00774EE9">
        <w:rPr>
          <w:bCs/>
        </w:rPr>
        <w:t>1.4  Pb: ólom;</w:t>
      </w:r>
    </w:p>
    <w:p w:rsidR="00774EE9" w:rsidRPr="00774EE9" w:rsidRDefault="00774EE9" w:rsidP="00774EE9">
      <w:pPr>
        <w:jc w:val="both"/>
        <w:rPr>
          <w:bCs/>
        </w:rPr>
      </w:pPr>
      <w:r w:rsidRPr="00774EE9">
        <w:rPr>
          <w:bCs/>
        </w:rPr>
        <w:t>1.5  POP: környezetben tartósan megmaradó szerves szennyezőanyag;</w:t>
      </w:r>
    </w:p>
    <w:p w:rsidR="00774EE9" w:rsidRPr="00774EE9" w:rsidRDefault="00774EE9" w:rsidP="00774EE9">
      <w:pPr>
        <w:jc w:val="both"/>
        <w:rPr>
          <w:bCs/>
        </w:rPr>
      </w:pPr>
      <w:r w:rsidRPr="00774EE9">
        <w:rPr>
          <w:bCs/>
        </w:rPr>
        <w:t>1.6 PAH: policiklusos aromás szénhidrogén (benz(a)pirén, benz(b)fluorantén, benz(k)fluorantén, indeno(1,2,3-cd)pirén);</w:t>
      </w:r>
    </w:p>
    <w:p w:rsidR="00774EE9" w:rsidRPr="00774EE9" w:rsidRDefault="00774EE9" w:rsidP="00774EE9">
      <w:pPr>
        <w:jc w:val="both"/>
        <w:rPr>
          <w:bCs/>
        </w:rPr>
      </w:pPr>
      <w:r w:rsidRPr="00774EE9">
        <w:rPr>
          <w:bCs/>
        </w:rPr>
        <w:t>1.7  PCB-k: poliklórozott bifenilek;</w:t>
      </w:r>
    </w:p>
    <w:p w:rsidR="00774EE9" w:rsidRPr="00774EE9" w:rsidRDefault="00774EE9" w:rsidP="00774EE9">
      <w:pPr>
        <w:jc w:val="both"/>
        <w:rPr>
          <w:bCs/>
        </w:rPr>
      </w:pPr>
      <w:r w:rsidRPr="00774EE9">
        <w:rPr>
          <w:bCs/>
        </w:rPr>
        <w:t>1.8  HCB: hexaklórbenzol;</w:t>
      </w:r>
    </w:p>
    <w:p w:rsidR="00774EE9" w:rsidRPr="00774EE9" w:rsidRDefault="00774EE9" w:rsidP="00774EE9">
      <w:pPr>
        <w:jc w:val="both"/>
        <w:rPr>
          <w:bCs/>
        </w:rPr>
      </w:pPr>
      <w:r w:rsidRPr="00774EE9">
        <w:rPr>
          <w:bCs/>
        </w:rPr>
        <w:t>1.9 As: arzén;</w:t>
      </w:r>
    </w:p>
    <w:p w:rsidR="00774EE9" w:rsidRPr="00774EE9" w:rsidRDefault="00774EE9" w:rsidP="00774EE9">
      <w:pPr>
        <w:jc w:val="both"/>
        <w:rPr>
          <w:bCs/>
        </w:rPr>
      </w:pPr>
      <w:r w:rsidRPr="00774EE9">
        <w:rPr>
          <w:bCs/>
        </w:rPr>
        <w:t>1.10 Cr: króm;</w:t>
      </w:r>
    </w:p>
    <w:p w:rsidR="00774EE9" w:rsidRPr="00774EE9" w:rsidRDefault="00774EE9" w:rsidP="00774EE9">
      <w:pPr>
        <w:jc w:val="both"/>
        <w:rPr>
          <w:bCs/>
        </w:rPr>
      </w:pPr>
      <w:r w:rsidRPr="00774EE9">
        <w:rPr>
          <w:bCs/>
        </w:rPr>
        <w:t>1.11 Ni: nikkel;</w:t>
      </w:r>
    </w:p>
    <w:p w:rsidR="00774EE9" w:rsidRPr="00774EE9" w:rsidRDefault="00774EE9" w:rsidP="00774EE9">
      <w:pPr>
        <w:jc w:val="both"/>
        <w:rPr>
          <w:bCs/>
        </w:rPr>
      </w:pPr>
      <w:r w:rsidRPr="00774EE9">
        <w:rPr>
          <w:bCs/>
        </w:rPr>
        <w:t>1.12 Se: szelén;</w:t>
      </w:r>
    </w:p>
    <w:p w:rsidR="00774EE9" w:rsidRPr="00774EE9" w:rsidRDefault="00774EE9" w:rsidP="00774EE9">
      <w:pPr>
        <w:jc w:val="both"/>
        <w:rPr>
          <w:bCs/>
        </w:rPr>
      </w:pPr>
      <w:r w:rsidRPr="00774EE9">
        <w:rPr>
          <w:bCs/>
        </w:rPr>
        <w:t>1.13 Zn: cink;</w:t>
      </w:r>
    </w:p>
    <w:p w:rsidR="00774EE9" w:rsidRPr="00774EE9" w:rsidRDefault="00774EE9" w:rsidP="00774EE9">
      <w:pPr>
        <w:jc w:val="both"/>
        <w:rPr>
          <w:bCs/>
        </w:rPr>
      </w:pPr>
      <w:r w:rsidRPr="00774EE9">
        <w:rPr>
          <w:bCs/>
        </w:rPr>
        <w:t>1.14 TSP: összes szálló por</w:t>
      </w:r>
    </w:p>
    <w:p w:rsidR="00774EE9" w:rsidRPr="00774EE9" w:rsidRDefault="00774EE9" w:rsidP="00774EE9">
      <w:pPr>
        <w:jc w:val="both"/>
        <w:rPr>
          <w:bCs/>
        </w:rPr>
      </w:pPr>
      <w:r w:rsidRPr="00774EE9">
        <w:rPr>
          <w:bCs/>
        </w:rPr>
        <w:t>1.15 LPS: nagy pontforrások</w:t>
      </w:r>
    </w:p>
    <w:p w:rsidR="00774EE9" w:rsidRPr="00774EE9" w:rsidRDefault="00774EE9" w:rsidP="00774EE9">
      <w:pPr>
        <w:jc w:val="both"/>
        <w:rPr>
          <w:bCs/>
        </w:rPr>
      </w:pPr>
      <w:r w:rsidRPr="00774EE9">
        <w:rPr>
          <w:bCs/>
        </w:rPr>
        <w:t>1.16 PM10: legfeljebb 10 mikrométer (µm) aerodinamikai átmérőjű részecskék</w:t>
      </w:r>
    </w:p>
    <w:p w:rsidR="00774EE9" w:rsidRPr="00774EE9" w:rsidRDefault="00774EE9" w:rsidP="00774EE9">
      <w:pPr>
        <w:jc w:val="both"/>
        <w:rPr>
          <w:bCs/>
        </w:rPr>
      </w:pPr>
    </w:p>
    <w:p w:rsidR="00774EE9" w:rsidRPr="00774EE9" w:rsidRDefault="00774EE9" w:rsidP="00774EE9">
      <w:pPr>
        <w:jc w:val="both"/>
        <w:rPr>
          <w:bCs/>
        </w:rPr>
      </w:pPr>
      <w:r w:rsidRPr="00774EE9">
        <w:rPr>
          <w:bCs/>
        </w:rPr>
        <w:t>2.1 a 11. § (1) bekezdés szerinti kibocsátások jelentésére vonatkozó előírások</w:t>
      </w:r>
    </w:p>
    <w:p w:rsidR="00774EE9" w:rsidRPr="00774EE9" w:rsidRDefault="00774EE9" w:rsidP="00774EE9">
      <w:pPr>
        <w:jc w:val="both"/>
        <w:rPr>
          <w:b/>
          <w:bCs/>
          <w:i/>
        </w:rPr>
      </w:pPr>
    </w:p>
    <w:tbl>
      <w:tblPr>
        <w:tblStyle w:val="Rcsostblzat"/>
        <w:tblW w:w="0" w:type="auto"/>
        <w:tblLook w:val="04A0" w:firstRow="1" w:lastRow="0" w:firstColumn="1" w:lastColumn="0" w:noHBand="0" w:noVBand="1"/>
      </w:tblPr>
      <w:tblGrid>
        <w:gridCol w:w="380"/>
        <w:gridCol w:w="2299"/>
        <w:gridCol w:w="2903"/>
        <w:gridCol w:w="1983"/>
        <w:gridCol w:w="1723"/>
      </w:tblGrid>
      <w:tr w:rsidR="00774EE9" w:rsidRPr="00774EE9" w:rsidTr="00465851">
        <w:tc>
          <w:tcPr>
            <w:tcW w:w="392" w:type="dxa"/>
            <w:vAlign w:val="center"/>
          </w:tcPr>
          <w:p w:rsidR="00774EE9" w:rsidRPr="00774EE9" w:rsidRDefault="00774EE9" w:rsidP="00774EE9">
            <w:pPr>
              <w:jc w:val="center"/>
              <w:rPr>
                <w:bCs/>
              </w:rPr>
            </w:pPr>
          </w:p>
        </w:tc>
        <w:tc>
          <w:tcPr>
            <w:tcW w:w="2410" w:type="dxa"/>
            <w:vAlign w:val="center"/>
          </w:tcPr>
          <w:p w:rsidR="00774EE9" w:rsidRPr="00774EE9" w:rsidRDefault="00774EE9" w:rsidP="00774EE9">
            <w:pPr>
              <w:jc w:val="center"/>
              <w:rPr>
                <w:bCs/>
                <w:lang w:val="en-GB"/>
              </w:rPr>
            </w:pPr>
            <w:r w:rsidRPr="00774EE9">
              <w:rPr>
                <w:bCs/>
                <w:lang w:val="en-GB"/>
              </w:rPr>
              <w:t>A</w:t>
            </w:r>
          </w:p>
        </w:tc>
        <w:tc>
          <w:tcPr>
            <w:tcW w:w="3118" w:type="dxa"/>
            <w:vAlign w:val="center"/>
          </w:tcPr>
          <w:p w:rsidR="00774EE9" w:rsidRPr="00774EE9" w:rsidRDefault="00774EE9" w:rsidP="00774EE9">
            <w:pPr>
              <w:jc w:val="center"/>
              <w:rPr>
                <w:bCs/>
                <w:lang w:val="en-GB"/>
              </w:rPr>
            </w:pPr>
            <w:r w:rsidRPr="00774EE9">
              <w:rPr>
                <w:bCs/>
                <w:lang w:val="en-GB"/>
              </w:rPr>
              <w:t>B</w:t>
            </w:r>
          </w:p>
        </w:tc>
        <w:tc>
          <w:tcPr>
            <w:tcW w:w="2126" w:type="dxa"/>
            <w:vAlign w:val="center"/>
          </w:tcPr>
          <w:p w:rsidR="00774EE9" w:rsidRPr="00774EE9" w:rsidRDefault="00774EE9" w:rsidP="00774EE9">
            <w:pPr>
              <w:jc w:val="center"/>
              <w:rPr>
                <w:bCs/>
                <w:lang w:val="en-GB"/>
              </w:rPr>
            </w:pPr>
            <w:r w:rsidRPr="00774EE9">
              <w:rPr>
                <w:bCs/>
                <w:lang w:val="en-GB"/>
              </w:rPr>
              <w:t>C</w:t>
            </w:r>
          </w:p>
        </w:tc>
        <w:tc>
          <w:tcPr>
            <w:tcW w:w="1809" w:type="dxa"/>
            <w:vAlign w:val="center"/>
          </w:tcPr>
          <w:p w:rsidR="00774EE9" w:rsidRPr="00774EE9" w:rsidRDefault="00774EE9" w:rsidP="00774EE9">
            <w:pPr>
              <w:jc w:val="center"/>
              <w:rPr>
                <w:bCs/>
                <w:lang w:val="en-GB"/>
              </w:rPr>
            </w:pPr>
            <w:r w:rsidRPr="00774EE9">
              <w:rPr>
                <w:bCs/>
                <w:lang w:val="en-GB"/>
              </w:rPr>
              <w:t>D</w:t>
            </w:r>
          </w:p>
        </w:tc>
      </w:tr>
      <w:tr w:rsidR="00774EE9" w:rsidRPr="00774EE9" w:rsidTr="00465851">
        <w:tc>
          <w:tcPr>
            <w:tcW w:w="392" w:type="dxa"/>
            <w:vAlign w:val="center"/>
          </w:tcPr>
          <w:p w:rsidR="00774EE9" w:rsidRPr="00774EE9" w:rsidRDefault="00774EE9" w:rsidP="00774EE9">
            <w:pPr>
              <w:jc w:val="center"/>
              <w:rPr>
                <w:bCs/>
                <w:lang w:val="en-GB"/>
              </w:rPr>
            </w:pPr>
            <w:r w:rsidRPr="00774EE9">
              <w:rPr>
                <w:bCs/>
                <w:lang w:val="en-GB"/>
              </w:rPr>
              <w:t>1</w:t>
            </w:r>
          </w:p>
        </w:tc>
        <w:tc>
          <w:tcPr>
            <w:tcW w:w="2410" w:type="dxa"/>
          </w:tcPr>
          <w:p w:rsidR="00774EE9" w:rsidRPr="00774EE9" w:rsidRDefault="00774EE9" w:rsidP="00774EE9">
            <w:pPr>
              <w:jc w:val="both"/>
              <w:rPr>
                <w:bCs/>
                <w:lang w:val="en-GB"/>
              </w:rPr>
            </w:pPr>
          </w:p>
        </w:tc>
        <w:tc>
          <w:tcPr>
            <w:tcW w:w="3118" w:type="dxa"/>
            <w:vAlign w:val="center"/>
          </w:tcPr>
          <w:p w:rsidR="00774EE9" w:rsidRPr="00774EE9" w:rsidRDefault="00774EE9" w:rsidP="00774EE9">
            <w:pPr>
              <w:jc w:val="center"/>
              <w:rPr>
                <w:bCs/>
                <w:lang w:val="en-GB"/>
              </w:rPr>
            </w:pPr>
            <w:r w:rsidRPr="00774EE9">
              <w:rPr>
                <w:bCs/>
                <w:lang w:val="en-GB"/>
              </w:rPr>
              <w:t>Szennyezőanyagok</w:t>
            </w:r>
          </w:p>
        </w:tc>
        <w:tc>
          <w:tcPr>
            <w:tcW w:w="2126" w:type="dxa"/>
            <w:vAlign w:val="center"/>
          </w:tcPr>
          <w:p w:rsidR="00774EE9" w:rsidRPr="00774EE9" w:rsidRDefault="00774EE9" w:rsidP="00774EE9">
            <w:pPr>
              <w:jc w:val="center"/>
              <w:rPr>
                <w:bCs/>
                <w:lang w:val="en-GB"/>
              </w:rPr>
            </w:pPr>
            <w:r w:rsidRPr="00774EE9">
              <w:rPr>
                <w:bCs/>
                <w:lang w:val="en-GB"/>
              </w:rPr>
              <w:t>Időszak</w:t>
            </w:r>
          </w:p>
        </w:tc>
        <w:tc>
          <w:tcPr>
            <w:tcW w:w="1809" w:type="dxa"/>
            <w:vAlign w:val="center"/>
          </w:tcPr>
          <w:p w:rsidR="00774EE9" w:rsidRPr="00774EE9" w:rsidRDefault="00774EE9" w:rsidP="00774EE9">
            <w:pPr>
              <w:jc w:val="center"/>
              <w:rPr>
                <w:bCs/>
                <w:lang w:val="en-GB"/>
              </w:rPr>
            </w:pPr>
            <w:r w:rsidRPr="00774EE9">
              <w:rPr>
                <w:bCs/>
                <w:lang w:val="en-GB"/>
              </w:rPr>
              <w:t>Jelentéstétel határideje</w:t>
            </w:r>
          </w:p>
        </w:tc>
      </w:tr>
      <w:tr w:rsidR="00774EE9" w:rsidRPr="00774EE9" w:rsidTr="00465851">
        <w:tc>
          <w:tcPr>
            <w:tcW w:w="392" w:type="dxa"/>
            <w:vAlign w:val="center"/>
          </w:tcPr>
          <w:p w:rsidR="00774EE9" w:rsidRPr="00774EE9" w:rsidRDefault="00774EE9" w:rsidP="00774EE9">
            <w:pPr>
              <w:jc w:val="center"/>
              <w:rPr>
                <w:bCs/>
                <w:lang w:val="en-GB"/>
              </w:rPr>
            </w:pPr>
            <w:r w:rsidRPr="00774EE9">
              <w:rPr>
                <w:bCs/>
                <w:lang w:val="en-GB"/>
              </w:rPr>
              <w:t>2</w:t>
            </w:r>
          </w:p>
        </w:tc>
        <w:tc>
          <w:tcPr>
            <w:tcW w:w="2410" w:type="dxa"/>
          </w:tcPr>
          <w:p w:rsidR="00774EE9" w:rsidRPr="00774EE9" w:rsidRDefault="00774EE9" w:rsidP="00774EE9">
            <w:pPr>
              <w:rPr>
                <w:bCs/>
                <w:lang w:val="en-GB"/>
              </w:rPr>
            </w:pPr>
            <w:r w:rsidRPr="00774EE9">
              <w:rPr>
                <w:bCs/>
                <w:lang w:val="en-GB"/>
              </w:rPr>
              <w:t>Országos összkibocsátások az NFR forráskategóriái szerint</w:t>
            </w:r>
          </w:p>
        </w:tc>
        <w:tc>
          <w:tcPr>
            <w:tcW w:w="3118" w:type="dxa"/>
          </w:tcPr>
          <w:p w:rsidR="00774EE9" w:rsidRPr="00774EE9" w:rsidRDefault="00774EE9" w:rsidP="00774EE9">
            <w:pPr>
              <w:numPr>
                <w:ilvl w:val="0"/>
                <w:numId w:val="5"/>
              </w:numPr>
              <w:ind w:left="175" w:hanging="175"/>
              <w:contextualSpacing/>
              <w:jc w:val="both"/>
              <w:rPr>
                <w:bCs/>
                <w:lang w:val="en-GB"/>
              </w:rPr>
            </w:pPr>
            <w:r w:rsidRPr="00774EE9">
              <w:rPr>
                <w:bCs/>
                <w:lang w:val="en-GB"/>
              </w:rPr>
              <w:t>SO</w:t>
            </w:r>
            <w:r w:rsidRPr="00774EE9">
              <w:rPr>
                <w:bCs/>
                <w:vertAlign w:val="subscript"/>
                <w:lang w:val="en-GB"/>
              </w:rPr>
              <w:t>2</w:t>
            </w:r>
            <w:r w:rsidRPr="00774EE9">
              <w:rPr>
                <w:bCs/>
                <w:lang w:val="en-GB"/>
              </w:rPr>
              <w:t>, NO</w:t>
            </w:r>
            <w:r w:rsidRPr="00774EE9">
              <w:rPr>
                <w:bCs/>
                <w:vertAlign w:val="subscript"/>
                <w:lang w:val="en-GB"/>
              </w:rPr>
              <w:t>x</w:t>
            </w:r>
            <w:r w:rsidRPr="00774EE9">
              <w:rPr>
                <w:bCs/>
                <w:lang w:val="en-GB"/>
              </w:rPr>
              <w:t>, NMVOC,NH</w:t>
            </w:r>
            <w:r w:rsidRPr="00774EE9">
              <w:rPr>
                <w:bCs/>
                <w:vertAlign w:val="subscript"/>
                <w:lang w:val="en-GB"/>
              </w:rPr>
              <w:t>3</w:t>
            </w:r>
            <w:r w:rsidRPr="00774EE9">
              <w:rPr>
                <w:bCs/>
                <w:lang w:val="en-GB"/>
              </w:rPr>
              <w:t>, CO;</w:t>
            </w:r>
          </w:p>
          <w:p w:rsidR="00774EE9" w:rsidRPr="00774EE9" w:rsidRDefault="00774EE9" w:rsidP="00774EE9">
            <w:pPr>
              <w:numPr>
                <w:ilvl w:val="0"/>
                <w:numId w:val="5"/>
              </w:numPr>
              <w:ind w:left="175" w:hanging="175"/>
              <w:contextualSpacing/>
              <w:jc w:val="both"/>
              <w:rPr>
                <w:bCs/>
                <w:lang w:val="en-GB"/>
              </w:rPr>
            </w:pPr>
            <w:r w:rsidRPr="00774EE9">
              <w:rPr>
                <w:bCs/>
                <w:lang w:val="en-GB"/>
              </w:rPr>
              <w:t>Cd, Hg, Pb;</w:t>
            </w:r>
          </w:p>
          <w:p w:rsidR="00774EE9" w:rsidRPr="00774EE9" w:rsidRDefault="00774EE9" w:rsidP="00774EE9">
            <w:pPr>
              <w:numPr>
                <w:ilvl w:val="0"/>
                <w:numId w:val="5"/>
              </w:numPr>
              <w:ind w:left="175" w:hanging="175"/>
              <w:contextualSpacing/>
              <w:rPr>
                <w:bCs/>
                <w:lang w:val="en-GB"/>
              </w:rPr>
            </w:pPr>
            <w:r w:rsidRPr="00774EE9">
              <w:rPr>
                <w:bCs/>
                <w:lang w:val="en-GB"/>
              </w:rPr>
              <w:t>POP-ok, összes PAH, dioxinok/furánok, PCB-k, HCB</w:t>
            </w:r>
          </w:p>
        </w:tc>
        <w:tc>
          <w:tcPr>
            <w:tcW w:w="2126" w:type="dxa"/>
          </w:tcPr>
          <w:p w:rsidR="00774EE9" w:rsidRPr="00774EE9" w:rsidRDefault="00774EE9" w:rsidP="00774EE9">
            <w:pPr>
              <w:jc w:val="both"/>
              <w:rPr>
                <w:bCs/>
                <w:lang w:val="en-GB"/>
              </w:rPr>
            </w:pPr>
            <w:r w:rsidRPr="00774EE9">
              <w:rPr>
                <w:bCs/>
                <w:lang w:val="en-GB"/>
              </w:rPr>
              <w:t>Évenként, 1990-től a jelentéstételi év előtti 2. évig (x-2)</w:t>
            </w:r>
          </w:p>
        </w:tc>
        <w:tc>
          <w:tcPr>
            <w:tcW w:w="1809" w:type="dxa"/>
            <w:vMerge w:val="restart"/>
            <w:vAlign w:val="center"/>
          </w:tcPr>
          <w:p w:rsidR="00774EE9" w:rsidRPr="00774EE9" w:rsidRDefault="00774EE9" w:rsidP="00774EE9">
            <w:pPr>
              <w:jc w:val="center"/>
              <w:rPr>
                <w:bCs/>
                <w:lang w:val="en-GB"/>
              </w:rPr>
            </w:pPr>
            <w:r w:rsidRPr="00774EE9">
              <w:rPr>
                <w:bCs/>
                <w:lang w:val="en-GB"/>
              </w:rPr>
              <w:t>február 15.</w:t>
            </w:r>
          </w:p>
        </w:tc>
      </w:tr>
      <w:tr w:rsidR="00774EE9" w:rsidRPr="00774EE9" w:rsidTr="00465851">
        <w:tc>
          <w:tcPr>
            <w:tcW w:w="392" w:type="dxa"/>
            <w:vAlign w:val="center"/>
          </w:tcPr>
          <w:p w:rsidR="00774EE9" w:rsidRPr="00774EE9" w:rsidRDefault="00774EE9" w:rsidP="00774EE9">
            <w:pPr>
              <w:jc w:val="center"/>
              <w:rPr>
                <w:bCs/>
                <w:lang w:val="en-GB"/>
              </w:rPr>
            </w:pPr>
            <w:r w:rsidRPr="00774EE9">
              <w:rPr>
                <w:bCs/>
                <w:lang w:val="en-GB"/>
              </w:rPr>
              <w:t>3</w:t>
            </w:r>
          </w:p>
        </w:tc>
        <w:tc>
          <w:tcPr>
            <w:tcW w:w="2410" w:type="dxa"/>
          </w:tcPr>
          <w:p w:rsidR="00774EE9" w:rsidRPr="00774EE9" w:rsidRDefault="00774EE9" w:rsidP="00774EE9">
            <w:pPr>
              <w:jc w:val="both"/>
              <w:rPr>
                <w:bCs/>
                <w:lang w:val="en-GB"/>
              </w:rPr>
            </w:pPr>
            <w:r w:rsidRPr="00774EE9">
              <w:rPr>
                <w:bCs/>
                <w:lang w:val="en-GB"/>
              </w:rPr>
              <w:t>Országos összkibocsátások az NFR forráskategóriái szerint</w:t>
            </w:r>
          </w:p>
        </w:tc>
        <w:tc>
          <w:tcPr>
            <w:tcW w:w="3118" w:type="dxa"/>
          </w:tcPr>
          <w:p w:rsidR="00774EE9" w:rsidRPr="00774EE9" w:rsidRDefault="00774EE9" w:rsidP="00774EE9">
            <w:pPr>
              <w:numPr>
                <w:ilvl w:val="0"/>
                <w:numId w:val="6"/>
              </w:numPr>
              <w:ind w:left="175" w:hanging="175"/>
              <w:contextualSpacing/>
              <w:rPr>
                <w:bCs/>
                <w:lang w:val="en-GB"/>
              </w:rPr>
            </w:pPr>
            <w:r w:rsidRPr="00774EE9">
              <w:rPr>
                <w:bCs/>
                <w:lang w:val="en-GB"/>
              </w:rPr>
              <w:t>PM</w:t>
            </w:r>
            <w:r w:rsidRPr="00774EE9">
              <w:rPr>
                <w:bCs/>
                <w:vertAlign w:val="subscript"/>
                <w:lang w:val="en-GB"/>
              </w:rPr>
              <w:t>2,5</w:t>
            </w:r>
            <w:r w:rsidRPr="00774EE9">
              <w:rPr>
                <w:bCs/>
                <w:lang w:val="en-GB"/>
              </w:rPr>
              <w:t>, PM</w:t>
            </w:r>
            <w:r w:rsidRPr="00774EE9">
              <w:rPr>
                <w:bCs/>
                <w:vertAlign w:val="subscript"/>
                <w:lang w:val="en-GB"/>
              </w:rPr>
              <w:t>10</w:t>
            </w:r>
            <w:r w:rsidRPr="00774EE9">
              <w:rPr>
                <w:bCs/>
                <w:lang w:val="en-GB"/>
              </w:rPr>
              <w:t xml:space="preserve"> és ha van rendelkezésre álló adat, korom</w:t>
            </w:r>
          </w:p>
        </w:tc>
        <w:tc>
          <w:tcPr>
            <w:tcW w:w="2126" w:type="dxa"/>
          </w:tcPr>
          <w:p w:rsidR="00774EE9" w:rsidRPr="00774EE9" w:rsidRDefault="00774EE9" w:rsidP="00774EE9">
            <w:pPr>
              <w:jc w:val="both"/>
              <w:rPr>
                <w:bCs/>
                <w:lang w:val="en-GB"/>
              </w:rPr>
            </w:pPr>
            <w:r w:rsidRPr="00774EE9">
              <w:rPr>
                <w:bCs/>
                <w:lang w:val="en-GB"/>
              </w:rPr>
              <w:t>Évenként, 2000-től a jelentéstételi év előtti 2. évig (x-2)</w:t>
            </w:r>
          </w:p>
        </w:tc>
        <w:tc>
          <w:tcPr>
            <w:tcW w:w="1809" w:type="dxa"/>
            <w:vMerge/>
          </w:tcPr>
          <w:p w:rsidR="00774EE9" w:rsidRPr="00774EE9" w:rsidRDefault="00774EE9" w:rsidP="00774EE9">
            <w:pPr>
              <w:jc w:val="both"/>
              <w:rPr>
                <w:bCs/>
                <w:lang w:val="en-GB"/>
              </w:rPr>
            </w:pPr>
          </w:p>
        </w:tc>
      </w:tr>
      <w:tr w:rsidR="00774EE9" w:rsidRPr="00774EE9" w:rsidTr="00465851">
        <w:tc>
          <w:tcPr>
            <w:tcW w:w="392" w:type="dxa"/>
            <w:vAlign w:val="center"/>
          </w:tcPr>
          <w:p w:rsidR="00774EE9" w:rsidRPr="00774EE9" w:rsidRDefault="00774EE9" w:rsidP="00774EE9">
            <w:pPr>
              <w:jc w:val="center"/>
              <w:rPr>
                <w:bCs/>
                <w:lang w:val="en-GB"/>
              </w:rPr>
            </w:pPr>
            <w:r w:rsidRPr="00774EE9">
              <w:rPr>
                <w:bCs/>
                <w:lang w:val="en-GB"/>
              </w:rPr>
              <w:t>4</w:t>
            </w:r>
          </w:p>
        </w:tc>
        <w:tc>
          <w:tcPr>
            <w:tcW w:w="2410" w:type="dxa"/>
          </w:tcPr>
          <w:p w:rsidR="00774EE9" w:rsidRPr="00774EE9" w:rsidRDefault="00774EE9" w:rsidP="00774EE9">
            <w:pPr>
              <w:jc w:val="both"/>
              <w:rPr>
                <w:bCs/>
                <w:lang w:val="en-GB"/>
              </w:rPr>
            </w:pPr>
            <w:r w:rsidRPr="00774EE9">
              <w:rPr>
                <w:bCs/>
                <w:lang w:val="en-GB"/>
              </w:rPr>
              <w:t>Országos összkibocsátások az NFR forráskategóriái szerint</w:t>
            </w:r>
          </w:p>
        </w:tc>
        <w:tc>
          <w:tcPr>
            <w:tcW w:w="3118" w:type="dxa"/>
          </w:tcPr>
          <w:p w:rsidR="00774EE9" w:rsidRPr="00774EE9" w:rsidRDefault="00774EE9" w:rsidP="00774EE9">
            <w:pPr>
              <w:numPr>
                <w:ilvl w:val="0"/>
                <w:numId w:val="6"/>
              </w:numPr>
              <w:ind w:left="175" w:hanging="142"/>
              <w:contextualSpacing/>
              <w:rPr>
                <w:bCs/>
                <w:lang w:val="en-GB"/>
              </w:rPr>
            </w:pPr>
            <w:r w:rsidRPr="00774EE9">
              <w:rPr>
                <w:bCs/>
                <w:lang w:val="en-GB"/>
              </w:rPr>
              <w:t>As, Cr, Cu, Ni, Se, Zn, valamint ezek vegyületei;</w:t>
            </w:r>
          </w:p>
          <w:p w:rsidR="00774EE9" w:rsidRPr="00774EE9" w:rsidRDefault="00774EE9" w:rsidP="00774EE9">
            <w:pPr>
              <w:numPr>
                <w:ilvl w:val="0"/>
                <w:numId w:val="6"/>
              </w:numPr>
              <w:ind w:left="175" w:hanging="142"/>
              <w:contextualSpacing/>
              <w:rPr>
                <w:bCs/>
                <w:lang w:val="en-GB"/>
              </w:rPr>
            </w:pPr>
            <w:r w:rsidRPr="00774EE9">
              <w:rPr>
                <w:bCs/>
                <w:lang w:val="en-GB"/>
              </w:rPr>
              <w:t>TSP</w:t>
            </w:r>
          </w:p>
        </w:tc>
        <w:tc>
          <w:tcPr>
            <w:tcW w:w="2126" w:type="dxa"/>
          </w:tcPr>
          <w:p w:rsidR="00774EE9" w:rsidRPr="00774EE9" w:rsidRDefault="00774EE9" w:rsidP="00774EE9">
            <w:pPr>
              <w:jc w:val="both"/>
              <w:rPr>
                <w:bCs/>
                <w:lang w:val="en-GB"/>
              </w:rPr>
            </w:pPr>
            <w:r w:rsidRPr="00774EE9">
              <w:rPr>
                <w:bCs/>
                <w:lang w:val="en-GB"/>
              </w:rPr>
              <w:t>Évenként, 1990-től (TSP esetén 2000-től) a jelentéstételi év előtti 2. évig (x-2)</w:t>
            </w:r>
          </w:p>
        </w:tc>
        <w:tc>
          <w:tcPr>
            <w:tcW w:w="1809" w:type="dxa"/>
            <w:vMerge/>
          </w:tcPr>
          <w:p w:rsidR="00774EE9" w:rsidRPr="00774EE9" w:rsidRDefault="00774EE9" w:rsidP="00774EE9">
            <w:pPr>
              <w:jc w:val="both"/>
              <w:rPr>
                <w:bCs/>
                <w:lang w:val="en-GB"/>
              </w:rPr>
            </w:pPr>
          </w:p>
        </w:tc>
      </w:tr>
    </w:tbl>
    <w:p w:rsidR="00774EE9" w:rsidRPr="00774EE9" w:rsidRDefault="00774EE9" w:rsidP="00774EE9">
      <w:pPr>
        <w:jc w:val="both"/>
        <w:rPr>
          <w:bCs/>
        </w:rPr>
      </w:pPr>
      <w:r w:rsidRPr="00774EE9">
        <w:rPr>
          <w:bCs/>
        </w:rPr>
        <w:lastRenderedPageBreak/>
        <w:t xml:space="preserve">2.2  A természetes kibocsátásokat a LRTAP egyezményhez kapcsolódó, a savasodás, az eutrofizáció és a talaj közeli ózon csökkentését előíró  Göteborgi Jegyzőkönyv kihirdetéséről szóló kormányrendelettel és a Magyar Köztársaságnak az Európai Környezetvédelmi Ügynökségben és az Európai Környezeti Tájékoztató és Megfigyelő Hálózatban való részvételéről szóló Megállapodás kihirdetéséről szóló törvény által meghivatkozott útmutatókban meghatározott módszerekkel összhangban kell jelenteni. </w:t>
      </w:r>
    </w:p>
    <w:p w:rsidR="00774EE9" w:rsidRPr="00774EE9" w:rsidRDefault="00774EE9" w:rsidP="00774EE9">
      <w:pPr>
        <w:jc w:val="both"/>
        <w:rPr>
          <w:bCs/>
        </w:rPr>
      </w:pPr>
      <w:r w:rsidRPr="00774EE9">
        <w:rPr>
          <w:bCs/>
        </w:rPr>
        <w:t>2.3 A természetes kibocsátásokról külön jelenés készül, azokat az országos összkibocsátás számításánál nem kell figyelembe venni.</w:t>
      </w:r>
    </w:p>
    <w:p w:rsidR="00774EE9" w:rsidRPr="00774EE9" w:rsidRDefault="00774EE9" w:rsidP="00774EE9">
      <w:pPr>
        <w:jc w:val="both"/>
        <w:rPr>
          <w:bCs/>
        </w:rPr>
      </w:pPr>
      <w:r w:rsidRPr="00774EE9">
        <w:rPr>
          <w:bCs/>
        </w:rPr>
        <w:t xml:space="preserve">2.4 Hibás jelentés esetén a benyújtási határidőt követően legkésőbb négy héten belül új jelentést kell benyújtani a változtatásokhoz fűzött magyarázattal együtt. </w:t>
      </w:r>
    </w:p>
    <w:p w:rsidR="00774EE9" w:rsidRPr="00774EE9" w:rsidRDefault="00774EE9" w:rsidP="00774EE9">
      <w:pPr>
        <w:jc w:val="both"/>
        <w:rPr>
          <w:bCs/>
        </w:rPr>
      </w:pPr>
    </w:p>
    <w:p w:rsidR="00774EE9" w:rsidRPr="00774EE9" w:rsidRDefault="00774EE9" w:rsidP="00774EE9">
      <w:pPr>
        <w:jc w:val="both"/>
        <w:rPr>
          <w:bCs/>
        </w:rPr>
      </w:pPr>
      <w:r w:rsidRPr="00774EE9">
        <w:rPr>
          <w:bCs/>
        </w:rPr>
        <w:t>3.1 a 11. § (2) bekezdés szerinti kibocsátások jelentésére vonatkozó előírások</w:t>
      </w:r>
    </w:p>
    <w:p w:rsidR="00774EE9" w:rsidRPr="00774EE9" w:rsidRDefault="00774EE9" w:rsidP="00774EE9">
      <w:pPr>
        <w:jc w:val="both"/>
        <w:rPr>
          <w:b/>
          <w:bCs/>
          <w:i/>
        </w:rPr>
      </w:pPr>
    </w:p>
    <w:tbl>
      <w:tblPr>
        <w:tblStyle w:val="Rcsostblzat"/>
        <w:tblW w:w="0" w:type="auto"/>
        <w:tblLook w:val="04A0" w:firstRow="1" w:lastRow="0" w:firstColumn="1" w:lastColumn="0" w:noHBand="0" w:noVBand="1"/>
      </w:tblPr>
      <w:tblGrid>
        <w:gridCol w:w="379"/>
        <w:gridCol w:w="2359"/>
        <w:gridCol w:w="2862"/>
        <w:gridCol w:w="1982"/>
        <w:gridCol w:w="1706"/>
      </w:tblGrid>
      <w:tr w:rsidR="00774EE9" w:rsidRPr="00774EE9" w:rsidTr="00465851">
        <w:tc>
          <w:tcPr>
            <w:tcW w:w="392" w:type="dxa"/>
            <w:vAlign w:val="center"/>
          </w:tcPr>
          <w:p w:rsidR="00774EE9" w:rsidRPr="00774EE9" w:rsidRDefault="00774EE9" w:rsidP="00774EE9">
            <w:pPr>
              <w:jc w:val="center"/>
              <w:rPr>
                <w:bCs/>
              </w:rPr>
            </w:pPr>
          </w:p>
        </w:tc>
        <w:tc>
          <w:tcPr>
            <w:tcW w:w="2410" w:type="dxa"/>
            <w:vAlign w:val="center"/>
          </w:tcPr>
          <w:p w:rsidR="00774EE9" w:rsidRPr="00774EE9" w:rsidRDefault="00774EE9" w:rsidP="00774EE9">
            <w:pPr>
              <w:jc w:val="center"/>
              <w:rPr>
                <w:bCs/>
                <w:lang w:val="en-GB"/>
              </w:rPr>
            </w:pPr>
            <w:r w:rsidRPr="00774EE9">
              <w:rPr>
                <w:bCs/>
                <w:lang w:val="en-GB"/>
              </w:rPr>
              <w:t>A</w:t>
            </w:r>
          </w:p>
        </w:tc>
        <w:tc>
          <w:tcPr>
            <w:tcW w:w="3118" w:type="dxa"/>
            <w:vAlign w:val="center"/>
          </w:tcPr>
          <w:p w:rsidR="00774EE9" w:rsidRPr="00774EE9" w:rsidRDefault="00774EE9" w:rsidP="00774EE9">
            <w:pPr>
              <w:jc w:val="center"/>
              <w:rPr>
                <w:bCs/>
                <w:lang w:val="en-GB"/>
              </w:rPr>
            </w:pPr>
            <w:r w:rsidRPr="00774EE9">
              <w:rPr>
                <w:bCs/>
                <w:lang w:val="en-GB"/>
              </w:rPr>
              <w:t>B</w:t>
            </w:r>
          </w:p>
        </w:tc>
        <w:tc>
          <w:tcPr>
            <w:tcW w:w="2126" w:type="dxa"/>
            <w:vAlign w:val="center"/>
          </w:tcPr>
          <w:p w:rsidR="00774EE9" w:rsidRPr="00774EE9" w:rsidRDefault="00774EE9" w:rsidP="00774EE9">
            <w:pPr>
              <w:jc w:val="center"/>
              <w:rPr>
                <w:bCs/>
                <w:lang w:val="en-GB"/>
              </w:rPr>
            </w:pPr>
            <w:r w:rsidRPr="00774EE9">
              <w:rPr>
                <w:bCs/>
                <w:lang w:val="en-GB"/>
              </w:rPr>
              <w:t>C</w:t>
            </w:r>
          </w:p>
        </w:tc>
        <w:tc>
          <w:tcPr>
            <w:tcW w:w="1809" w:type="dxa"/>
            <w:vAlign w:val="center"/>
          </w:tcPr>
          <w:p w:rsidR="00774EE9" w:rsidRPr="00774EE9" w:rsidRDefault="00774EE9" w:rsidP="00774EE9">
            <w:pPr>
              <w:jc w:val="center"/>
              <w:rPr>
                <w:bCs/>
                <w:lang w:val="en-GB"/>
              </w:rPr>
            </w:pPr>
            <w:r w:rsidRPr="00774EE9">
              <w:rPr>
                <w:bCs/>
                <w:lang w:val="en-GB"/>
              </w:rPr>
              <w:t>D</w:t>
            </w:r>
          </w:p>
        </w:tc>
      </w:tr>
      <w:tr w:rsidR="00774EE9" w:rsidRPr="00774EE9" w:rsidTr="00465851">
        <w:tc>
          <w:tcPr>
            <w:tcW w:w="392" w:type="dxa"/>
            <w:vAlign w:val="center"/>
          </w:tcPr>
          <w:p w:rsidR="00774EE9" w:rsidRPr="00774EE9" w:rsidRDefault="00774EE9" w:rsidP="00774EE9">
            <w:pPr>
              <w:jc w:val="center"/>
              <w:rPr>
                <w:bCs/>
                <w:lang w:val="en-GB"/>
              </w:rPr>
            </w:pPr>
            <w:r w:rsidRPr="00774EE9">
              <w:rPr>
                <w:bCs/>
                <w:lang w:val="en-GB"/>
              </w:rPr>
              <w:t>1</w:t>
            </w:r>
          </w:p>
        </w:tc>
        <w:tc>
          <w:tcPr>
            <w:tcW w:w="2410" w:type="dxa"/>
          </w:tcPr>
          <w:p w:rsidR="00774EE9" w:rsidRPr="00774EE9" w:rsidRDefault="00774EE9" w:rsidP="00774EE9">
            <w:pPr>
              <w:jc w:val="both"/>
              <w:rPr>
                <w:bCs/>
                <w:lang w:val="en-GB"/>
              </w:rPr>
            </w:pPr>
          </w:p>
        </w:tc>
        <w:tc>
          <w:tcPr>
            <w:tcW w:w="3118" w:type="dxa"/>
            <w:vAlign w:val="center"/>
          </w:tcPr>
          <w:p w:rsidR="00774EE9" w:rsidRPr="00774EE9" w:rsidRDefault="00774EE9" w:rsidP="00774EE9">
            <w:pPr>
              <w:jc w:val="center"/>
              <w:rPr>
                <w:bCs/>
                <w:lang w:val="en-GB"/>
              </w:rPr>
            </w:pPr>
            <w:r w:rsidRPr="00774EE9">
              <w:rPr>
                <w:bCs/>
                <w:lang w:val="en-GB"/>
              </w:rPr>
              <w:t>Szennyezőanyagok</w:t>
            </w:r>
          </w:p>
        </w:tc>
        <w:tc>
          <w:tcPr>
            <w:tcW w:w="2126" w:type="dxa"/>
            <w:vAlign w:val="center"/>
          </w:tcPr>
          <w:p w:rsidR="00774EE9" w:rsidRPr="00774EE9" w:rsidRDefault="00774EE9" w:rsidP="00774EE9">
            <w:pPr>
              <w:jc w:val="center"/>
              <w:rPr>
                <w:bCs/>
                <w:lang w:val="en-GB"/>
              </w:rPr>
            </w:pPr>
            <w:r w:rsidRPr="00774EE9">
              <w:rPr>
                <w:bCs/>
                <w:lang w:val="en-GB"/>
              </w:rPr>
              <w:t>Időszak</w:t>
            </w:r>
          </w:p>
        </w:tc>
        <w:tc>
          <w:tcPr>
            <w:tcW w:w="1809" w:type="dxa"/>
            <w:vAlign w:val="center"/>
          </w:tcPr>
          <w:p w:rsidR="00774EE9" w:rsidRPr="00774EE9" w:rsidRDefault="00774EE9" w:rsidP="00774EE9">
            <w:pPr>
              <w:jc w:val="center"/>
              <w:rPr>
                <w:bCs/>
                <w:lang w:val="en-GB"/>
              </w:rPr>
            </w:pPr>
            <w:r w:rsidRPr="00774EE9">
              <w:rPr>
                <w:bCs/>
                <w:lang w:val="en-GB"/>
              </w:rPr>
              <w:t>Jelentéstétel határideje</w:t>
            </w:r>
          </w:p>
        </w:tc>
      </w:tr>
      <w:tr w:rsidR="00774EE9" w:rsidRPr="00774EE9" w:rsidTr="00465851">
        <w:tc>
          <w:tcPr>
            <w:tcW w:w="392" w:type="dxa"/>
            <w:vAlign w:val="center"/>
          </w:tcPr>
          <w:p w:rsidR="00774EE9" w:rsidRPr="00774EE9" w:rsidRDefault="00774EE9" w:rsidP="00774EE9">
            <w:pPr>
              <w:jc w:val="center"/>
              <w:rPr>
                <w:bCs/>
                <w:lang w:val="en-GB"/>
              </w:rPr>
            </w:pPr>
            <w:r w:rsidRPr="00774EE9">
              <w:rPr>
                <w:bCs/>
                <w:lang w:val="en-GB"/>
              </w:rPr>
              <w:t>2</w:t>
            </w:r>
          </w:p>
        </w:tc>
        <w:tc>
          <w:tcPr>
            <w:tcW w:w="2410" w:type="dxa"/>
          </w:tcPr>
          <w:p w:rsidR="00774EE9" w:rsidRPr="00774EE9" w:rsidRDefault="00774EE9" w:rsidP="00774EE9">
            <w:pPr>
              <w:rPr>
                <w:bCs/>
                <w:lang w:val="en-GB"/>
              </w:rPr>
            </w:pPr>
            <w:r w:rsidRPr="00774EE9">
              <w:rPr>
                <w:bCs/>
                <w:lang w:val="en-GB"/>
              </w:rPr>
              <w:t>Területi bontású országos kibocsátási adatok  forráskategóriánként (GNFR)</w:t>
            </w:r>
          </w:p>
        </w:tc>
        <w:tc>
          <w:tcPr>
            <w:tcW w:w="3118" w:type="dxa"/>
          </w:tcPr>
          <w:p w:rsidR="00774EE9" w:rsidRPr="00774EE9" w:rsidRDefault="00774EE9" w:rsidP="00774EE9">
            <w:pPr>
              <w:numPr>
                <w:ilvl w:val="0"/>
                <w:numId w:val="5"/>
              </w:numPr>
              <w:ind w:left="175" w:hanging="175"/>
              <w:contextualSpacing/>
              <w:jc w:val="both"/>
              <w:rPr>
                <w:bCs/>
                <w:lang w:val="en-GB"/>
              </w:rPr>
            </w:pPr>
            <w:r w:rsidRPr="00774EE9">
              <w:rPr>
                <w:bCs/>
                <w:lang w:val="en-GB"/>
              </w:rPr>
              <w:t>SO</w:t>
            </w:r>
            <w:r w:rsidRPr="00774EE9">
              <w:rPr>
                <w:bCs/>
                <w:vertAlign w:val="subscript"/>
                <w:lang w:val="en-GB"/>
              </w:rPr>
              <w:t>2</w:t>
            </w:r>
            <w:r w:rsidRPr="00774EE9">
              <w:rPr>
                <w:bCs/>
                <w:lang w:val="en-GB"/>
              </w:rPr>
              <w:t>, NO</w:t>
            </w:r>
            <w:r w:rsidRPr="00774EE9">
              <w:rPr>
                <w:bCs/>
                <w:vertAlign w:val="subscript"/>
                <w:lang w:val="en-GB"/>
              </w:rPr>
              <w:t>x</w:t>
            </w:r>
            <w:r w:rsidRPr="00774EE9">
              <w:rPr>
                <w:bCs/>
                <w:lang w:val="en-GB"/>
              </w:rPr>
              <w:t>, NMVOC,NH</w:t>
            </w:r>
            <w:r w:rsidRPr="00774EE9">
              <w:rPr>
                <w:bCs/>
                <w:vertAlign w:val="subscript"/>
                <w:lang w:val="en-GB"/>
              </w:rPr>
              <w:t>3</w:t>
            </w:r>
            <w:r w:rsidRPr="00774EE9">
              <w:rPr>
                <w:bCs/>
                <w:lang w:val="en-GB"/>
              </w:rPr>
              <w:t>, CO, PM</w:t>
            </w:r>
            <w:r w:rsidRPr="00774EE9">
              <w:rPr>
                <w:bCs/>
                <w:vertAlign w:val="subscript"/>
                <w:lang w:val="en-GB"/>
              </w:rPr>
              <w:t>2,5</w:t>
            </w:r>
            <w:r w:rsidRPr="00774EE9">
              <w:rPr>
                <w:bCs/>
                <w:lang w:val="en-GB"/>
              </w:rPr>
              <w:t>, PM</w:t>
            </w:r>
            <w:r w:rsidRPr="00774EE9">
              <w:rPr>
                <w:bCs/>
                <w:vertAlign w:val="subscript"/>
                <w:lang w:val="en-GB"/>
              </w:rPr>
              <w:t>10</w:t>
            </w:r>
            <w:r w:rsidRPr="00774EE9">
              <w:rPr>
                <w:bCs/>
                <w:lang w:val="en-GB"/>
              </w:rPr>
              <w:t>;</w:t>
            </w:r>
          </w:p>
          <w:p w:rsidR="00774EE9" w:rsidRPr="00774EE9" w:rsidRDefault="00774EE9" w:rsidP="00774EE9">
            <w:pPr>
              <w:numPr>
                <w:ilvl w:val="0"/>
                <w:numId w:val="5"/>
              </w:numPr>
              <w:ind w:left="175" w:hanging="175"/>
              <w:contextualSpacing/>
              <w:jc w:val="both"/>
              <w:rPr>
                <w:bCs/>
                <w:lang w:val="en-GB"/>
              </w:rPr>
            </w:pPr>
            <w:r w:rsidRPr="00774EE9">
              <w:rPr>
                <w:bCs/>
                <w:lang w:val="en-GB"/>
              </w:rPr>
              <w:t>Cd, Hg, Pb;</w:t>
            </w:r>
          </w:p>
          <w:p w:rsidR="00774EE9" w:rsidRPr="00774EE9" w:rsidRDefault="00774EE9" w:rsidP="00774EE9">
            <w:pPr>
              <w:numPr>
                <w:ilvl w:val="0"/>
                <w:numId w:val="5"/>
              </w:numPr>
              <w:ind w:left="175" w:hanging="175"/>
              <w:contextualSpacing/>
              <w:rPr>
                <w:bCs/>
                <w:lang w:val="en-GB"/>
              </w:rPr>
            </w:pPr>
            <w:r w:rsidRPr="00774EE9">
              <w:rPr>
                <w:bCs/>
                <w:lang w:val="en-GB"/>
              </w:rPr>
              <w:t>POP-ok, összes PAH,  dioxinok/furánok, PCB-k, HCB;</w:t>
            </w:r>
          </w:p>
          <w:p w:rsidR="00774EE9" w:rsidRPr="00774EE9" w:rsidRDefault="00774EE9" w:rsidP="00774EE9">
            <w:pPr>
              <w:numPr>
                <w:ilvl w:val="0"/>
                <w:numId w:val="5"/>
              </w:numPr>
              <w:ind w:left="175" w:hanging="175"/>
              <w:contextualSpacing/>
              <w:rPr>
                <w:bCs/>
                <w:lang w:val="en-GB"/>
              </w:rPr>
            </w:pPr>
            <w:r w:rsidRPr="00774EE9">
              <w:rPr>
                <w:bCs/>
                <w:lang w:val="en-GB"/>
              </w:rPr>
              <w:t>korom, ha rendelkezésre áll.</w:t>
            </w:r>
          </w:p>
        </w:tc>
        <w:tc>
          <w:tcPr>
            <w:tcW w:w="2126" w:type="dxa"/>
          </w:tcPr>
          <w:p w:rsidR="00774EE9" w:rsidRPr="00774EE9" w:rsidRDefault="00774EE9" w:rsidP="00774EE9">
            <w:pPr>
              <w:rPr>
                <w:bCs/>
                <w:lang w:val="en-GB"/>
              </w:rPr>
            </w:pPr>
            <w:r w:rsidRPr="00774EE9">
              <w:rPr>
                <w:bCs/>
                <w:lang w:val="en-GB"/>
              </w:rPr>
              <w:t xml:space="preserve">2017-től </w:t>
            </w:r>
          </w:p>
          <w:p w:rsidR="00774EE9" w:rsidRPr="00774EE9" w:rsidRDefault="00774EE9" w:rsidP="00774EE9">
            <w:pPr>
              <w:rPr>
                <w:bCs/>
                <w:lang w:val="en-GB"/>
              </w:rPr>
            </w:pPr>
            <w:r w:rsidRPr="00774EE9">
              <w:rPr>
                <w:bCs/>
                <w:lang w:val="en-GB"/>
              </w:rPr>
              <w:t>négyévente, a jelentéstételi év előtti 2. évre (x-2)</w:t>
            </w:r>
          </w:p>
        </w:tc>
        <w:tc>
          <w:tcPr>
            <w:tcW w:w="1809" w:type="dxa"/>
            <w:vAlign w:val="center"/>
          </w:tcPr>
          <w:p w:rsidR="00774EE9" w:rsidRPr="00774EE9" w:rsidRDefault="00774EE9" w:rsidP="00774EE9">
            <w:pPr>
              <w:jc w:val="center"/>
              <w:rPr>
                <w:bCs/>
                <w:lang w:val="en-GB"/>
              </w:rPr>
            </w:pPr>
            <w:r w:rsidRPr="00774EE9">
              <w:rPr>
                <w:bCs/>
                <w:lang w:val="en-GB"/>
              </w:rPr>
              <w:t>május 1.</w:t>
            </w:r>
          </w:p>
        </w:tc>
      </w:tr>
      <w:tr w:rsidR="00774EE9" w:rsidRPr="00774EE9" w:rsidTr="00465851">
        <w:tc>
          <w:tcPr>
            <w:tcW w:w="392" w:type="dxa"/>
            <w:vAlign w:val="center"/>
          </w:tcPr>
          <w:p w:rsidR="00774EE9" w:rsidRPr="00774EE9" w:rsidRDefault="00774EE9" w:rsidP="00774EE9">
            <w:pPr>
              <w:jc w:val="center"/>
              <w:rPr>
                <w:bCs/>
                <w:lang w:val="en-GB"/>
              </w:rPr>
            </w:pPr>
            <w:r w:rsidRPr="00774EE9">
              <w:rPr>
                <w:bCs/>
                <w:lang w:val="en-GB"/>
              </w:rPr>
              <w:t>3</w:t>
            </w:r>
          </w:p>
        </w:tc>
        <w:tc>
          <w:tcPr>
            <w:tcW w:w="2410" w:type="dxa"/>
          </w:tcPr>
          <w:p w:rsidR="00774EE9" w:rsidRPr="00774EE9" w:rsidRDefault="00774EE9" w:rsidP="00774EE9">
            <w:pPr>
              <w:jc w:val="both"/>
              <w:rPr>
                <w:bCs/>
                <w:lang w:val="en-GB"/>
              </w:rPr>
            </w:pPr>
            <w:r w:rsidRPr="00774EE9">
              <w:rPr>
                <w:bCs/>
                <w:lang w:val="en-GB"/>
              </w:rPr>
              <w:t>Nagy pontszerű források (LPS) kibocsátásai forráskategóriái szerint</w:t>
            </w:r>
          </w:p>
        </w:tc>
        <w:tc>
          <w:tcPr>
            <w:tcW w:w="3118" w:type="dxa"/>
          </w:tcPr>
          <w:p w:rsidR="00774EE9" w:rsidRPr="00774EE9" w:rsidRDefault="00774EE9" w:rsidP="00774EE9">
            <w:pPr>
              <w:numPr>
                <w:ilvl w:val="0"/>
                <w:numId w:val="5"/>
              </w:numPr>
              <w:ind w:left="175" w:hanging="175"/>
              <w:contextualSpacing/>
              <w:jc w:val="both"/>
              <w:rPr>
                <w:bCs/>
                <w:lang w:val="en-GB"/>
              </w:rPr>
            </w:pPr>
            <w:r w:rsidRPr="00774EE9">
              <w:rPr>
                <w:bCs/>
                <w:lang w:val="en-GB"/>
              </w:rPr>
              <w:t>SO</w:t>
            </w:r>
            <w:r w:rsidRPr="00774EE9">
              <w:rPr>
                <w:bCs/>
                <w:vertAlign w:val="subscript"/>
                <w:lang w:val="en-GB"/>
              </w:rPr>
              <w:t>2</w:t>
            </w:r>
            <w:r w:rsidRPr="00774EE9">
              <w:rPr>
                <w:bCs/>
                <w:lang w:val="en-GB"/>
              </w:rPr>
              <w:t>, NO</w:t>
            </w:r>
            <w:r w:rsidRPr="00774EE9">
              <w:rPr>
                <w:bCs/>
                <w:vertAlign w:val="subscript"/>
                <w:lang w:val="en-GB"/>
              </w:rPr>
              <w:t>x</w:t>
            </w:r>
            <w:r w:rsidRPr="00774EE9">
              <w:rPr>
                <w:bCs/>
                <w:lang w:val="en-GB"/>
              </w:rPr>
              <w:t>, NMVOC,NH</w:t>
            </w:r>
            <w:r w:rsidRPr="00774EE9">
              <w:rPr>
                <w:bCs/>
                <w:vertAlign w:val="subscript"/>
                <w:lang w:val="en-GB"/>
              </w:rPr>
              <w:t>3</w:t>
            </w:r>
            <w:r w:rsidRPr="00774EE9">
              <w:rPr>
                <w:bCs/>
                <w:lang w:val="en-GB"/>
              </w:rPr>
              <w:t>, CO, PM</w:t>
            </w:r>
            <w:r w:rsidRPr="00774EE9">
              <w:rPr>
                <w:bCs/>
                <w:vertAlign w:val="subscript"/>
                <w:lang w:val="en-GB"/>
              </w:rPr>
              <w:t>2,5</w:t>
            </w:r>
            <w:r w:rsidRPr="00774EE9">
              <w:rPr>
                <w:bCs/>
                <w:lang w:val="en-GB"/>
              </w:rPr>
              <w:t>, PM</w:t>
            </w:r>
            <w:r w:rsidRPr="00774EE9">
              <w:rPr>
                <w:bCs/>
                <w:vertAlign w:val="subscript"/>
                <w:lang w:val="en-GB"/>
              </w:rPr>
              <w:t>10</w:t>
            </w:r>
            <w:r w:rsidRPr="00774EE9">
              <w:rPr>
                <w:bCs/>
                <w:lang w:val="en-GB"/>
              </w:rPr>
              <w:t>;</w:t>
            </w:r>
          </w:p>
          <w:p w:rsidR="00774EE9" w:rsidRPr="00774EE9" w:rsidRDefault="00774EE9" w:rsidP="00774EE9">
            <w:pPr>
              <w:numPr>
                <w:ilvl w:val="0"/>
                <w:numId w:val="5"/>
              </w:numPr>
              <w:ind w:left="175" w:hanging="175"/>
              <w:contextualSpacing/>
              <w:jc w:val="both"/>
              <w:rPr>
                <w:bCs/>
                <w:lang w:val="en-GB"/>
              </w:rPr>
            </w:pPr>
            <w:r w:rsidRPr="00774EE9">
              <w:rPr>
                <w:bCs/>
                <w:lang w:val="en-GB"/>
              </w:rPr>
              <w:t>Cd, Hg, Pb;</w:t>
            </w:r>
          </w:p>
          <w:p w:rsidR="00774EE9" w:rsidRPr="00774EE9" w:rsidRDefault="00774EE9" w:rsidP="00774EE9">
            <w:pPr>
              <w:numPr>
                <w:ilvl w:val="0"/>
                <w:numId w:val="5"/>
              </w:numPr>
              <w:ind w:left="175" w:hanging="175"/>
              <w:contextualSpacing/>
              <w:rPr>
                <w:bCs/>
                <w:lang w:val="en-GB"/>
              </w:rPr>
            </w:pPr>
            <w:r w:rsidRPr="00774EE9">
              <w:rPr>
                <w:bCs/>
                <w:lang w:val="en-GB"/>
              </w:rPr>
              <w:t>POP-ok, összes PAH,  dioxinok/furánok, PCB-k, HCB;</w:t>
            </w:r>
          </w:p>
          <w:p w:rsidR="00774EE9" w:rsidRPr="00774EE9" w:rsidRDefault="00774EE9" w:rsidP="00774EE9">
            <w:pPr>
              <w:ind w:left="175"/>
              <w:contextualSpacing/>
              <w:rPr>
                <w:bCs/>
                <w:lang w:val="en-GB"/>
              </w:rPr>
            </w:pPr>
            <w:r w:rsidRPr="00774EE9">
              <w:rPr>
                <w:bCs/>
                <w:lang w:val="en-GB"/>
              </w:rPr>
              <w:t>korom, ha rendelkezésre áll.</w:t>
            </w:r>
          </w:p>
        </w:tc>
        <w:tc>
          <w:tcPr>
            <w:tcW w:w="2126" w:type="dxa"/>
          </w:tcPr>
          <w:p w:rsidR="00774EE9" w:rsidRPr="00774EE9" w:rsidRDefault="00774EE9" w:rsidP="00774EE9">
            <w:pPr>
              <w:rPr>
                <w:bCs/>
                <w:lang w:val="en-GB"/>
              </w:rPr>
            </w:pPr>
            <w:r w:rsidRPr="00774EE9">
              <w:rPr>
                <w:bCs/>
                <w:lang w:val="en-GB"/>
              </w:rPr>
              <w:t xml:space="preserve">2017-től </w:t>
            </w:r>
          </w:p>
          <w:p w:rsidR="00774EE9" w:rsidRPr="00774EE9" w:rsidRDefault="00774EE9" w:rsidP="00774EE9">
            <w:pPr>
              <w:rPr>
                <w:bCs/>
                <w:lang w:val="en-GB"/>
              </w:rPr>
            </w:pPr>
            <w:r w:rsidRPr="00774EE9">
              <w:rPr>
                <w:bCs/>
                <w:lang w:val="en-GB"/>
              </w:rPr>
              <w:t>négyévente, a jelentéstételi év előtti 2. évre (x-2)</w:t>
            </w:r>
          </w:p>
        </w:tc>
        <w:tc>
          <w:tcPr>
            <w:tcW w:w="1809" w:type="dxa"/>
            <w:vAlign w:val="center"/>
          </w:tcPr>
          <w:p w:rsidR="00774EE9" w:rsidRPr="00774EE9" w:rsidRDefault="00774EE9" w:rsidP="00774EE9">
            <w:pPr>
              <w:jc w:val="center"/>
              <w:rPr>
                <w:bCs/>
                <w:lang w:val="en-GB"/>
              </w:rPr>
            </w:pPr>
            <w:r w:rsidRPr="00774EE9">
              <w:rPr>
                <w:bCs/>
                <w:lang w:val="en-GB"/>
              </w:rPr>
              <w:t>május 1.</w:t>
            </w:r>
          </w:p>
        </w:tc>
      </w:tr>
      <w:tr w:rsidR="00774EE9" w:rsidRPr="00774EE9" w:rsidTr="00465851">
        <w:tc>
          <w:tcPr>
            <w:tcW w:w="392" w:type="dxa"/>
            <w:vAlign w:val="center"/>
          </w:tcPr>
          <w:p w:rsidR="00774EE9" w:rsidRPr="00774EE9" w:rsidRDefault="00774EE9" w:rsidP="00774EE9">
            <w:pPr>
              <w:jc w:val="center"/>
              <w:rPr>
                <w:bCs/>
                <w:lang w:val="en-GB"/>
              </w:rPr>
            </w:pPr>
            <w:r w:rsidRPr="00774EE9">
              <w:rPr>
                <w:bCs/>
                <w:lang w:val="en-GB"/>
              </w:rPr>
              <w:t>4</w:t>
            </w:r>
          </w:p>
        </w:tc>
        <w:tc>
          <w:tcPr>
            <w:tcW w:w="2410" w:type="dxa"/>
          </w:tcPr>
          <w:p w:rsidR="00774EE9" w:rsidRPr="00774EE9" w:rsidRDefault="00774EE9" w:rsidP="00774EE9">
            <w:pPr>
              <w:jc w:val="both"/>
              <w:rPr>
                <w:bCs/>
                <w:lang w:val="en-GB"/>
              </w:rPr>
            </w:pPr>
            <w:r w:rsidRPr="00774EE9">
              <w:rPr>
                <w:bCs/>
                <w:lang w:val="en-GB"/>
              </w:rPr>
              <w:t>Légszennyezőanyag kibocsátások előrejelzése, országos összkibocsátások összesített NFR forráskategóriák szerint</w:t>
            </w:r>
          </w:p>
        </w:tc>
        <w:tc>
          <w:tcPr>
            <w:tcW w:w="3118" w:type="dxa"/>
          </w:tcPr>
          <w:p w:rsidR="00774EE9" w:rsidRPr="00774EE9" w:rsidRDefault="00774EE9" w:rsidP="00774EE9">
            <w:pPr>
              <w:numPr>
                <w:ilvl w:val="0"/>
                <w:numId w:val="5"/>
              </w:numPr>
              <w:ind w:left="175" w:hanging="175"/>
              <w:contextualSpacing/>
              <w:jc w:val="both"/>
              <w:rPr>
                <w:bCs/>
                <w:lang w:val="de-DE"/>
              </w:rPr>
            </w:pPr>
            <w:r w:rsidRPr="00774EE9">
              <w:rPr>
                <w:bCs/>
                <w:lang w:val="de-DE"/>
              </w:rPr>
              <w:t>SO</w:t>
            </w:r>
            <w:r w:rsidRPr="00774EE9">
              <w:rPr>
                <w:bCs/>
                <w:vertAlign w:val="subscript"/>
                <w:lang w:val="de-DE"/>
              </w:rPr>
              <w:t>2</w:t>
            </w:r>
            <w:r w:rsidRPr="00774EE9">
              <w:rPr>
                <w:bCs/>
                <w:lang w:val="de-DE"/>
              </w:rPr>
              <w:t>, NO</w:t>
            </w:r>
            <w:r w:rsidRPr="00774EE9">
              <w:rPr>
                <w:bCs/>
                <w:vertAlign w:val="subscript"/>
                <w:lang w:val="de-DE"/>
              </w:rPr>
              <w:t>x</w:t>
            </w:r>
            <w:r w:rsidRPr="00774EE9">
              <w:rPr>
                <w:bCs/>
                <w:lang w:val="de-DE"/>
              </w:rPr>
              <w:t>, NMVOC,NH</w:t>
            </w:r>
            <w:r w:rsidRPr="00774EE9">
              <w:rPr>
                <w:bCs/>
                <w:vertAlign w:val="subscript"/>
                <w:lang w:val="de-DE"/>
              </w:rPr>
              <w:t>3</w:t>
            </w:r>
            <w:r w:rsidRPr="00774EE9">
              <w:rPr>
                <w:bCs/>
                <w:lang w:val="de-DE"/>
              </w:rPr>
              <w:t>, PM</w:t>
            </w:r>
            <w:r w:rsidRPr="00774EE9">
              <w:rPr>
                <w:bCs/>
                <w:vertAlign w:val="subscript"/>
                <w:lang w:val="de-DE"/>
              </w:rPr>
              <w:t>2,5</w:t>
            </w:r>
            <w:r w:rsidRPr="00774EE9">
              <w:rPr>
                <w:bCs/>
                <w:lang w:val="de-DE"/>
              </w:rPr>
              <w:t>, korom, ha rendelkezésre áll;</w:t>
            </w:r>
          </w:p>
          <w:p w:rsidR="00774EE9" w:rsidRPr="00774EE9" w:rsidRDefault="00774EE9" w:rsidP="00774EE9">
            <w:pPr>
              <w:rPr>
                <w:bCs/>
                <w:lang w:val="de-DE"/>
              </w:rPr>
            </w:pPr>
          </w:p>
        </w:tc>
        <w:tc>
          <w:tcPr>
            <w:tcW w:w="2126" w:type="dxa"/>
          </w:tcPr>
          <w:p w:rsidR="00774EE9" w:rsidRPr="00774EE9" w:rsidRDefault="00774EE9" w:rsidP="00774EE9">
            <w:pPr>
              <w:rPr>
                <w:bCs/>
                <w:lang w:val="de-DE"/>
              </w:rPr>
            </w:pPr>
            <w:r w:rsidRPr="00774EE9">
              <w:rPr>
                <w:bCs/>
                <w:lang w:val="de-DE"/>
              </w:rPr>
              <w:t xml:space="preserve">2017-től </w:t>
            </w:r>
          </w:p>
          <w:p w:rsidR="00774EE9" w:rsidRPr="00774EE9" w:rsidRDefault="00774EE9" w:rsidP="00774EE9">
            <w:pPr>
              <w:rPr>
                <w:bCs/>
                <w:lang w:val="de-DE"/>
              </w:rPr>
            </w:pPr>
            <w:r w:rsidRPr="00774EE9">
              <w:rPr>
                <w:bCs/>
                <w:lang w:val="de-DE"/>
              </w:rPr>
              <w:t>kétévente, a 2020-as, 2025-ös, 2030-as, valamint rendelkezésre álló adat esetén a 2040-es és 2050-es előrejelzési év</w:t>
            </w:r>
          </w:p>
        </w:tc>
        <w:tc>
          <w:tcPr>
            <w:tcW w:w="1809" w:type="dxa"/>
            <w:vAlign w:val="center"/>
          </w:tcPr>
          <w:p w:rsidR="00774EE9" w:rsidRPr="00774EE9" w:rsidRDefault="00774EE9" w:rsidP="00774EE9">
            <w:pPr>
              <w:jc w:val="center"/>
              <w:rPr>
                <w:bCs/>
                <w:lang w:val="en-GB"/>
              </w:rPr>
            </w:pPr>
            <w:r w:rsidRPr="00774EE9">
              <w:rPr>
                <w:bCs/>
                <w:lang w:val="en-GB"/>
              </w:rPr>
              <w:t>március 15.</w:t>
            </w:r>
          </w:p>
        </w:tc>
      </w:tr>
    </w:tbl>
    <w:p w:rsidR="00774EE9" w:rsidRPr="00774EE9" w:rsidRDefault="00774EE9" w:rsidP="00774EE9">
      <w:pPr>
        <w:jc w:val="both"/>
        <w:rPr>
          <w:bCs/>
        </w:rPr>
      </w:pPr>
      <w:r w:rsidRPr="00774EE9">
        <w:rPr>
          <w:bCs/>
        </w:rPr>
        <w:t xml:space="preserve">3.2 Hibás jelentés esetén a benyújtási határidőt követően legkésőbb négy héten belül új jelentést kell benyújtani a változtatásokhoz fűzött magyarázattal együtt. </w:t>
      </w:r>
    </w:p>
    <w:p w:rsidR="00774EE9" w:rsidRPr="00774EE9" w:rsidRDefault="00774EE9" w:rsidP="00774EE9">
      <w:pPr>
        <w:rPr>
          <w:bCs/>
        </w:rPr>
      </w:pPr>
    </w:p>
    <w:p w:rsidR="00774EE9" w:rsidRPr="00774EE9" w:rsidRDefault="00774EE9" w:rsidP="00774EE9">
      <w:pPr>
        <w:jc w:val="both"/>
        <w:rPr>
          <w:bCs/>
        </w:rPr>
      </w:pPr>
      <w:r w:rsidRPr="00774EE9">
        <w:rPr>
          <w:bCs/>
        </w:rPr>
        <w:t>4 a 11. § (3) bekezdés szerinti tájékoztató kataszter jelentésére vonatkozó előírások</w:t>
      </w:r>
    </w:p>
    <w:p w:rsidR="00774EE9" w:rsidRPr="00774EE9" w:rsidRDefault="00774EE9" w:rsidP="00774EE9">
      <w:pPr>
        <w:jc w:val="both"/>
        <w:rPr>
          <w:b/>
          <w:bCs/>
          <w:i/>
        </w:rPr>
      </w:pPr>
    </w:p>
    <w:tbl>
      <w:tblPr>
        <w:tblStyle w:val="Rcsostblzat"/>
        <w:tblW w:w="0" w:type="auto"/>
        <w:tblLook w:val="04A0" w:firstRow="1" w:lastRow="0" w:firstColumn="1" w:lastColumn="0" w:noHBand="0" w:noVBand="1"/>
      </w:tblPr>
      <w:tblGrid>
        <w:gridCol w:w="384"/>
        <w:gridCol w:w="2250"/>
        <w:gridCol w:w="2959"/>
        <w:gridCol w:w="1950"/>
        <w:gridCol w:w="1745"/>
      </w:tblGrid>
      <w:tr w:rsidR="00774EE9" w:rsidRPr="00774EE9" w:rsidTr="00465851">
        <w:tc>
          <w:tcPr>
            <w:tcW w:w="392" w:type="dxa"/>
            <w:vAlign w:val="center"/>
          </w:tcPr>
          <w:p w:rsidR="00774EE9" w:rsidRPr="00774EE9" w:rsidRDefault="00774EE9" w:rsidP="00774EE9">
            <w:pPr>
              <w:jc w:val="center"/>
              <w:rPr>
                <w:bCs/>
              </w:rPr>
            </w:pPr>
          </w:p>
        </w:tc>
        <w:tc>
          <w:tcPr>
            <w:tcW w:w="2410" w:type="dxa"/>
            <w:vAlign w:val="center"/>
          </w:tcPr>
          <w:p w:rsidR="00774EE9" w:rsidRPr="00774EE9" w:rsidRDefault="00774EE9" w:rsidP="00774EE9">
            <w:pPr>
              <w:jc w:val="center"/>
              <w:rPr>
                <w:bCs/>
                <w:lang w:val="en-GB"/>
              </w:rPr>
            </w:pPr>
            <w:r w:rsidRPr="00774EE9">
              <w:rPr>
                <w:bCs/>
                <w:lang w:val="en-GB"/>
              </w:rPr>
              <w:t>A</w:t>
            </w:r>
          </w:p>
        </w:tc>
        <w:tc>
          <w:tcPr>
            <w:tcW w:w="3118" w:type="dxa"/>
            <w:vAlign w:val="center"/>
          </w:tcPr>
          <w:p w:rsidR="00774EE9" w:rsidRPr="00774EE9" w:rsidRDefault="00774EE9" w:rsidP="00774EE9">
            <w:pPr>
              <w:jc w:val="center"/>
              <w:rPr>
                <w:bCs/>
                <w:lang w:val="en-GB"/>
              </w:rPr>
            </w:pPr>
            <w:r w:rsidRPr="00774EE9">
              <w:rPr>
                <w:bCs/>
                <w:lang w:val="en-GB"/>
              </w:rPr>
              <w:t>B</w:t>
            </w:r>
          </w:p>
        </w:tc>
        <w:tc>
          <w:tcPr>
            <w:tcW w:w="2126" w:type="dxa"/>
            <w:vAlign w:val="center"/>
          </w:tcPr>
          <w:p w:rsidR="00774EE9" w:rsidRPr="00774EE9" w:rsidRDefault="00774EE9" w:rsidP="00774EE9">
            <w:pPr>
              <w:jc w:val="center"/>
              <w:rPr>
                <w:bCs/>
                <w:lang w:val="en-GB"/>
              </w:rPr>
            </w:pPr>
            <w:r w:rsidRPr="00774EE9">
              <w:rPr>
                <w:bCs/>
                <w:lang w:val="en-GB"/>
              </w:rPr>
              <w:t>C</w:t>
            </w:r>
          </w:p>
        </w:tc>
        <w:tc>
          <w:tcPr>
            <w:tcW w:w="1809" w:type="dxa"/>
            <w:vAlign w:val="center"/>
          </w:tcPr>
          <w:p w:rsidR="00774EE9" w:rsidRPr="00774EE9" w:rsidRDefault="00774EE9" w:rsidP="00774EE9">
            <w:pPr>
              <w:jc w:val="center"/>
              <w:rPr>
                <w:bCs/>
                <w:lang w:val="en-GB"/>
              </w:rPr>
            </w:pPr>
            <w:r w:rsidRPr="00774EE9">
              <w:rPr>
                <w:bCs/>
                <w:lang w:val="en-GB"/>
              </w:rPr>
              <w:t>D</w:t>
            </w:r>
          </w:p>
        </w:tc>
      </w:tr>
      <w:tr w:rsidR="00774EE9" w:rsidRPr="00774EE9" w:rsidTr="00465851">
        <w:tc>
          <w:tcPr>
            <w:tcW w:w="392" w:type="dxa"/>
            <w:vAlign w:val="center"/>
          </w:tcPr>
          <w:p w:rsidR="00774EE9" w:rsidRPr="00774EE9" w:rsidRDefault="00774EE9" w:rsidP="00774EE9">
            <w:pPr>
              <w:jc w:val="center"/>
              <w:rPr>
                <w:bCs/>
                <w:lang w:val="en-GB"/>
              </w:rPr>
            </w:pPr>
            <w:r w:rsidRPr="00774EE9">
              <w:rPr>
                <w:bCs/>
                <w:lang w:val="en-GB"/>
              </w:rPr>
              <w:t>1</w:t>
            </w:r>
          </w:p>
        </w:tc>
        <w:tc>
          <w:tcPr>
            <w:tcW w:w="2410" w:type="dxa"/>
          </w:tcPr>
          <w:p w:rsidR="00774EE9" w:rsidRPr="00774EE9" w:rsidRDefault="00774EE9" w:rsidP="00774EE9">
            <w:pPr>
              <w:jc w:val="both"/>
              <w:rPr>
                <w:bCs/>
                <w:lang w:val="en-GB"/>
              </w:rPr>
            </w:pPr>
          </w:p>
        </w:tc>
        <w:tc>
          <w:tcPr>
            <w:tcW w:w="3118" w:type="dxa"/>
            <w:vAlign w:val="center"/>
          </w:tcPr>
          <w:p w:rsidR="00774EE9" w:rsidRPr="00774EE9" w:rsidRDefault="00774EE9" w:rsidP="00774EE9">
            <w:pPr>
              <w:jc w:val="center"/>
              <w:rPr>
                <w:bCs/>
                <w:lang w:val="en-GB"/>
              </w:rPr>
            </w:pPr>
            <w:r w:rsidRPr="00774EE9">
              <w:rPr>
                <w:bCs/>
                <w:lang w:val="en-GB"/>
              </w:rPr>
              <w:t>Szennyezőanyagok</w:t>
            </w:r>
          </w:p>
        </w:tc>
        <w:tc>
          <w:tcPr>
            <w:tcW w:w="2126" w:type="dxa"/>
            <w:vAlign w:val="center"/>
          </w:tcPr>
          <w:p w:rsidR="00774EE9" w:rsidRPr="00774EE9" w:rsidRDefault="00774EE9" w:rsidP="00774EE9">
            <w:pPr>
              <w:jc w:val="center"/>
              <w:rPr>
                <w:bCs/>
                <w:lang w:val="en-GB"/>
              </w:rPr>
            </w:pPr>
            <w:r w:rsidRPr="00774EE9">
              <w:rPr>
                <w:bCs/>
                <w:lang w:val="en-GB"/>
              </w:rPr>
              <w:t>Időszak</w:t>
            </w:r>
          </w:p>
        </w:tc>
        <w:tc>
          <w:tcPr>
            <w:tcW w:w="1809" w:type="dxa"/>
            <w:vAlign w:val="center"/>
          </w:tcPr>
          <w:p w:rsidR="00774EE9" w:rsidRPr="00774EE9" w:rsidRDefault="00774EE9" w:rsidP="00774EE9">
            <w:pPr>
              <w:jc w:val="center"/>
              <w:rPr>
                <w:bCs/>
                <w:lang w:val="en-GB"/>
              </w:rPr>
            </w:pPr>
            <w:r w:rsidRPr="00774EE9">
              <w:rPr>
                <w:bCs/>
                <w:lang w:val="en-GB"/>
              </w:rPr>
              <w:t xml:space="preserve">Jelentéstétel </w:t>
            </w:r>
            <w:r w:rsidRPr="00774EE9">
              <w:rPr>
                <w:bCs/>
                <w:lang w:val="en-GB"/>
              </w:rPr>
              <w:lastRenderedPageBreak/>
              <w:t>határideje</w:t>
            </w:r>
          </w:p>
        </w:tc>
      </w:tr>
      <w:tr w:rsidR="00774EE9" w:rsidRPr="00774EE9" w:rsidTr="00465851">
        <w:tc>
          <w:tcPr>
            <w:tcW w:w="392" w:type="dxa"/>
            <w:vAlign w:val="center"/>
          </w:tcPr>
          <w:p w:rsidR="00774EE9" w:rsidRPr="00774EE9" w:rsidRDefault="00774EE9" w:rsidP="00774EE9">
            <w:pPr>
              <w:jc w:val="center"/>
              <w:rPr>
                <w:bCs/>
                <w:lang w:val="en-GB"/>
              </w:rPr>
            </w:pPr>
            <w:r w:rsidRPr="00774EE9">
              <w:rPr>
                <w:bCs/>
                <w:lang w:val="en-GB"/>
              </w:rPr>
              <w:lastRenderedPageBreak/>
              <w:t>2</w:t>
            </w:r>
          </w:p>
        </w:tc>
        <w:tc>
          <w:tcPr>
            <w:tcW w:w="2410" w:type="dxa"/>
          </w:tcPr>
          <w:p w:rsidR="00774EE9" w:rsidRPr="00774EE9" w:rsidRDefault="00774EE9" w:rsidP="00774EE9">
            <w:pPr>
              <w:rPr>
                <w:bCs/>
                <w:lang w:val="en-GB"/>
              </w:rPr>
            </w:pPr>
            <w:r w:rsidRPr="00774EE9">
              <w:rPr>
                <w:bCs/>
                <w:lang w:val="en-GB"/>
              </w:rPr>
              <w:t>Tájékoztató kataszter jelentés</w:t>
            </w:r>
          </w:p>
        </w:tc>
        <w:tc>
          <w:tcPr>
            <w:tcW w:w="3118" w:type="dxa"/>
          </w:tcPr>
          <w:p w:rsidR="00774EE9" w:rsidRPr="00774EE9" w:rsidRDefault="00774EE9" w:rsidP="00774EE9">
            <w:pPr>
              <w:numPr>
                <w:ilvl w:val="0"/>
                <w:numId w:val="5"/>
              </w:numPr>
              <w:ind w:left="175" w:hanging="175"/>
              <w:contextualSpacing/>
              <w:jc w:val="both"/>
              <w:rPr>
                <w:bCs/>
                <w:lang w:val="en-GB"/>
              </w:rPr>
            </w:pPr>
            <w:r w:rsidRPr="00774EE9">
              <w:rPr>
                <w:bCs/>
                <w:lang w:val="en-GB"/>
              </w:rPr>
              <w:t>SO</w:t>
            </w:r>
            <w:r w:rsidRPr="00774EE9">
              <w:rPr>
                <w:bCs/>
                <w:vertAlign w:val="subscript"/>
                <w:lang w:val="en-GB"/>
              </w:rPr>
              <w:t>2</w:t>
            </w:r>
            <w:r w:rsidRPr="00774EE9">
              <w:rPr>
                <w:bCs/>
                <w:lang w:val="en-GB"/>
              </w:rPr>
              <w:t>, NO</w:t>
            </w:r>
            <w:r w:rsidRPr="00774EE9">
              <w:rPr>
                <w:bCs/>
                <w:vertAlign w:val="subscript"/>
                <w:lang w:val="en-GB"/>
              </w:rPr>
              <w:t>x</w:t>
            </w:r>
            <w:r w:rsidRPr="00774EE9">
              <w:rPr>
                <w:bCs/>
                <w:lang w:val="en-GB"/>
              </w:rPr>
              <w:t>, NMVOC,NH</w:t>
            </w:r>
            <w:r w:rsidRPr="00774EE9">
              <w:rPr>
                <w:bCs/>
                <w:vertAlign w:val="subscript"/>
                <w:lang w:val="en-GB"/>
              </w:rPr>
              <w:t>3</w:t>
            </w:r>
            <w:r w:rsidRPr="00774EE9">
              <w:rPr>
                <w:bCs/>
                <w:lang w:val="en-GB"/>
              </w:rPr>
              <w:t>, CO, PM</w:t>
            </w:r>
            <w:r w:rsidRPr="00774EE9">
              <w:rPr>
                <w:bCs/>
                <w:vertAlign w:val="subscript"/>
                <w:lang w:val="en-GB"/>
              </w:rPr>
              <w:t>2,5</w:t>
            </w:r>
            <w:r w:rsidRPr="00774EE9">
              <w:rPr>
                <w:bCs/>
                <w:lang w:val="en-GB"/>
              </w:rPr>
              <w:t>, PM</w:t>
            </w:r>
            <w:r w:rsidRPr="00774EE9">
              <w:rPr>
                <w:bCs/>
                <w:vertAlign w:val="subscript"/>
                <w:lang w:val="en-GB"/>
              </w:rPr>
              <w:t>10</w:t>
            </w:r>
            <w:r w:rsidRPr="00774EE9">
              <w:rPr>
                <w:bCs/>
                <w:lang w:val="en-GB"/>
              </w:rPr>
              <w:t>;</w:t>
            </w:r>
          </w:p>
          <w:p w:rsidR="00774EE9" w:rsidRPr="00774EE9" w:rsidRDefault="00774EE9" w:rsidP="00774EE9">
            <w:pPr>
              <w:numPr>
                <w:ilvl w:val="0"/>
                <w:numId w:val="5"/>
              </w:numPr>
              <w:ind w:left="175" w:hanging="175"/>
              <w:contextualSpacing/>
              <w:jc w:val="both"/>
              <w:rPr>
                <w:bCs/>
                <w:lang w:val="de-DE"/>
              </w:rPr>
            </w:pPr>
            <w:r w:rsidRPr="00774EE9">
              <w:rPr>
                <w:bCs/>
                <w:lang w:val="de-DE"/>
              </w:rPr>
              <w:t>Cd, Hg, Pb és korom;</w:t>
            </w:r>
          </w:p>
          <w:p w:rsidR="00774EE9" w:rsidRPr="00774EE9" w:rsidRDefault="00774EE9" w:rsidP="00774EE9">
            <w:pPr>
              <w:numPr>
                <w:ilvl w:val="0"/>
                <w:numId w:val="5"/>
              </w:numPr>
              <w:ind w:left="175" w:hanging="175"/>
              <w:contextualSpacing/>
              <w:rPr>
                <w:bCs/>
                <w:lang w:val="de-DE"/>
              </w:rPr>
            </w:pPr>
            <w:r w:rsidRPr="00774EE9">
              <w:rPr>
                <w:bCs/>
                <w:lang w:val="de-DE"/>
              </w:rPr>
              <w:t>POP-ok, összes PAH,  dioxinok/furánok, PCB-k, HCB;</w:t>
            </w:r>
          </w:p>
          <w:p w:rsidR="00774EE9" w:rsidRPr="00774EE9" w:rsidRDefault="00774EE9" w:rsidP="00774EE9">
            <w:pPr>
              <w:numPr>
                <w:ilvl w:val="0"/>
                <w:numId w:val="5"/>
              </w:numPr>
              <w:ind w:left="175" w:hanging="175"/>
              <w:contextualSpacing/>
              <w:rPr>
                <w:bCs/>
                <w:lang w:val="de-DE"/>
              </w:rPr>
            </w:pPr>
            <w:r w:rsidRPr="00774EE9">
              <w:rPr>
                <w:bCs/>
                <w:lang w:val="de-DE"/>
              </w:rPr>
              <w:t>As, Cr, Cu, Ni, Se, Zn, valamint ezek vegyületei és TSP;</w:t>
            </w:r>
          </w:p>
        </w:tc>
        <w:tc>
          <w:tcPr>
            <w:tcW w:w="2126" w:type="dxa"/>
          </w:tcPr>
          <w:p w:rsidR="00774EE9" w:rsidRPr="00774EE9" w:rsidRDefault="00774EE9" w:rsidP="00774EE9">
            <w:pPr>
              <w:rPr>
                <w:bCs/>
                <w:lang w:val="en-GB"/>
              </w:rPr>
            </w:pPr>
            <w:r w:rsidRPr="00774EE9">
              <w:rPr>
                <w:bCs/>
                <w:lang w:val="en-GB"/>
              </w:rPr>
              <w:t>évente</w:t>
            </w:r>
          </w:p>
        </w:tc>
        <w:tc>
          <w:tcPr>
            <w:tcW w:w="1809" w:type="dxa"/>
            <w:vAlign w:val="center"/>
          </w:tcPr>
          <w:p w:rsidR="00774EE9" w:rsidRPr="00774EE9" w:rsidRDefault="00774EE9" w:rsidP="00774EE9">
            <w:pPr>
              <w:jc w:val="center"/>
              <w:rPr>
                <w:bCs/>
                <w:lang w:val="en-GB"/>
              </w:rPr>
            </w:pPr>
            <w:r w:rsidRPr="00774EE9">
              <w:rPr>
                <w:bCs/>
                <w:lang w:val="en-GB"/>
              </w:rPr>
              <w:t>március 15.</w:t>
            </w:r>
          </w:p>
        </w:tc>
      </w:tr>
    </w:tbl>
    <w:p w:rsidR="00774EE9" w:rsidRPr="00774EE9" w:rsidRDefault="00774EE9" w:rsidP="00774EE9">
      <w:pPr>
        <w:jc w:val="right"/>
        <w:rPr>
          <w:bCs/>
          <w:i/>
        </w:rPr>
      </w:pPr>
    </w:p>
    <w:p w:rsidR="00774EE9" w:rsidRPr="00774EE9" w:rsidRDefault="00774EE9" w:rsidP="00774EE9">
      <w:pPr>
        <w:jc w:val="right"/>
        <w:rPr>
          <w:bCs/>
          <w:i/>
        </w:rPr>
      </w:pPr>
      <w:r w:rsidRPr="00774EE9">
        <w:rPr>
          <w:bCs/>
          <w:i/>
        </w:rPr>
        <w:t>3. melléklet a …/2018. (…) Korm. rendelethez</w:t>
      </w:r>
    </w:p>
    <w:p w:rsidR="00774EE9" w:rsidRPr="00774EE9" w:rsidRDefault="00774EE9" w:rsidP="00774EE9">
      <w:pPr>
        <w:jc w:val="right"/>
        <w:rPr>
          <w:bCs/>
          <w:i/>
        </w:rPr>
      </w:pPr>
    </w:p>
    <w:p w:rsidR="00774EE9" w:rsidRPr="00774EE9" w:rsidRDefault="00774EE9" w:rsidP="00774EE9">
      <w:pPr>
        <w:rPr>
          <w:bCs/>
          <w:u w:val="single"/>
        </w:rPr>
      </w:pPr>
      <w:r w:rsidRPr="00774EE9">
        <w:rPr>
          <w:bCs/>
          <w:u w:val="single"/>
        </w:rPr>
        <w:t xml:space="preserve">12. melléklet a 306/2010. (XII. 23.) Korm. rendelethez </w:t>
      </w:r>
    </w:p>
    <w:p w:rsidR="00774EE9" w:rsidRPr="00774EE9" w:rsidRDefault="00774EE9" w:rsidP="00774EE9">
      <w:pPr>
        <w:jc w:val="both"/>
        <w:rPr>
          <w:b/>
          <w:bCs/>
          <w:i/>
        </w:rPr>
      </w:pPr>
    </w:p>
    <w:p w:rsidR="00774EE9" w:rsidRPr="00774EE9" w:rsidRDefault="00774EE9" w:rsidP="00774EE9">
      <w:pPr>
        <w:jc w:val="both"/>
        <w:rPr>
          <w:b/>
          <w:bCs/>
          <w:i/>
        </w:rPr>
      </w:pPr>
      <w:r w:rsidRPr="00774EE9">
        <w:rPr>
          <w:b/>
          <w:bCs/>
          <w:i/>
        </w:rPr>
        <w:t xml:space="preserve">Az országos emisszió kataszterek és légszennyezőanyag kibocsátás-előrejelzések, a tájékoztató kataszterjelentések és a kiigazított országos emisszió kataszterek elkészítésének és aktualizálásának módszerei </w:t>
      </w:r>
    </w:p>
    <w:p w:rsidR="00774EE9" w:rsidRPr="00774EE9" w:rsidRDefault="00774EE9" w:rsidP="00774EE9">
      <w:pPr>
        <w:jc w:val="both"/>
        <w:rPr>
          <w:b/>
          <w:bCs/>
          <w:i/>
        </w:rPr>
      </w:pPr>
    </w:p>
    <w:p w:rsidR="00774EE9" w:rsidRPr="00774EE9" w:rsidRDefault="00774EE9" w:rsidP="00774EE9">
      <w:pPr>
        <w:jc w:val="both"/>
        <w:rPr>
          <w:b/>
        </w:rPr>
      </w:pPr>
      <w:r w:rsidRPr="00774EE9">
        <w:rPr>
          <w:b/>
        </w:rPr>
        <w:t>1. Országos emisszió kataszter</w:t>
      </w:r>
    </w:p>
    <w:p w:rsidR="00774EE9" w:rsidRPr="00774EE9" w:rsidRDefault="00774EE9" w:rsidP="00774EE9">
      <w:pPr>
        <w:jc w:val="both"/>
      </w:pPr>
    </w:p>
    <w:p w:rsidR="00774EE9" w:rsidRPr="00774EE9" w:rsidRDefault="00774EE9" w:rsidP="00774EE9">
      <w:pPr>
        <w:jc w:val="both"/>
      </w:pPr>
      <w:r w:rsidRPr="00774EE9">
        <w:t xml:space="preserve">1.1. A 11. § (1)-(4) bekezdés szerinti országos emisszió katasztert, adott esetben kiigazított országos emisszió katasztert, térbeli bontásban megadott adatokat tartalmazó országos emisszió katasztert, nagy pontszerű forrásokra vonatkozó katasztert, az országos légszennyezőanyag kibocsátás-előrejelzést és tájékoztató kataszterjelentéseket a LRTAP egyezményhez kapcsolódó, a savasodás, az eutrofizáció és a talaj közeli ózon csökkentését előíró  Göteborgi Jegyzőkönyv kihirdetését megvalósító kormányrendeletben, és a Magyar Köztársaságnak az Európai Környezetvédelmi Ügynökségben és az Európai Környezeti Tájékoztató és Megfigyelő Hálózatban való részvételéről szóló Megállapodás kihirdetéséről szóló törvényben meghivatkozott jelentésadásra vonatkozó iránymutatásokban (EMEP reporting guidelines, a továbbiakban: EMEP jelentéstételi iránymutatás) és emisszió kataszter készítésére szolgáló útmutatókban (EMEP/EEA guidebooks, a továbbiakban: EMEP/EKÜ módszertani útmutató) meghatározott módszerek alapján dolgozzák ki figyelembe véve az e rendelet 2. mellékletében szereplő jelentéstételre vonatkozó előírásokat és e mellékletben megfogalmazott további követelményeket. </w:t>
      </w:r>
    </w:p>
    <w:p w:rsidR="00774EE9" w:rsidRPr="00774EE9" w:rsidRDefault="00774EE9" w:rsidP="00774EE9"/>
    <w:p w:rsidR="00774EE9" w:rsidRPr="00774EE9" w:rsidRDefault="00774EE9" w:rsidP="00774EE9">
      <w:pPr>
        <w:jc w:val="both"/>
      </w:pPr>
      <w:r w:rsidRPr="00774EE9">
        <w:t>1.2 Az 1.1. pontban említett iránymutatások alapján összeállítják az országos emisszió kataszterek és légszennyezőanyag kibocsátás-előrejelzések értékeléséhez szükséges kiegészítő információkat, különös tekintettel a tevékenységekre vonatkozó adatokra.</w:t>
      </w:r>
    </w:p>
    <w:p w:rsidR="00774EE9" w:rsidRPr="00774EE9" w:rsidRDefault="00774EE9" w:rsidP="00774EE9">
      <w:pPr>
        <w:jc w:val="both"/>
      </w:pPr>
    </w:p>
    <w:p w:rsidR="00774EE9" w:rsidRPr="00774EE9" w:rsidRDefault="00774EE9" w:rsidP="00774EE9">
      <w:pPr>
        <w:jc w:val="both"/>
      </w:pPr>
      <w:r w:rsidRPr="00774EE9">
        <w:t>1.3 Éves országos emisszió kataszterrel szemben támasztott követelmények</w:t>
      </w:r>
    </w:p>
    <w:p w:rsidR="00774EE9" w:rsidRPr="00774EE9" w:rsidRDefault="00774EE9" w:rsidP="00774EE9">
      <w:pPr>
        <w:jc w:val="both"/>
      </w:pPr>
    </w:p>
    <w:p w:rsidR="00774EE9" w:rsidRPr="00774EE9" w:rsidRDefault="00774EE9" w:rsidP="00774EE9">
      <w:pPr>
        <w:jc w:val="both"/>
      </w:pPr>
      <w:r w:rsidRPr="00774EE9">
        <w:t>1.3.1 Az országos emisszió kataszter legyen átlátható, következetes, összehasonlítható, teljes és pontos.</w:t>
      </w:r>
    </w:p>
    <w:p w:rsidR="00774EE9" w:rsidRPr="00774EE9" w:rsidRDefault="00774EE9" w:rsidP="00774EE9">
      <w:pPr>
        <w:jc w:val="both"/>
      </w:pPr>
    </w:p>
    <w:p w:rsidR="00774EE9" w:rsidRPr="00774EE9" w:rsidRDefault="00774EE9" w:rsidP="00774EE9">
      <w:pPr>
        <w:jc w:val="both"/>
      </w:pPr>
      <w:r w:rsidRPr="00774EE9">
        <w:t>1.3.2 Az azonosított kulcskategóriákhoz tartozó kibocsátások számításához az EMEP/EKÜ útmutatóban meghatározott un. Tier 2. vagy, amennyiben lehetséges annál magasabb szintű (részletesebb adatokon alapuló) módszertant kell alkalmazni.</w:t>
      </w:r>
    </w:p>
    <w:p w:rsidR="00774EE9" w:rsidRPr="00774EE9" w:rsidRDefault="00774EE9" w:rsidP="00774EE9">
      <w:pPr>
        <w:jc w:val="both"/>
      </w:pPr>
    </w:p>
    <w:p w:rsidR="00774EE9" w:rsidRPr="00774EE9" w:rsidRDefault="00774EE9" w:rsidP="00774EE9">
      <w:pPr>
        <w:jc w:val="both"/>
      </w:pPr>
      <w:r w:rsidRPr="00774EE9">
        <w:lastRenderedPageBreak/>
        <w:t>1.3.3 Az 1.3.2 pontban meghatározott módszertől eltérő egyéb, a fentiekkel összeegyeztethető és tudományosan megalapozott módszer is használható az országos emissziókataszter elkészítéséhez, ha ezzel pontosabb becslés végezhető, mint az alapmódszer segítségével.</w:t>
      </w:r>
    </w:p>
    <w:p w:rsidR="00774EE9" w:rsidRPr="00774EE9" w:rsidRDefault="00774EE9" w:rsidP="00774EE9">
      <w:pPr>
        <w:jc w:val="both"/>
      </w:pPr>
    </w:p>
    <w:p w:rsidR="00774EE9" w:rsidRPr="00774EE9" w:rsidRDefault="00774EE9" w:rsidP="00774EE9">
      <w:pPr>
        <w:jc w:val="both"/>
      </w:pPr>
      <w:r w:rsidRPr="00774EE9">
        <w:t>1.3.4 A közlekedésből származó kibocsátásokat az EUROSTAT-nak jelentett országos energiamérleggel összhangban kell számítani és jelenteni.</w:t>
      </w:r>
    </w:p>
    <w:p w:rsidR="00774EE9" w:rsidRPr="00774EE9" w:rsidRDefault="00774EE9" w:rsidP="00774EE9">
      <w:pPr>
        <w:jc w:val="both"/>
      </w:pPr>
    </w:p>
    <w:p w:rsidR="00774EE9" w:rsidRPr="00774EE9" w:rsidRDefault="00774EE9" w:rsidP="00774EE9">
      <w:pPr>
        <w:jc w:val="both"/>
      </w:pPr>
      <w:r w:rsidRPr="00774EE9">
        <w:t>1.3.5 A közúti közlekedésből származó kibocsátások adatainak meghatározásánál az országban értékesített üzemanyag mennyiségét kell figyelembe venni.</w:t>
      </w:r>
    </w:p>
    <w:p w:rsidR="00774EE9" w:rsidRPr="00774EE9" w:rsidRDefault="00774EE9" w:rsidP="00774EE9">
      <w:pPr>
        <w:jc w:val="both"/>
      </w:pPr>
    </w:p>
    <w:p w:rsidR="00774EE9" w:rsidRPr="00774EE9" w:rsidRDefault="00774EE9" w:rsidP="00774EE9">
      <w:pPr>
        <w:jc w:val="both"/>
      </w:pPr>
      <w:r w:rsidRPr="00774EE9">
        <w:t>1.3.6 Az éves országos kibocsátásokat a LRTAP egyezmény jelentéstételi űrlapján meghatározott mértékegységben kell kifejezni.</w:t>
      </w:r>
    </w:p>
    <w:p w:rsidR="00774EE9" w:rsidRPr="00774EE9" w:rsidRDefault="00774EE9" w:rsidP="00774EE9">
      <w:pPr>
        <w:jc w:val="both"/>
      </w:pPr>
    </w:p>
    <w:p w:rsidR="00774EE9" w:rsidRPr="00774EE9" w:rsidRDefault="00774EE9" w:rsidP="00774EE9">
      <w:pPr>
        <w:jc w:val="both"/>
        <w:rPr>
          <w:b/>
        </w:rPr>
      </w:pPr>
      <w:r w:rsidRPr="00774EE9">
        <w:rPr>
          <w:b/>
        </w:rPr>
        <w:t>2. Az országos légszennyezőanyag kibocsátás-előrejelzés</w:t>
      </w:r>
    </w:p>
    <w:p w:rsidR="00774EE9" w:rsidRPr="00774EE9" w:rsidRDefault="00774EE9" w:rsidP="00774EE9">
      <w:pPr>
        <w:jc w:val="both"/>
      </w:pPr>
    </w:p>
    <w:p w:rsidR="00774EE9" w:rsidRPr="00774EE9" w:rsidRDefault="00774EE9" w:rsidP="00774EE9">
      <w:pPr>
        <w:jc w:val="both"/>
      </w:pPr>
      <w:r w:rsidRPr="00774EE9">
        <w:t>2.1 Az országos kibocsátás-előrejelzés legyen átlátható, következetes, összehasonlítható, teljes és pontos.</w:t>
      </w:r>
    </w:p>
    <w:p w:rsidR="00774EE9" w:rsidRPr="00774EE9" w:rsidRDefault="00774EE9" w:rsidP="00774EE9">
      <w:pPr>
        <w:jc w:val="both"/>
      </w:pPr>
    </w:p>
    <w:p w:rsidR="00774EE9" w:rsidRPr="00774EE9" w:rsidRDefault="00774EE9" w:rsidP="00774EE9">
      <w:pPr>
        <w:jc w:val="both"/>
      </w:pPr>
      <w:r w:rsidRPr="00774EE9">
        <w:t>2.2 Az országos légszennyezőanyag kibocsátás-előrejelzés tartalmazza</w:t>
      </w:r>
    </w:p>
    <w:p w:rsidR="00774EE9" w:rsidRPr="00774EE9" w:rsidRDefault="00774EE9" w:rsidP="00774EE9">
      <w:pPr>
        <w:jc w:val="both"/>
      </w:pPr>
      <w:r w:rsidRPr="00774EE9">
        <w:t>a) az előrejelzésben figyelembe vett, elfogadott és tervezett szakpolitikák és intézkedések leírását;</w:t>
      </w:r>
    </w:p>
    <w:p w:rsidR="00774EE9" w:rsidRPr="00774EE9" w:rsidRDefault="00774EE9" w:rsidP="00774EE9">
      <w:pPr>
        <w:jc w:val="both"/>
      </w:pPr>
      <w:r w:rsidRPr="00774EE9">
        <w:t>b) adott esetben az előrejelzés tekintetében elvégzett érzékenységi vizsgálat eredményét;</w:t>
      </w:r>
    </w:p>
    <w:p w:rsidR="00774EE9" w:rsidRPr="00774EE9" w:rsidRDefault="00774EE9" w:rsidP="00774EE9">
      <w:pPr>
        <w:jc w:val="both"/>
      </w:pPr>
      <w:r w:rsidRPr="00774EE9">
        <w:t>c) a használt módszerek, modellek, az alapfeltételezések, valamint a legfontosabb kiindulási és eredményparaméterek leírását.</w:t>
      </w:r>
    </w:p>
    <w:p w:rsidR="00774EE9" w:rsidRPr="00774EE9" w:rsidRDefault="00774EE9" w:rsidP="00774EE9">
      <w:pPr>
        <w:jc w:val="both"/>
      </w:pPr>
    </w:p>
    <w:p w:rsidR="00774EE9" w:rsidRPr="00774EE9" w:rsidRDefault="00774EE9" w:rsidP="00774EE9">
      <w:pPr>
        <w:jc w:val="both"/>
      </w:pPr>
      <w:r w:rsidRPr="00774EE9">
        <w:t xml:space="preserve">2.3 A légszennyezőanyag kibocsátás-előrejelzéseket releváns forrásszektoronként kell megbecsülni és összesíteni. </w:t>
      </w:r>
    </w:p>
    <w:p w:rsidR="00774EE9" w:rsidRPr="00774EE9" w:rsidRDefault="00774EE9" w:rsidP="00774EE9">
      <w:pPr>
        <w:jc w:val="both"/>
      </w:pPr>
    </w:p>
    <w:p w:rsidR="00774EE9" w:rsidRPr="00774EE9" w:rsidRDefault="00774EE9" w:rsidP="00774EE9">
      <w:pPr>
        <w:jc w:val="both"/>
      </w:pPr>
      <w:r w:rsidRPr="00774EE9">
        <w:t>2.4 Az  egyes szennyező anyagokra vonatkozóan egy „elfogadott intézkedéseket figyelembe vevő” előrejelzést és egy „további (tervezett) intézkedéseket figyelembe vevő” előrejelzést kell készíteni és benyújtani  az EMEP/EKÜ útmutató szerinti iránymutatásokkal összhangban.</w:t>
      </w:r>
    </w:p>
    <w:p w:rsidR="00774EE9" w:rsidRPr="00774EE9" w:rsidRDefault="00774EE9" w:rsidP="00774EE9">
      <w:pPr>
        <w:jc w:val="both"/>
      </w:pPr>
    </w:p>
    <w:p w:rsidR="00774EE9" w:rsidRPr="00774EE9" w:rsidRDefault="00774EE9" w:rsidP="00774EE9">
      <w:pPr>
        <w:jc w:val="both"/>
      </w:pPr>
      <w:r w:rsidRPr="00774EE9">
        <w:t xml:space="preserve">2.5 Az országos légszennyezőanyag kibocsátás-előrejelzéseknek összhangban kell lenniük az x–3. évi, rendelkezésre állás esetén az X-2. évi éves országos emisszió kataszterrel és az üvegházhatást okozó gázok kibocsátásának nyomon követésére és bejelentésére, valamint az éghajlatváltozással kapcsolatos egyéb információk országos és uniós szintű bejelentésére szolgáló rendszerről </w:t>
      </w:r>
      <w:r w:rsidRPr="00774EE9">
        <w:rPr>
          <w:rFonts w:eastAsiaTheme="minorHAnsi"/>
          <w:lang w:eastAsia="en-US"/>
        </w:rPr>
        <w:t>valamint a 280/2004/EK határozat hatályon kívül helyezéséről szóló</w:t>
      </w:r>
      <w:r w:rsidRPr="00774EE9">
        <w:t xml:space="preserve"> 525/2013/EU európai parlamenti és tanácsi rendelet alapján benyújtott előrejelzésekkel.</w:t>
      </w:r>
    </w:p>
    <w:p w:rsidR="00774EE9" w:rsidRPr="00774EE9" w:rsidRDefault="00774EE9" w:rsidP="00774EE9">
      <w:pPr>
        <w:jc w:val="both"/>
      </w:pPr>
    </w:p>
    <w:p w:rsidR="00774EE9" w:rsidRPr="00774EE9" w:rsidRDefault="00774EE9" w:rsidP="00774EE9">
      <w:pPr>
        <w:jc w:val="both"/>
        <w:rPr>
          <w:b/>
        </w:rPr>
      </w:pPr>
      <w:r w:rsidRPr="00774EE9">
        <w:rPr>
          <w:b/>
        </w:rPr>
        <w:t>3. Tájékoztató kataszterjelentés</w:t>
      </w:r>
    </w:p>
    <w:p w:rsidR="00774EE9" w:rsidRPr="00774EE9" w:rsidRDefault="00774EE9" w:rsidP="00774EE9">
      <w:pPr>
        <w:jc w:val="both"/>
        <w:rPr>
          <w:b/>
        </w:rPr>
      </w:pPr>
    </w:p>
    <w:p w:rsidR="00774EE9" w:rsidRPr="00774EE9" w:rsidRDefault="00774EE9" w:rsidP="00774EE9">
      <w:pPr>
        <w:jc w:val="both"/>
      </w:pPr>
      <w:r w:rsidRPr="00774EE9">
        <w:t>3.1 A tájékoztató kataszterjelentést az EMEP jelentéstételi iránymutatásainak megfelelően kell összeállítani, és az abban meghatározott kataszterjelentési űrlap felhasználásával kell benyújtani.</w:t>
      </w:r>
    </w:p>
    <w:p w:rsidR="00774EE9" w:rsidRPr="00774EE9" w:rsidRDefault="00774EE9" w:rsidP="00774EE9">
      <w:pPr>
        <w:jc w:val="both"/>
      </w:pPr>
    </w:p>
    <w:p w:rsidR="00774EE9" w:rsidRPr="00774EE9" w:rsidRDefault="00774EE9" w:rsidP="00774EE9">
      <w:pPr>
        <w:jc w:val="both"/>
      </w:pPr>
      <w:r w:rsidRPr="00774EE9">
        <w:t>3.2 A 3.1 pont szerinti jelentés tartalmazza</w:t>
      </w:r>
    </w:p>
    <w:p w:rsidR="00774EE9" w:rsidRPr="00774EE9" w:rsidRDefault="00774EE9" w:rsidP="00774EE9">
      <w:pPr>
        <w:jc w:val="both"/>
      </w:pPr>
      <w:r w:rsidRPr="00774EE9">
        <w:t>3.2.1 az alkalmazott módszerek, feltételezések, kibocsátási tényezők és tevékenységadatok ismertetését, forrását a kapcsolódó hivatkozások megjelölésével, valamint kiválasztásuk indoklását;</w:t>
      </w:r>
    </w:p>
    <w:p w:rsidR="00774EE9" w:rsidRPr="00774EE9" w:rsidRDefault="00774EE9" w:rsidP="00774EE9">
      <w:pPr>
        <w:jc w:val="both"/>
      </w:pPr>
      <w:r w:rsidRPr="00774EE9">
        <w:t>3.2.2 a kibocsátási források fő országos kategóriáinak leírását;</w:t>
      </w:r>
    </w:p>
    <w:p w:rsidR="00774EE9" w:rsidRPr="00774EE9" w:rsidRDefault="00774EE9" w:rsidP="00774EE9">
      <w:pPr>
        <w:jc w:val="both"/>
      </w:pPr>
      <w:r w:rsidRPr="00774EE9">
        <w:lastRenderedPageBreak/>
        <w:t>3.2.3 a bizonytalansági tényezőkre, a minőségbiztosításra és a hitelesítésre vonatkozó információkat;</w:t>
      </w:r>
    </w:p>
    <w:p w:rsidR="00774EE9" w:rsidRPr="00774EE9" w:rsidRDefault="00774EE9" w:rsidP="00774EE9">
      <w:pPr>
        <w:jc w:val="both"/>
      </w:pPr>
      <w:r w:rsidRPr="00774EE9">
        <w:t>3.2.4 az emisszió kataszter elkészítése intézményi hátterének ismertetését;</w:t>
      </w:r>
    </w:p>
    <w:p w:rsidR="00774EE9" w:rsidRPr="00774EE9" w:rsidRDefault="00774EE9" w:rsidP="00774EE9">
      <w:pPr>
        <w:jc w:val="both"/>
      </w:pPr>
      <w:r w:rsidRPr="00774EE9">
        <w:t>3.2.5 az újraszámításokat és a tervezett korrekciókat;</w:t>
      </w:r>
    </w:p>
    <w:p w:rsidR="00774EE9" w:rsidRPr="00774EE9" w:rsidRDefault="00774EE9" w:rsidP="00774EE9">
      <w:pPr>
        <w:widowControl w:val="0"/>
      </w:pPr>
      <w:r w:rsidRPr="00774EE9">
        <w:t xml:space="preserve">3.2.6 e rendelet 21/C. – 21/E. §-ában foglalt eltérések alkalmazása esetén, az azokkal kapcsolatos információkat; </w:t>
      </w:r>
    </w:p>
    <w:p w:rsidR="00774EE9" w:rsidRPr="00774EE9" w:rsidRDefault="00774EE9" w:rsidP="00774EE9">
      <w:pPr>
        <w:widowControl w:val="0"/>
      </w:pPr>
      <w:r w:rsidRPr="00774EE9">
        <w:t>3.2.7 e rendelet 21/A. § (2) vagy (3) bekezdése alapján meghatározott kibocsátás-csökkentési pályától való eltérés esetén az eltérés indokairól, valamint a pályára való visszaállást szolgáló intézkedésekről szóló tájékoztatást;</w:t>
      </w:r>
    </w:p>
    <w:p w:rsidR="00774EE9" w:rsidRPr="00774EE9" w:rsidRDefault="00774EE9" w:rsidP="00774EE9">
      <w:pPr>
        <w:widowControl w:val="0"/>
      </w:pPr>
      <w:r w:rsidRPr="00774EE9">
        <w:t>3.2.8 a vezetői összefoglalót.</w:t>
      </w:r>
    </w:p>
    <w:p w:rsidR="00774EE9" w:rsidRPr="00774EE9" w:rsidRDefault="00774EE9" w:rsidP="00774EE9">
      <w:pPr>
        <w:widowControl w:val="0"/>
      </w:pPr>
    </w:p>
    <w:p w:rsidR="00774EE9" w:rsidRPr="00774EE9" w:rsidRDefault="00774EE9" w:rsidP="00774EE9">
      <w:pPr>
        <w:jc w:val="both"/>
        <w:rPr>
          <w:b/>
        </w:rPr>
      </w:pPr>
      <w:r w:rsidRPr="00774EE9">
        <w:rPr>
          <w:b/>
        </w:rPr>
        <w:t>4. Kiigazított országos emisszió kataszterek</w:t>
      </w:r>
    </w:p>
    <w:p w:rsidR="00774EE9" w:rsidRPr="00774EE9" w:rsidRDefault="00774EE9" w:rsidP="00774EE9">
      <w:pPr>
        <w:jc w:val="both"/>
        <w:rPr>
          <w:b/>
        </w:rPr>
      </w:pPr>
    </w:p>
    <w:p w:rsidR="00774EE9" w:rsidRPr="00774EE9" w:rsidRDefault="00774EE9" w:rsidP="00774EE9">
      <w:pPr>
        <w:widowControl w:val="0"/>
        <w:jc w:val="both"/>
      </w:pPr>
      <w:r w:rsidRPr="00774EE9">
        <w:t>4.1 Kiigazított országos emisszió kataszter készítése esetén a 4.1.1-4.1.7 pontban szereplő dokumentumokat kell a Bizottságnak benyújtandó javaslathoz csatolni.</w:t>
      </w:r>
    </w:p>
    <w:p w:rsidR="00774EE9" w:rsidRPr="00774EE9" w:rsidRDefault="00774EE9" w:rsidP="00774EE9">
      <w:pPr>
        <w:widowControl w:val="0"/>
        <w:jc w:val="both"/>
      </w:pPr>
      <w:r w:rsidRPr="00774EE9">
        <w:t>4.1.1 annak igazolása, hogy az érintett szennyezőanyag tekintetében  az országos légszennyezőanyag kibocsátás-csökkentési kötelezettség nem teljesült;</w:t>
      </w:r>
    </w:p>
    <w:p w:rsidR="00774EE9" w:rsidRPr="00774EE9" w:rsidRDefault="00774EE9" w:rsidP="00774EE9">
      <w:pPr>
        <w:widowControl w:val="0"/>
        <w:jc w:val="both"/>
      </w:pPr>
      <w:r w:rsidRPr="00774EE9">
        <w:t>4.1.2 annak kimutatása, hogy az országos emisszió kataszter kiigazítása milyen mértékben csökkenti a kibocsátás-csökkentési kötelezettségtől való eltérést, illetve járul hozzá az érintett országos légszennyezőanyag kibocsátás-csökkentési kötelezettség teljesítéséhez;</w:t>
      </w:r>
    </w:p>
    <w:p w:rsidR="00774EE9" w:rsidRPr="00774EE9" w:rsidRDefault="00774EE9" w:rsidP="00774EE9">
      <w:pPr>
        <w:widowControl w:val="0"/>
        <w:jc w:val="both"/>
      </w:pPr>
      <w:r w:rsidRPr="00774EE9">
        <w:t>4.1.3 annak becslése, hogy a kiigazítás nélkül, az országos légszennyezőanyag kibocsátás-előrejelzések alapján teljesíthető-e és ha igen, mikor teljesülne az országos kibocsátás-csökkentési cél;</w:t>
      </w:r>
    </w:p>
    <w:p w:rsidR="00774EE9" w:rsidRPr="00774EE9" w:rsidRDefault="00774EE9" w:rsidP="00774EE9">
      <w:pPr>
        <w:widowControl w:val="0"/>
        <w:jc w:val="both"/>
      </w:pPr>
      <w:r w:rsidRPr="00774EE9">
        <w:t>4.1.4 annak bemutatása, hogy a kiigazítás összefüggésben áll az alábbi esetek közül legalább eggyel (szükség esetén korábbi vonatkozó kiigazításokat is figyelembe lehet venni):</w:t>
      </w:r>
    </w:p>
    <w:p w:rsidR="00774EE9" w:rsidRPr="00774EE9" w:rsidRDefault="00774EE9" w:rsidP="00774EE9">
      <w:pPr>
        <w:widowControl w:val="0"/>
        <w:jc w:val="both"/>
      </w:pPr>
      <w:r w:rsidRPr="00774EE9">
        <w:t>4.1.5 Új kibocsátásforrás kategória esetén:</w:t>
      </w:r>
    </w:p>
    <w:p w:rsidR="00774EE9" w:rsidRPr="00774EE9" w:rsidRDefault="00774EE9" w:rsidP="00774EE9">
      <w:pPr>
        <w:widowControl w:val="0"/>
        <w:jc w:val="both"/>
      </w:pPr>
      <w:r w:rsidRPr="00774EE9">
        <w:t>4.1.5.1 arra vonatkozó bizonyíték, hogy az új kibocsátásforrás-kategóriát a tudományos szakirodalom és/vagy az EMEP/EKÜ módszertani útmutató elismeri;</w:t>
      </w:r>
    </w:p>
    <w:p w:rsidR="00774EE9" w:rsidRPr="00774EE9" w:rsidRDefault="00774EE9" w:rsidP="00774EE9">
      <w:pPr>
        <w:widowControl w:val="0"/>
        <w:jc w:val="both"/>
      </w:pPr>
      <w:r w:rsidRPr="00774EE9">
        <w:t>4.1.5.2 arra vonatkozó bizonyíték, hogy ez a kibocsátásforrás-kategória nem szerepelt az országos emisszió kataszterben a légszennyezőanyag kibocsátás-csökkentési kötelezettség meghatározása idején;</w:t>
      </w:r>
    </w:p>
    <w:p w:rsidR="00774EE9" w:rsidRPr="00774EE9" w:rsidRDefault="00774EE9" w:rsidP="00774EE9">
      <w:pPr>
        <w:widowControl w:val="0"/>
        <w:jc w:val="both"/>
      </w:pPr>
      <w:r w:rsidRPr="00774EE9">
        <w:t>4.1.5.3 arra vonatkozó kimutatás, hogy az új kibocsátásforrás-kategóriából származó kibocsátások hozzájárulnak ahhoz, hogy a tagállam ne tudja teljesíteni kibocsátás-csökkentési kötelezettségeit, továbbá az ennek megállapításához használt módszerek, adatok és kibocsátási tényezők részletes leírását;</w:t>
      </w:r>
    </w:p>
    <w:p w:rsidR="00774EE9" w:rsidRPr="00774EE9" w:rsidRDefault="00774EE9" w:rsidP="00774EE9">
      <w:pPr>
        <w:widowControl w:val="0"/>
        <w:jc w:val="both"/>
      </w:pPr>
      <w:r w:rsidRPr="00774EE9">
        <w:t>4.1.6 Az egyes kibocsátásforrás-kategóriákból származó kibocsátási értékek meghatározásához alkalmazott jelentősen eltérő kibocsátási tényezők esetén:</w:t>
      </w:r>
    </w:p>
    <w:p w:rsidR="00774EE9" w:rsidRPr="00774EE9" w:rsidRDefault="00774EE9" w:rsidP="00774EE9">
      <w:pPr>
        <w:widowControl w:val="0"/>
        <w:jc w:val="both"/>
      </w:pPr>
      <w:r w:rsidRPr="00774EE9">
        <w:t>4.1.6.1 az eredeti kibocsátási tényezők ismertetése, ideértve azon tudományos alapvetés részletes leírását, amelyből az adott kibocsátási tényező levezetésre került;</w:t>
      </w:r>
    </w:p>
    <w:p w:rsidR="00774EE9" w:rsidRPr="00774EE9" w:rsidRDefault="00774EE9" w:rsidP="00774EE9">
      <w:pPr>
        <w:widowControl w:val="0"/>
        <w:jc w:val="both"/>
      </w:pPr>
      <w:r w:rsidRPr="00774EE9">
        <w:t>4.1.6.2 arra vonatkozó bizonyíték, hogy az eredeti kibocsátási tényezőket alkalmazták a kibocsátás-csökkentések meghatározásához azok megállapítása idején;</w:t>
      </w:r>
    </w:p>
    <w:p w:rsidR="00774EE9" w:rsidRPr="00774EE9" w:rsidRDefault="00774EE9" w:rsidP="00774EE9">
      <w:pPr>
        <w:widowControl w:val="0"/>
        <w:jc w:val="both"/>
      </w:pPr>
      <w:r w:rsidRPr="00774EE9">
        <w:t>4.1.6.3 az aktualizált kibocsátási tényezők ismertetése, ideértve azon tudományos alapvetés részletes leírását, amelyből az adott kibocsátási tényező levezetésre került;</w:t>
      </w:r>
    </w:p>
    <w:p w:rsidR="00774EE9" w:rsidRPr="00774EE9" w:rsidRDefault="00774EE9" w:rsidP="00774EE9">
      <w:pPr>
        <w:widowControl w:val="0"/>
        <w:jc w:val="both"/>
      </w:pPr>
      <w:r w:rsidRPr="00774EE9">
        <w:t>4.1.6.4 az eredeti és az aktualizált kibocsátási tényezők alkalmazásával készült kibocsátásbecslések összehasonlítása annak igazolására, hogy a kibocsátási tényezők változása hozzájárul ahhoz, hogy a tagállam ne tudja teljesíteni légszennyezőanyag kibocsátás-csökkentési kötelezettségeit;</w:t>
      </w:r>
    </w:p>
    <w:p w:rsidR="00774EE9" w:rsidRPr="00774EE9" w:rsidRDefault="00774EE9" w:rsidP="00774EE9">
      <w:pPr>
        <w:widowControl w:val="0"/>
        <w:jc w:val="both"/>
      </w:pPr>
      <w:r w:rsidRPr="00774EE9">
        <w:t>4.1.6.5 az arra vonatkozó döntés indoklása, hogy a kibocsátási tényezők változásai jelentősek-e.</w:t>
      </w:r>
    </w:p>
    <w:p w:rsidR="00774EE9" w:rsidRPr="00774EE9" w:rsidRDefault="00774EE9" w:rsidP="00774EE9">
      <w:pPr>
        <w:widowControl w:val="0"/>
        <w:jc w:val="both"/>
      </w:pPr>
      <w:r w:rsidRPr="00774EE9">
        <w:t xml:space="preserve">4.1.7 Az egyes kibocsátásforrás-kategóriákból származó kibocsátási értékek </w:t>
      </w:r>
      <w:r w:rsidRPr="00774EE9">
        <w:lastRenderedPageBreak/>
        <w:t>meghatározásához alkalmazott, jelentősen eltérő módszerek esetén</w:t>
      </w:r>
    </w:p>
    <w:p w:rsidR="00774EE9" w:rsidRPr="00774EE9" w:rsidRDefault="00774EE9" w:rsidP="00774EE9">
      <w:pPr>
        <w:widowControl w:val="0"/>
        <w:jc w:val="both"/>
      </w:pPr>
      <w:r w:rsidRPr="00774EE9">
        <w:t>4.1.7.1 az eredetileg alkalmazott módszerek ismertetése, ideértve azon tudományos alapvetés részletes leírását, amelyből az adott kibocsátási tényező levezetésre került;</w:t>
      </w:r>
    </w:p>
    <w:p w:rsidR="00774EE9" w:rsidRPr="00774EE9" w:rsidRDefault="00774EE9" w:rsidP="00774EE9">
      <w:pPr>
        <w:widowControl w:val="0"/>
        <w:jc w:val="both"/>
      </w:pPr>
      <w:r w:rsidRPr="00774EE9">
        <w:t>4.1.7.2 arra vonatkozó bizonyíték, hogy az eredeti módszereket alkalmazták a kibocsátás-csökkentések meghatározásához azok megállapítása idején;</w:t>
      </w:r>
    </w:p>
    <w:p w:rsidR="00774EE9" w:rsidRPr="00774EE9" w:rsidRDefault="00774EE9" w:rsidP="00774EE9">
      <w:pPr>
        <w:widowControl w:val="0"/>
        <w:jc w:val="both"/>
      </w:pPr>
      <w:r w:rsidRPr="00774EE9">
        <w:t>4.1.7.3 az aktualizált módszerek ismertetése, ideértve azon tudományos alapvetés vagy hivatkozási alap részletes leírását, amelyből levezetésre kerültek;</w:t>
      </w:r>
    </w:p>
    <w:p w:rsidR="00774EE9" w:rsidRPr="00774EE9" w:rsidRDefault="00774EE9" w:rsidP="00774EE9">
      <w:pPr>
        <w:widowControl w:val="0"/>
        <w:jc w:val="both"/>
      </w:pPr>
      <w:r w:rsidRPr="00774EE9">
        <w:t>4.1.7.4 az eredeti és az aktualizált módszerek alkalmazásával készült kibocsátásbecslések összehasonlítása annak igazolására, hogy a módszerek változása hozzájárul ahhoz, hogy a tagállam ne tudja teljesíteni légszennyezőanyag kibocsátás-csökkentési kötelezettségeit;</w:t>
      </w:r>
    </w:p>
    <w:p w:rsidR="00774EE9" w:rsidRPr="00774EE9" w:rsidRDefault="00774EE9" w:rsidP="00774EE9">
      <w:pPr>
        <w:widowControl w:val="0"/>
        <w:jc w:val="both"/>
      </w:pPr>
      <w:r w:rsidRPr="00774EE9">
        <w:t xml:space="preserve">4.1.7.5 az arra vonatkozó döntés indoklása, hogy a módszerek változása jelentős-e. </w:t>
      </w:r>
    </w:p>
    <w:p w:rsidR="00774EE9" w:rsidRPr="00774EE9" w:rsidRDefault="00774EE9" w:rsidP="00774EE9">
      <w:pPr>
        <w:widowControl w:val="0"/>
        <w:jc w:val="both"/>
      </w:pPr>
      <w:r w:rsidRPr="00774EE9">
        <w:t xml:space="preserve">4.2  A kiigazítás által érintett valamennyi év tekintetében újra kell számítani a kiigazított kibocsátási értékeket az időszakok következetességének lehető legnagyobb mértékű biztosítására. </w:t>
      </w:r>
    </w:p>
    <w:p w:rsidR="00774EE9" w:rsidRPr="00774EE9" w:rsidRDefault="00774EE9" w:rsidP="00774EE9">
      <w:pPr>
        <w:rPr>
          <w:bCs/>
          <w:i/>
        </w:rPr>
      </w:pPr>
      <w:r w:rsidRPr="00774EE9">
        <w:rPr>
          <w:bCs/>
          <w:i/>
        </w:rPr>
        <w:br w:type="page"/>
      </w:r>
    </w:p>
    <w:p w:rsidR="00774EE9" w:rsidRPr="00774EE9" w:rsidRDefault="00774EE9" w:rsidP="00774EE9">
      <w:pPr>
        <w:ind w:left="360"/>
        <w:jc w:val="right"/>
        <w:rPr>
          <w:bCs/>
          <w:i/>
        </w:rPr>
      </w:pPr>
      <w:r w:rsidRPr="00774EE9">
        <w:rPr>
          <w:bCs/>
          <w:i/>
        </w:rPr>
        <w:lastRenderedPageBreak/>
        <w:t>4. melléklet a …/2018. (…) Korm. rendelethez</w:t>
      </w:r>
    </w:p>
    <w:p w:rsidR="00774EE9" w:rsidRPr="00774EE9" w:rsidRDefault="00774EE9" w:rsidP="00774EE9">
      <w:pPr>
        <w:ind w:left="360"/>
        <w:jc w:val="right"/>
        <w:rPr>
          <w:bCs/>
          <w:i/>
        </w:rPr>
      </w:pPr>
    </w:p>
    <w:p w:rsidR="00774EE9" w:rsidRPr="00774EE9" w:rsidRDefault="00774EE9" w:rsidP="00774EE9">
      <w:pPr>
        <w:rPr>
          <w:bCs/>
          <w:u w:val="single"/>
        </w:rPr>
      </w:pPr>
      <w:r w:rsidRPr="00774EE9">
        <w:rPr>
          <w:bCs/>
          <w:u w:val="single"/>
        </w:rPr>
        <w:t xml:space="preserve">13. melléklet a 306/2010. (XII. 23.) Korm. rendelethez </w:t>
      </w:r>
    </w:p>
    <w:p w:rsidR="00774EE9" w:rsidRPr="00774EE9" w:rsidRDefault="00774EE9" w:rsidP="00774EE9">
      <w:pPr>
        <w:jc w:val="both"/>
        <w:rPr>
          <w:b/>
          <w:bCs/>
          <w:i/>
        </w:rPr>
      </w:pPr>
    </w:p>
    <w:p w:rsidR="00774EE9" w:rsidRPr="00774EE9" w:rsidRDefault="00774EE9" w:rsidP="00774EE9">
      <w:pPr>
        <w:jc w:val="both"/>
        <w:rPr>
          <w:b/>
          <w:bCs/>
          <w:i/>
        </w:rPr>
      </w:pPr>
      <w:r w:rsidRPr="00774EE9">
        <w:rPr>
          <w:b/>
          <w:bCs/>
          <w:i/>
        </w:rPr>
        <w:t>I. Az országos levegőterhelés-csökkentési program tartalmi követelményei</w:t>
      </w:r>
    </w:p>
    <w:p w:rsidR="00774EE9" w:rsidRPr="00774EE9" w:rsidRDefault="00774EE9" w:rsidP="00774EE9">
      <w:pPr>
        <w:jc w:val="both"/>
        <w:rPr>
          <w:b/>
          <w:bCs/>
          <w:i/>
        </w:rPr>
      </w:pPr>
    </w:p>
    <w:p w:rsidR="00774EE9" w:rsidRPr="00774EE9" w:rsidRDefault="00774EE9" w:rsidP="00774EE9">
      <w:pPr>
        <w:autoSpaceDE w:val="0"/>
        <w:autoSpaceDN w:val="0"/>
        <w:adjustRightInd w:val="0"/>
        <w:spacing w:before="120" w:after="120"/>
        <w:ind w:left="567" w:hanging="567"/>
        <w:jc w:val="both"/>
        <w:rPr>
          <w:rFonts w:eastAsiaTheme="minorEastAsia"/>
          <w:lang w:eastAsia="en-GB"/>
        </w:rPr>
      </w:pPr>
      <w:r w:rsidRPr="00774EE9">
        <w:rPr>
          <w:rFonts w:eastAsiaTheme="minorEastAsia"/>
          <w:lang w:eastAsia="en-GB"/>
        </w:rPr>
        <w:t>1.Az országos levegőterhelés-csökkentési programok az 1.1-1.6 pontban szereplő információkat, adatokat, értékeléseket tartalmazzák.</w:t>
      </w:r>
    </w:p>
    <w:p w:rsidR="00774EE9" w:rsidRPr="00774EE9" w:rsidRDefault="00774EE9" w:rsidP="00774EE9">
      <w:pPr>
        <w:autoSpaceDE w:val="0"/>
        <w:autoSpaceDN w:val="0"/>
        <w:adjustRightInd w:val="0"/>
        <w:spacing w:before="120" w:after="120"/>
        <w:ind w:left="567" w:hanging="567"/>
        <w:jc w:val="both"/>
        <w:rPr>
          <w:rFonts w:eastAsiaTheme="minorEastAsia"/>
          <w:lang w:eastAsia="en-GB"/>
        </w:rPr>
      </w:pPr>
      <w:r w:rsidRPr="00774EE9">
        <w:rPr>
          <w:rFonts w:eastAsiaTheme="minorEastAsia"/>
          <w:lang w:eastAsia="en-GB"/>
        </w:rPr>
        <w:t>1.1 A levegőtisztaság-védelem szakpolitikai keretei, beleértve</w:t>
      </w:r>
    </w:p>
    <w:p w:rsidR="00774EE9" w:rsidRPr="00774EE9" w:rsidRDefault="00774EE9" w:rsidP="00774EE9">
      <w:pPr>
        <w:autoSpaceDE w:val="0"/>
        <w:autoSpaceDN w:val="0"/>
        <w:adjustRightInd w:val="0"/>
        <w:spacing w:before="120" w:after="120"/>
        <w:ind w:left="567" w:hanging="567"/>
        <w:jc w:val="both"/>
        <w:rPr>
          <w:rFonts w:eastAsiaTheme="minorEastAsia"/>
          <w:lang w:eastAsia="en-GB"/>
        </w:rPr>
      </w:pPr>
      <w:r w:rsidRPr="00774EE9">
        <w:rPr>
          <w:rFonts w:eastAsiaTheme="minorEastAsia"/>
          <w:lang w:eastAsia="en-GB"/>
        </w:rPr>
        <w:t>1.1.1 a szakpolitikai prioritásokat, valamint azok kapcsolatát más releváns szakpolitikai területek, többek között az éghajlatváltozás elleni küzdelem, a mezőgazdaság, az ipar és a közlekedés prioritásaival;</w:t>
      </w:r>
    </w:p>
    <w:p w:rsidR="00774EE9" w:rsidRPr="00774EE9" w:rsidRDefault="00774EE9" w:rsidP="00774EE9">
      <w:pPr>
        <w:autoSpaceDE w:val="0"/>
        <w:autoSpaceDN w:val="0"/>
        <w:adjustRightInd w:val="0"/>
        <w:spacing w:before="120" w:after="120"/>
        <w:ind w:left="426" w:hanging="426"/>
        <w:jc w:val="both"/>
        <w:rPr>
          <w:rFonts w:eastAsiaTheme="minorEastAsia"/>
          <w:lang w:eastAsia="en-GB"/>
        </w:rPr>
      </w:pPr>
      <w:r w:rsidRPr="00774EE9">
        <w:rPr>
          <w:rFonts w:eastAsiaTheme="minorEastAsia"/>
          <w:lang w:eastAsia="en-GB"/>
        </w:rPr>
        <w:t>1.1.2 a levegőtisztaság-védelmi hatóságok feladatköreit;</w:t>
      </w:r>
    </w:p>
    <w:p w:rsidR="00774EE9" w:rsidRPr="00774EE9" w:rsidRDefault="00774EE9" w:rsidP="00774EE9">
      <w:pPr>
        <w:autoSpaceDE w:val="0"/>
        <w:autoSpaceDN w:val="0"/>
        <w:adjustRightInd w:val="0"/>
        <w:spacing w:before="120" w:after="120"/>
        <w:ind w:left="426" w:hanging="426"/>
        <w:jc w:val="both"/>
        <w:rPr>
          <w:rFonts w:eastAsiaTheme="minorEastAsia"/>
          <w:lang w:eastAsia="en-GB"/>
        </w:rPr>
      </w:pPr>
      <w:r w:rsidRPr="00774EE9">
        <w:rPr>
          <w:rFonts w:eastAsiaTheme="minorEastAsia"/>
          <w:lang w:eastAsia="en-GB"/>
        </w:rPr>
        <w:t>1.1.3 a kibocsátás-csökkentést és a levegő minőségének javítását célzó jelenlegi szakpolitikák és intézkedések révén tett előrelépéseket, továbbá az országos és uniós kötelezettségeknek való megfelelés mértékét;</w:t>
      </w:r>
    </w:p>
    <w:p w:rsidR="00774EE9" w:rsidRPr="00774EE9" w:rsidRDefault="00774EE9" w:rsidP="00774EE9">
      <w:pPr>
        <w:autoSpaceDE w:val="0"/>
        <w:autoSpaceDN w:val="0"/>
        <w:adjustRightInd w:val="0"/>
        <w:spacing w:before="120" w:after="120"/>
        <w:ind w:left="567" w:hanging="567"/>
        <w:jc w:val="both"/>
        <w:rPr>
          <w:rFonts w:eastAsiaTheme="minorEastAsia"/>
          <w:lang w:eastAsia="en-GB"/>
        </w:rPr>
      </w:pPr>
      <w:r w:rsidRPr="00774EE9">
        <w:rPr>
          <w:rFonts w:eastAsiaTheme="minorEastAsia"/>
          <w:lang w:eastAsia="en-GB"/>
        </w:rPr>
        <w:t>1.1.4 a várható fejlődést, feltételezve, hogy a már elfogadott politikák és intézkedések nem változnak;</w:t>
      </w:r>
    </w:p>
    <w:p w:rsidR="00774EE9" w:rsidRPr="00774EE9" w:rsidRDefault="00774EE9" w:rsidP="00774EE9">
      <w:pPr>
        <w:widowControl w:val="0"/>
        <w:numPr>
          <w:ilvl w:val="3"/>
          <w:numId w:val="0"/>
        </w:numPr>
        <w:tabs>
          <w:tab w:val="num" w:pos="1417"/>
        </w:tabs>
        <w:autoSpaceDE w:val="0"/>
        <w:autoSpaceDN w:val="0"/>
        <w:adjustRightInd w:val="0"/>
        <w:spacing w:before="120" w:after="120"/>
        <w:ind w:left="426" w:hanging="426"/>
        <w:jc w:val="both"/>
        <w:rPr>
          <w:lang w:eastAsia="en-GB"/>
        </w:rPr>
      </w:pPr>
      <w:r w:rsidRPr="00774EE9">
        <w:rPr>
          <w:rFonts w:eastAsiaTheme="minorEastAsia"/>
          <w:lang w:eastAsia="en-GB"/>
        </w:rPr>
        <w:t xml:space="preserve">1.2 </w:t>
      </w:r>
      <w:r w:rsidRPr="00774EE9">
        <w:rPr>
          <w:lang w:eastAsia="en-GB"/>
        </w:rPr>
        <w:t>a megvizsgált szakpolitikai opciók, amelyek a 2020 és 2029 közötti, valamint a 2030-tól kezdődő időszakra vonatkozó légszennyezőanyag kibocsátás-csökkentési kötelezettségek és a 2025-re meghatározott köztes kibocsátási szintek teljesítéséhez vezethetnek, és amelyek hozzájárulhatnak a levegőminőség további javulásához, valamint ezen opciók elemzése, ideértve az elemzés módszereit is;</w:t>
      </w:r>
      <w:r w:rsidRPr="00774EE9">
        <w:rPr>
          <w:color w:val="00C000"/>
          <w:u w:val="double"/>
          <w:lang w:eastAsia="en-GB"/>
        </w:rPr>
        <w:t xml:space="preserve"> </w:t>
      </w:r>
      <w:r w:rsidRPr="00774EE9">
        <w:rPr>
          <w:lang w:eastAsia="en-GB"/>
        </w:rPr>
        <w:t>a szakpolitikák és intézkedések egyedi vagy kombinált hatásai a kibocsátás-csökkentésre, a levegőminőségre és a környezetre, valamint a kapcsolódó bizonytalanságok;</w:t>
      </w:r>
    </w:p>
    <w:p w:rsidR="00774EE9" w:rsidRPr="00774EE9" w:rsidRDefault="00774EE9" w:rsidP="00774EE9">
      <w:pPr>
        <w:numPr>
          <w:ilvl w:val="3"/>
          <w:numId w:val="0"/>
        </w:numPr>
        <w:tabs>
          <w:tab w:val="num" w:pos="1417"/>
        </w:tabs>
        <w:autoSpaceDE w:val="0"/>
        <w:autoSpaceDN w:val="0"/>
        <w:adjustRightInd w:val="0"/>
        <w:spacing w:before="120" w:after="120"/>
        <w:ind w:left="426" w:hanging="426"/>
        <w:jc w:val="both"/>
        <w:rPr>
          <w:lang w:eastAsia="en-GB"/>
        </w:rPr>
      </w:pPr>
      <w:r w:rsidRPr="00774EE9">
        <w:rPr>
          <w:lang w:eastAsia="en-GB"/>
        </w:rPr>
        <w:t>1.3 az elfogadásra kiválasztott intézkedések és szakpolitikák, ideértve elfogadásuk, végrehajtásuk és felülvizsgálatuk ütemtervét, továbbá az ezekért felelős illetékes hatóságokat;</w:t>
      </w:r>
    </w:p>
    <w:p w:rsidR="00774EE9" w:rsidRPr="00774EE9" w:rsidRDefault="00774EE9" w:rsidP="00774EE9">
      <w:pPr>
        <w:numPr>
          <w:ilvl w:val="3"/>
          <w:numId w:val="0"/>
        </w:numPr>
        <w:tabs>
          <w:tab w:val="num" w:pos="1417"/>
        </w:tabs>
        <w:autoSpaceDE w:val="0"/>
        <w:autoSpaceDN w:val="0"/>
        <w:adjustRightInd w:val="0"/>
        <w:spacing w:before="120" w:after="120"/>
        <w:ind w:left="426" w:hanging="426"/>
        <w:jc w:val="both"/>
        <w:rPr>
          <w:rFonts w:eastAsiaTheme="minorEastAsia"/>
          <w:lang w:eastAsia="en-GB"/>
        </w:rPr>
      </w:pPr>
      <w:r w:rsidRPr="00774EE9">
        <w:rPr>
          <w:lang w:eastAsia="en-GB"/>
        </w:rPr>
        <w:t xml:space="preserve">1.4 adott esetben </w:t>
      </w:r>
      <w:r w:rsidRPr="00774EE9">
        <w:rPr>
          <w:rFonts w:eastAsiaTheme="minorEastAsia"/>
          <w:lang w:eastAsia="en-GB"/>
        </w:rPr>
        <w:t>annak indoklása, hogy a 2025-re meghatározott indikatív kibocsátási szintek elérése miért nem teljesíthetők aránytalan költségekkel járó intézkedések meghozatala nélkül;</w:t>
      </w:r>
    </w:p>
    <w:p w:rsidR="00774EE9" w:rsidRPr="00774EE9" w:rsidRDefault="00774EE9" w:rsidP="00774EE9">
      <w:pPr>
        <w:numPr>
          <w:ilvl w:val="3"/>
          <w:numId w:val="0"/>
        </w:numPr>
        <w:tabs>
          <w:tab w:val="num" w:pos="1417"/>
        </w:tabs>
        <w:autoSpaceDE w:val="0"/>
        <w:autoSpaceDN w:val="0"/>
        <w:adjustRightInd w:val="0"/>
        <w:spacing w:before="120" w:after="120"/>
        <w:ind w:left="426" w:hanging="426"/>
        <w:jc w:val="both"/>
        <w:rPr>
          <w:rFonts w:eastAsiaTheme="minorEastAsia"/>
          <w:lang w:eastAsia="en-GB"/>
        </w:rPr>
      </w:pPr>
      <w:r w:rsidRPr="00774EE9">
        <w:rPr>
          <w:rFonts w:eastAsiaTheme="minorEastAsia"/>
          <w:lang w:eastAsia="en-GB"/>
        </w:rPr>
        <w:t>1.5 adott esetben az 21/C.-21/E §-ban szereplő eltérések alkalmazása és az alkalmazás esetleges környezeti hatásainak az ismertetése;</w:t>
      </w:r>
    </w:p>
    <w:p w:rsidR="00774EE9" w:rsidRPr="00774EE9" w:rsidRDefault="00774EE9" w:rsidP="00774EE9">
      <w:pPr>
        <w:numPr>
          <w:ilvl w:val="3"/>
          <w:numId w:val="0"/>
        </w:numPr>
        <w:tabs>
          <w:tab w:val="num" w:pos="1417"/>
        </w:tabs>
        <w:autoSpaceDE w:val="0"/>
        <w:autoSpaceDN w:val="0"/>
        <w:adjustRightInd w:val="0"/>
        <w:spacing w:before="120" w:after="120"/>
        <w:ind w:left="426" w:hanging="426"/>
        <w:jc w:val="both"/>
        <w:rPr>
          <w:noProof/>
          <w:lang w:eastAsia="en-GB"/>
        </w:rPr>
      </w:pPr>
      <w:r w:rsidRPr="00774EE9">
        <w:rPr>
          <w:rFonts w:eastAsiaTheme="minorEastAsia"/>
          <w:lang w:eastAsia="en-GB"/>
        </w:rPr>
        <w:t xml:space="preserve">1.6 </w:t>
      </w:r>
      <w:r w:rsidRPr="00774EE9">
        <w:rPr>
          <w:rFonts w:eastAsiaTheme="minorEastAsia"/>
          <w:lang w:eastAsia="en-GB"/>
        </w:rPr>
        <w:tab/>
      </w:r>
      <w:r w:rsidRPr="00774EE9">
        <w:rPr>
          <w:lang w:eastAsia="en-GB"/>
        </w:rPr>
        <w:t>annak értékelése, hogy a kiválasztott intézkedések és szakpolitikák miként biztosítják a más releváns szakpolitikai területek terveivel és programjaival való koherenciát.</w:t>
      </w:r>
    </w:p>
    <w:p w:rsidR="00774EE9" w:rsidRPr="00774EE9" w:rsidRDefault="00774EE9" w:rsidP="00774EE9">
      <w:pPr>
        <w:numPr>
          <w:ilvl w:val="3"/>
          <w:numId w:val="0"/>
        </w:numPr>
        <w:tabs>
          <w:tab w:val="num" w:pos="1417"/>
        </w:tabs>
        <w:autoSpaceDE w:val="0"/>
        <w:autoSpaceDN w:val="0"/>
        <w:adjustRightInd w:val="0"/>
        <w:spacing w:before="120" w:after="120"/>
        <w:jc w:val="both"/>
        <w:rPr>
          <w:lang w:eastAsia="en-GB"/>
        </w:rPr>
      </w:pPr>
      <w:r w:rsidRPr="00774EE9">
        <w:rPr>
          <w:lang w:eastAsia="en-GB"/>
        </w:rPr>
        <w:t xml:space="preserve">2. Az országos levegőterhelés-csökkentési programok módosított változatai a 2.1-2.2 pontban szereplő, az 1. pontban szereplő információkon kívüli adatokat, értékeléseket tartalmazzák. </w:t>
      </w:r>
    </w:p>
    <w:p w:rsidR="00774EE9" w:rsidRPr="00774EE9" w:rsidRDefault="00774EE9" w:rsidP="00774EE9">
      <w:pPr>
        <w:numPr>
          <w:ilvl w:val="3"/>
          <w:numId w:val="0"/>
        </w:numPr>
        <w:tabs>
          <w:tab w:val="num" w:pos="1417"/>
        </w:tabs>
        <w:autoSpaceDE w:val="0"/>
        <w:autoSpaceDN w:val="0"/>
        <w:adjustRightInd w:val="0"/>
        <w:spacing w:before="120" w:after="120"/>
        <w:ind w:left="284" w:hanging="284"/>
        <w:jc w:val="both"/>
        <w:rPr>
          <w:lang w:eastAsia="en-GB"/>
        </w:rPr>
      </w:pPr>
      <w:r w:rsidRPr="00774EE9">
        <w:rPr>
          <w:lang w:eastAsia="en-GB"/>
        </w:rPr>
        <w:t>2.1 a program végrehajtásának ismertetése, a kibocsátás-csökkentés és a koncentrációcsökkentés terén tett előrehaladás értékelése;</w:t>
      </w:r>
    </w:p>
    <w:p w:rsidR="00774EE9" w:rsidRPr="00774EE9" w:rsidRDefault="00774EE9" w:rsidP="00774EE9">
      <w:pPr>
        <w:numPr>
          <w:ilvl w:val="3"/>
          <w:numId w:val="0"/>
        </w:numPr>
        <w:tabs>
          <w:tab w:val="num" w:pos="1417"/>
        </w:tabs>
        <w:autoSpaceDE w:val="0"/>
        <w:autoSpaceDN w:val="0"/>
        <w:adjustRightInd w:val="0"/>
        <w:spacing w:before="120" w:after="120"/>
        <w:ind w:left="426" w:hanging="426"/>
        <w:jc w:val="both"/>
        <w:rPr>
          <w:lang w:eastAsia="en-GB"/>
        </w:rPr>
      </w:pPr>
      <w:r w:rsidRPr="00774EE9">
        <w:rPr>
          <w:lang w:eastAsia="en-GB"/>
        </w:rPr>
        <w:t>2.2 a szakpolitikai összefüggésekben, az értékelésekben, a programban vagy annak végrehajtási ütemtervében bekövetkező minden lényeges változást.</w:t>
      </w:r>
    </w:p>
    <w:p w:rsidR="00774EE9" w:rsidRPr="00774EE9" w:rsidRDefault="00774EE9" w:rsidP="00774EE9">
      <w:pPr>
        <w:numPr>
          <w:ilvl w:val="3"/>
          <w:numId w:val="0"/>
        </w:numPr>
        <w:tabs>
          <w:tab w:val="num" w:pos="1417"/>
        </w:tabs>
        <w:autoSpaceDE w:val="0"/>
        <w:autoSpaceDN w:val="0"/>
        <w:adjustRightInd w:val="0"/>
        <w:spacing w:before="120" w:after="120"/>
        <w:ind w:left="426" w:hanging="426"/>
        <w:jc w:val="both"/>
        <w:rPr>
          <w:lang w:eastAsia="en-GB"/>
        </w:rPr>
      </w:pPr>
    </w:p>
    <w:p w:rsidR="00774EE9" w:rsidRPr="00774EE9" w:rsidRDefault="00774EE9" w:rsidP="00774EE9">
      <w:pPr>
        <w:autoSpaceDE w:val="0"/>
        <w:autoSpaceDN w:val="0"/>
        <w:adjustRightInd w:val="0"/>
        <w:spacing w:before="200" w:after="120"/>
        <w:jc w:val="both"/>
        <w:rPr>
          <w:rFonts w:eastAsiaTheme="minorEastAsia"/>
          <w:b/>
          <w:i/>
          <w:lang w:eastAsia="en-GB"/>
        </w:rPr>
      </w:pPr>
      <w:r w:rsidRPr="00774EE9">
        <w:rPr>
          <w:rFonts w:eastAsiaTheme="minorEastAsia"/>
          <w:b/>
          <w:i/>
          <w:lang w:eastAsia="en-GB"/>
        </w:rPr>
        <w:t>II. E rendelet 21/I. § (2) bekezdésében említett kibocsátás-csökkentő intézkedések</w:t>
      </w:r>
    </w:p>
    <w:p w:rsidR="00774EE9" w:rsidRPr="00774EE9" w:rsidRDefault="00774EE9" w:rsidP="00774EE9">
      <w:pPr>
        <w:widowControl w:val="0"/>
        <w:jc w:val="both"/>
        <w:rPr>
          <w:lang w:eastAsia="fr-BE"/>
        </w:rPr>
      </w:pPr>
    </w:p>
    <w:p w:rsidR="00774EE9" w:rsidRPr="00774EE9" w:rsidRDefault="00774EE9" w:rsidP="00774EE9">
      <w:pPr>
        <w:widowControl w:val="0"/>
        <w:jc w:val="both"/>
        <w:rPr>
          <w:noProof/>
          <w:lang w:eastAsia="fr-BE"/>
        </w:rPr>
      </w:pPr>
      <w:r w:rsidRPr="00774EE9">
        <w:rPr>
          <w:lang w:eastAsia="fr-BE"/>
        </w:rPr>
        <w:t xml:space="preserve">1. Az ammónia kibocsátás csökkentését célzó intézkedések meghatározásának alapja az ENSZ EGB 2015-ben publikált Jó Mezőgazdasági Gyakorlat Útmutató 2014 (Framework Code for Good Agricultural Practice for Reducing Ammonia Emissions of 2014 a továbbiakban: GAP útmutató), a mezőgazdasági források ammónia kibocsátásának csökkentéséről szóló ENSZ EGB útmutató (guidance document on preventing and abating ammonia emissions from agricultural sources, a továbbiakban: Ammóniakibocsátás-csökkentési útmutató), az ENSZ EGB nitrogén mérleggel kapcsolatos útmutatója (guidance document on national nitrogen budgets), valamint a környezeti hatásvizsgálati és az egységes környezethasználati eljárásról szóló kormányrendelet szerinti vonatkozó elérhető legjobb technikák.  </w:t>
      </w:r>
    </w:p>
    <w:p w:rsidR="00774EE9" w:rsidRPr="00774EE9" w:rsidRDefault="00774EE9" w:rsidP="00774EE9">
      <w:pPr>
        <w:autoSpaceDE w:val="0"/>
        <w:autoSpaceDN w:val="0"/>
        <w:adjustRightInd w:val="0"/>
        <w:spacing w:before="120" w:after="120"/>
        <w:jc w:val="both"/>
        <w:rPr>
          <w:lang w:eastAsia="en-GB"/>
        </w:rPr>
      </w:pPr>
      <w:r w:rsidRPr="00774EE9">
        <w:rPr>
          <w:rFonts w:eastAsiaTheme="minorEastAsia"/>
          <w:lang w:eastAsia="en-GB"/>
        </w:rPr>
        <w:t xml:space="preserve">2. Az országos levegőterhelés-csökkentési program tartalmazza a 2.1-2.4 pontban szereplő intézkedéseket. </w:t>
      </w:r>
    </w:p>
    <w:p w:rsidR="00774EE9" w:rsidRPr="00774EE9" w:rsidRDefault="00774EE9" w:rsidP="00774EE9">
      <w:pPr>
        <w:widowControl w:val="0"/>
        <w:jc w:val="both"/>
        <w:rPr>
          <w:lang w:eastAsia="fr-BE"/>
        </w:rPr>
      </w:pPr>
      <w:r w:rsidRPr="00774EE9">
        <w:rPr>
          <w:lang w:eastAsia="fr-BE"/>
        </w:rPr>
        <w:t>2.1 Az ammónia kibocsátás csökkentésével kapcsolatos helyes mezőgazdasági gyakorlatra vonatkozó Országos Útmutató készítése a GAP útmutató szerint a 2.1.1-2.1.6 pontban szereplő előírások figyelembe vételével.</w:t>
      </w:r>
    </w:p>
    <w:p w:rsidR="00774EE9" w:rsidRPr="00774EE9" w:rsidRDefault="00774EE9" w:rsidP="00774EE9">
      <w:pPr>
        <w:widowControl w:val="0"/>
        <w:jc w:val="both"/>
        <w:rPr>
          <w:lang w:eastAsia="fr-BE"/>
        </w:rPr>
      </w:pPr>
      <w:r w:rsidRPr="00774EE9">
        <w:rPr>
          <w:lang w:eastAsia="fr-BE"/>
        </w:rPr>
        <w:t xml:space="preserve">2.1.1 a nitrogéngazdálkodás a teljes nitrogénciklus figyelembevételével; </w:t>
      </w:r>
    </w:p>
    <w:p w:rsidR="00774EE9" w:rsidRPr="00774EE9" w:rsidRDefault="00774EE9" w:rsidP="00774EE9">
      <w:pPr>
        <w:widowControl w:val="0"/>
        <w:jc w:val="both"/>
        <w:rPr>
          <w:lang w:eastAsia="fr-BE"/>
        </w:rPr>
      </w:pPr>
      <w:r w:rsidRPr="00774EE9">
        <w:rPr>
          <w:lang w:eastAsia="fr-BE"/>
        </w:rPr>
        <w:t xml:space="preserve">2.1.2 a takarmányozási stratégiák; </w:t>
      </w:r>
    </w:p>
    <w:p w:rsidR="00774EE9" w:rsidRPr="00774EE9" w:rsidRDefault="00774EE9" w:rsidP="00774EE9">
      <w:pPr>
        <w:widowControl w:val="0"/>
        <w:jc w:val="both"/>
        <w:rPr>
          <w:lang w:eastAsia="fr-BE"/>
        </w:rPr>
      </w:pPr>
      <w:r w:rsidRPr="00774EE9">
        <w:rPr>
          <w:lang w:eastAsia="fr-BE"/>
        </w:rPr>
        <w:t xml:space="preserve">2.1.3 az alacsony kibocsátású trágyakijuttatási eljárások; </w:t>
      </w:r>
    </w:p>
    <w:p w:rsidR="00774EE9" w:rsidRPr="00774EE9" w:rsidRDefault="00774EE9" w:rsidP="00774EE9">
      <w:pPr>
        <w:widowControl w:val="0"/>
        <w:jc w:val="both"/>
        <w:rPr>
          <w:lang w:eastAsia="fr-BE"/>
        </w:rPr>
      </w:pPr>
      <w:r w:rsidRPr="00774EE9">
        <w:rPr>
          <w:lang w:eastAsia="fr-BE"/>
        </w:rPr>
        <w:t xml:space="preserve">2.1.4 az alacsony kibocsátású trágyatárolási rendszerek; </w:t>
      </w:r>
    </w:p>
    <w:p w:rsidR="00774EE9" w:rsidRPr="00774EE9" w:rsidRDefault="00774EE9" w:rsidP="00774EE9">
      <w:pPr>
        <w:widowControl w:val="0"/>
        <w:jc w:val="both"/>
        <w:rPr>
          <w:lang w:eastAsia="fr-BE"/>
        </w:rPr>
      </w:pPr>
      <w:r w:rsidRPr="00774EE9">
        <w:rPr>
          <w:lang w:eastAsia="fr-BE"/>
        </w:rPr>
        <w:t xml:space="preserve">2.1.5 alacsony kibocsátású állattartási technológiák; </w:t>
      </w:r>
    </w:p>
    <w:p w:rsidR="00774EE9" w:rsidRPr="00774EE9" w:rsidRDefault="00774EE9" w:rsidP="00774EE9">
      <w:pPr>
        <w:widowControl w:val="0"/>
        <w:jc w:val="both"/>
        <w:rPr>
          <w:lang w:eastAsia="fr-BE"/>
        </w:rPr>
      </w:pPr>
      <w:r w:rsidRPr="00774EE9">
        <w:rPr>
          <w:lang w:eastAsia="fr-BE"/>
        </w:rPr>
        <w:t xml:space="preserve">2.1.6 az ásványi műtrágya használatakor keletkező ammónia kibocsátás csökkentésének lehetőségei. </w:t>
      </w:r>
    </w:p>
    <w:p w:rsidR="00774EE9" w:rsidRPr="00774EE9" w:rsidRDefault="00774EE9" w:rsidP="00774EE9">
      <w:pPr>
        <w:autoSpaceDE w:val="0"/>
        <w:autoSpaceDN w:val="0"/>
        <w:adjustRightInd w:val="0"/>
        <w:spacing w:before="120" w:after="120"/>
        <w:jc w:val="both"/>
        <w:outlineLvl w:val="0"/>
        <w:rPr>
          <w:lang w:eastAsia="en-GB"/>
        </w:rPr>
      </w:pPr>
      <w:r w:rsidRPr="00774EE9">
        <w:rPr>
          <w:rFonts w:eastAsiaTheme="minorEastAsia"/>
          <w:lang w:eastAsia="en-GB"/>
        </w:rPr>
        <w:t xml:space="preserve">2.2 </w:t>
      </w:r>
      <w:r w:rsidRPr="00774EE9">
        <w:rPr>
          <w:lang w:eastAsia="fr-BE"/>
        </w:rPr>
        <w:t>A</w:t>
      </w:r>
      <w:r w:rsidRPr="00774EE9">
        <w:rPr>
          <w:rFonts w:eastAsiaTheme="minorEastAsia"/>
          <w:lang w:eastAsia="en-GB"/>
        </w:rPr>
        <w:t xml:space="preserve">z ENSZ-EGB nitrogénmérlegekkel kapcsolatos útmutatója alapján országos nitrogénmérleg készítése a mezőgazdasági tevékenységek miatt fellépő reaktív nitrogénveszteségben bekövetkezett változás nyomon követésére. </w:t>
      </w:r>
    </w:p>
    <w:p w:rsidR="00774EE9" w:rsidRPr="00774EE9" w:rsidRDefault="00774EE9" w:rsidP="00774EE9">
      <w:pPr>
        <w:autoSpaceDE w:val="0"/>
        <w:autoSpaceDN w:val="0"/>
        <w:adjustRightInd w:val="0"/>
        <w:spacing w:before="120" w:after="120"/>
        <w:jc w:val="both"/>
        <w:outlineLvl w:val="0"/>
        <w:rPr>
          <w:rFonts w:eastAsiaTheme="minorEastAsia"/>
          <w:lang w:eastAsia="en-GB"/>
        </w:rPr>
      </w:pPr>
      <w:r w:rsidRPr="00774EE9">
        <w:rPr>
          <w:rFonts w:eastAsiaTheme="minorEastAsia"/>
          <w:lang w:eastAsia="en-GB"/>
        </w:rPr>
        <w:t>2.3 Az ammóniumkarbonát-műtrágyák alkalmazásának betiltása.</w:t>
      </w:r>
    </w:p>
    <w:p w:rsidR="00774EE9" w:rsidRPr="00774EE9" w:rsidRDefault="00774EE9" w:rsidP="00774EE9">
      <w:pPr>
        <w:autoSpaceDE w:val="0"/>
        <w:autoSpaceDN w:val="0"/>
        <w:adjustRightInd w:val="0"/>
        <w:spacing w:before="120" w:after="120"/>
        <w:jc w:val="both"/>
        <w:outlineLvl w:val="0"/>
        <w:rPr>
          <w:rFonts w:eastAsiaTheme="minorEastAsia"/>
          <w:lang w:eastAsia="en-GB"/>
        </w:rPr>
      </w:pPr>
      <w:r w:rsidRPr="00774EE9">
        <w:rPr>
          <w:rFonts w:eastAsiaTheme="minorEastAsia"/>
          <w:lang w:eastAsia="en-GB"/>
        </w:rPr>
        <w:t>2.4 A PM</w:t>
      </w:r>
      <w:r w:rsidRPr="00774EE9">
        <w:rPr>
          <w:rFonts w:eastAsiaTheme="minorEastAsia"/>
          <w:vertAlign w:val="subscript"/>
          <w:lang w:eastAsia="en-GB"/>
        </w:rPr>
        <w:t>2,5</w:t>
      </w:r>
      <w:r w:rsidRPr="00774EE9">
        <w:rPr>
          <w:rFonts w:eastAsiaTheme="minorEastAsia"/>
          <w:lang w:eastAsia="en-GB"/>
        </w:rPr>
        <w:t xml:space="preserve"> és a korom kibocsátás csökkentése érdekében a mezőgazdasági betakarításból származó növényi maradványok és hulladékok, valamint az erdészeti biomassza-maradványok nyílt téri égetésének tilalma a kölcsönös megfeleltetésre vonatkozó 1306/2013/EU európai parlamenti és tanácsi rendelet II. mellékletének sérelme nélkül.</w:t>
      </w:r>
    </w:p>
    <w:p w:rsidR="00774EE9" w:rsidRPr="00774EE9" w:rsidRDefault="00774EE9" w:rsidP="00774EE9">
      <w:pPr>
        <w:autoSpaceDE w:val="0"/>
        <w:autoSpaceDN w:val="0"/>
        <w:adjustRightInd w:val="0"/>
        <w:spacing w:before="120" w:after="120"/>
        <w:jc w:val="both"/>
        <w:outlineLvl w:val="0"/>
        <w:rPr>
          <w:rFonts w:eastAsiaTheme="minorEastAsia"/>
          <w:lang w:eastAsia="en-GB"/>
        </w:rPr>
      </w:pPr>
      <w:r w:rsidRPr="00774EE9">
        <w:rPr>
          <w:rFonts w:eastAsiaTheme="minorEastAsia"/>
          <w:lang w:eastAsia="en-GB"/>
        </w:rPr>
        <w:t>2.4.1 A 2.4 pontban előírt tilalom betartatásához az előírás megszegésének szankcionálásához szükséges intézkedések.</w:t>
      </w:r>
    </w:p>
    <w:p w:rsidR="00774EE9" w:rsidRPr="00774EE9" w:rsidRDefault="00774EE9" w:rsidP="00774EE9">
      <w:pPr>
        <w:autoSpaceDE w:val="0"/>
        <w:autoSpaceDN w:val="0"/>
        <w:adjustRightInd w:val="0"/>
        <w:spacing w:before="120" w:after="120"/>
        <w:jc w:val="both"/>
        <w:outlineLvl w:val="0"/>
        <w:rPr>
          <w:rFonts w:eastAsiaTheme="minorEastAsia"/>
          <w:lang w:eastAsia="en-GB"/>
        </w:rPr>
      </w:pPr>
      <w:r w:rsidRPr="00774EE9">
        <w:rPr>
          <w:rFonts w:eastAsiaTheme="minorEastAsia"/>
          <w:lang w:eastAsia="en-GB"/>
        </w:rPr>
        <w:t>2.4.2 Nem tartozik a 2.4-ben előírt tilalom hatálya alá a futótüzek terjedésének megakadályozásával, a kártevők elleni védekezéssel továbbá a biológiai sokféleség védelmével kapcsolatos megelőző programok célját szolgáló nyílt téri égetés.</w:t>
      </w:r>
    </w:p>
    <w:p w:rsidR="00774EE9" w:rsidRPr="00774EE9" w:rsidRDefault="00774EE9" w:rsidP="00774EE9">
      <w:pPr>
        <w:autoSpaceDE w:val="0"/>
        <w:autoSpaceDN w:val="0"/>
        <w:adjustRightInd w:val="0"/>
        <w:spacing w:before="120" w:after="120"/>
        <w:jc w:val="both"/>
        <w:outlineLvl w:val="0"/>
        <w:rPr>
          <w:rFonts w:eastAsiaTheme="minorEastAsia"/>
          <w:lang w:eastAsia="en-GB"/>
        </w:rPr>
      </w:pPr>
    </w:p>
    <w:p w:rsidR="00774EE9" w:rsidRPr="00774EE9" w:rsidRDefault="00774EE9" w:rsidP="00774EE9">
      <w:pPr>
        <w:autoSpaceDE w:val="0"/>
        <w:autoSpaceDN w:val="0"/>
        <w:adjustRightInd w:val="0"/>
        <w:spacing w:before="120" w:after="120"/>
        <w:jc w:val="both"/>
        <w:outlineLvl w:val="0"/>
        <w:rPr>
          <w:rFonts w:eastAsiaTheme="minorEastAsia"/>
          <w:lang w:eastAsia="en-GB"/>
        </w:rPr>
      </w:pPr>
      <w:r w:rsidRPr="00774EE9">
        <w:rPr>
          <w:rFonts w:eastAsiaTheme="minorEastAsia"/>
          <w:lang w:eastAsia="en-GB"/>
        </w:rPr>
        <w:t>3.  Az országos levegőterhelés-csökkentési program tartalmazza a 3.1-3.  pontban szereplő, vagy azzal igazoltan egyenlő kibocsátás csökkenést eredményező intézkedéseket</w:t>
      </w:r>
    </w:p>
    <w:p w:rsidR="00774EE9" w:rsidRPr="00774EE9" w:rsidRDefault="00774EE9" w:rsidP="00774EE9">
      <w:pPr>
        <w:autoSpaceDE w:val="0"/>
        <w:autoSpaceDN w:val="0"/>
        <w:adjustRightInd w:val="0"/>
        <w:spacing w:before="120" w:after="120"/>
        <w:jc w:val="both"/>
        <w:outlineLvl w:val="1"/>
        <w:rPr>
          <w:lang w:eastAsia="en-GB"/>
        </w:rPr>
      </w:pPr>
      <w:r w:rsidRPr="00774EE9">
        <w:rPr>
          <w:rFonts w:eastAsiaTheme="minorEastAsia"/>
          <w:lang w:eastAsia="en-GB"/>
        </w:rPr>
        <w:t xml:space="preserve">3.1 A karbamid-alapú műtrágyák helyettesítése ammóniumnitrát-alapú műtrágyákkal; </w:t>
      </w:r>
    </w:p>
    <w:p w:rsidR="00774EE9" w:rsidRPr="00774EE9" w:rsidRDefault="00774EE9" w:rsidP="00774EE9">
      <w:pPr>
        <w:autoSpaceDE w:val="0"/>
        <w:autoSpaceDN w:val="0"/>
        <w:adjustRightInd w:val="0"/>
        <w:spacing w:before="120" w:after="120"/>
        <w:jc w:val="both"/>
        <w:outlineLvl w:val="1"/>
        <w:rPr>
          <w:lang w:eastAsia="en-GB"/>
        </w:rPr>
      </w:pPr>
      <w:r w:rsidRPr="00774EE9">
        <w:rPr>
          <w:rFonts w:eastAsiaTheme="minorEastAsia"/>
          <w:lang w:eastAsia="en-GB"/>
        </w:rPr>
        <w:t xml:space="preserve">3.2 A karbamid-alapú műtrágyák használata esetén olyan módszer alkalmazása, amely az ammónia-kibocsátás szintjét az </w:t>
      </w:r>
      <w:r w:rsidRPr="00774EE9">
        <w:rPr>
          <w:rFonts w:eastAsiaTheme="minorEastAsia"/>
          <w:bCs/>
          <w:iCs/>
          <w:lang w:eastAsia="en-GB"/>
        </w:rPr>
        <w:t>Ammóniakibocsátás-csökkentési útmutató</w:t>
      </w:r>
      <w:r w:rsidRPr="00774EE9" w:rsidDel="00EE4CB4">
        <w:rPr>
          <w:rFonts w:eastAsiaTheme="minorEastAsia"/>
          <w:lang w:eastAsia="en-GB"/>
        </w:rPr>
        <w:t xml:space="preserve"> </w:t>
      </w:r>
      <w:r w:rsidRPr="00774EE9">
        <w:rPr>
          <w:rFonts w:eastAsiaTheme="minorEastAsia"/>
          <w:lang w:eastAsia="en-GB"/>
        </w:rPr>
        <w:t xml:space="preserve">szerinti referenciamódszerhez képest bizonyítottan legalább 30 %-kal csökkentik; </w:t>
      </w:r>
    </w:p>
    <w:p w:rsidR="00774EE9" w:rsidRPr="00774EE9" w:rsidRDefault="00774EE9" w:rsidP="00774EE9">
      <w:pPr>
        <w:autoSpaceDE w:val="0"/>
        <w:autoSpaceDN w:val="0"/>
        <w:adjustRightInd w:val="0"/>
        <w:spacing w:before="120" w:after="120"/>
        <w:jc w:val="both"/>
        <w:outlineLvl w:val="1"/>
        <w:rPr>
          <w:lang w:eastAsia="en-GB"/>
        </w:rPr>
      </w:pPr>
      <w:r w:rsidRPr="00774EE9">
        <w:rPr>
          <w:rFonts w:eastAsiaTheme="minorEastAsia"/>
          <w:lang w:eastAsia="en-GB"/>
        </w:rPr>
        <w:t xml:space="preserve">3.3 a műtrágyák szerves trágyákkal való felváltásának előmozdítása, valamint ahol továbbra is műtrágyákat alkalmaznak, a műtrágyának a kezelendő növénykultúra vagy gyep előrelátható </w:t>
      </w:r>
      <w:r w:rsidRPr="00774EE9">
        <w:rPr>
          <w:rFonts w:eastAsiaTheme="minorEastAsia"/>
          <w:lang w:eastAsia="en-GB"/>
        </w:rPr>
        <w:lastRenderedPageBreak/>
        <w:t xml:space="preserve">nitrogén- és foszforigényeinek megfelelően történő kiszórása, figyelembe véve egyszersmind a talajban meglévő tápanyagtartalmat és a más trágyákból származó tápanyagok jelenlétét. </w:t>
      </w:r>
    </w:p>
    <w:p w:rsidR="00774EE9" w:rsidRPr="00774EE9" w:rsidRDefault="00774EE9" w:rsidP="00774EE9">
      <w:pPr>
        <w:autoSpaceDE w:val="0"/>
        <w:autoSpaceDN w:val="0"/>
        <w:adjustRightInd w:val="0"/>
        <w:spacing w:before="120" w:after="120"/>
        <w:jc w:val="both"/>
        <w:outlineLvl w:val="0"/>
        <w:rPr>
          <w:lang w:eastAsia="en-GB"/>
        </w:rPr>
      </w:pPr>
      <w:r w:rsidRPr="00774EE9">
        <w:rPr>
          <w:rFonts w:eastAsiaTheme="minorEastAsia"/>
          <w:lang w:eastAsia="en-GB"/>
        </w:rPr>
        <w:t xml:space="preserve">3.4 a szántóföldön és gyepen alkalmazott istállótrágyából, illetve trágyaszeparátum szilárd fázisából, valamint hígtrágyából származó kibocsátások csökkentése olyan módszerek alkalmazásával, amelyek az ammóniakibocsátások szintjét az </w:t>
      </w:r>
      <w:r w:rsidRPr="00774EE9">
        <w:rPr>
          <w:rFonts w:eastAsiaTheme="minorEastAsia"/>
          <w:bCs/>
          <w:iCs/>
          <w:lang w:eastAsia="en-GB"/>
        </w:rPr>
        <w:t>Ammóniakibocsátás-csökkentési útmutató</w:t>
      </w:r>
      <w:r w:rsidRPr="00774EE9" w:rsidDel="00EE4CB4">
        <w:rPr>
          <w:rFonts w:eastAsiaTheme="minorEastAsia"/>
          <w:lang w:eastAsia="en-GB"/>
        </w:rPr>
        <w:t xml:space="preserve"> </w:t>
      </w:r>
      <w:r w:rsidRPr="00774EE9">
        <w:rPr>
          <w:rFonts w:eastAsiaTheme="minorEastAsia"/>
          <w:lang w:eastAsia="en-GB"/>
        </w:rPr>
        <w:t xml:space="preserve">szerinti referenciamódszerhez képest bizonyítottan legalább 30 %-kal csökkentik, valamint teljesítik a 3.4.1-3.4.4 feltételeket. </w:t>
      </w:r>
    </w:p>
    <w:p w:rsidR="00774EE9" w:rsidRPr="00774EE9" w:rsidRDefault="00774EE9" w:rsidP="00774EE9">
      <w:pPr>
        <w:autoSpaceDE w:val="0"/>
        <w:autoSpaceDN w:val="0"/>
        <w:adjustRightInd w:val="0"/>
        <w:spacing w:before="120" w:after="120"/>
        <w:jc w:val="both"/>
        <w:outlineLvl w:val="2"/>
        <w:rPr>
          <w:rFonts w:eastAsiaTheme="minorEastAsia"/>
          <w:lang w:eastAsia="en-GB"/>
        </w:rPr>
      </w:pPr>
      <w:r w:rsidRPr="00774EE9">
        <w:rPr>
          <w:rFonts w:eastAsiaTheme="minorEastAsia"/>
          <w:lang w:eastAsia="en-GB"/>
        </w:rPr>
        <w:t>3.4.1 A szilárd és hígtrágyának  a kezelendő növénykultúra vagy gyep előrelátható nitrogén- és foszforigényének megfelelő mennyiségben történő kiszórása, figyelembe véve a talaj tápanyagtartalmát és a más trágyákból származó tápanyagok jelenlétét.</w:t>
      </w:r>
    </w:p>
    <w:p w:rsidR="00774EE9" w:rsidRPr="00774EE9" w:rsidRDefault="00774EE9" w:rsidP="00774EE9">
      <w:pPr>
        <w:autoSpaceDE w:val="0"/>
        <w:autoSpaceDN w:val="0"/>
        <w:adjustRightInd w:val="0"/>
        <w:spacing w:before="120" w:after="120"/>
        <w:jc w:val="both"/>
        <w:outlineLvl w:val="2"/>
        <w:rPr>
          <w:rFonts w:eastAsiaTheme="minorEastAsia"/>
          <w:lang w:eastAsia="en-GB"/>
        </w:rPr>
      </w:pPr>
      <w:r w:rsidRPr="00774EE9">
        <w:rPr>
          <w:rFonts w:eastAsiaTheme="minorEastAsia"/>
          <w:lang w:eastAsia="en-GB"/>
        </w:rPr>
        <w:t>3.4.2 A szilárd és hígtrágya kijuttatásának mellőzése, ha a kezelendő földterület vízzel telítődött, elárasztott, fagyos vagy hóval borított.</w:t>
      </w:r>
    </w:p>
    <w:p w:rsidR="00774EE9" w:rsidRPr="00774EE9" w:rsidRDefault="00774EE9" w:rsidP="00774EE9">
      <w:pPr>
        <w:autoSpaceDE w:val="0"/>
        <w:autoSpaceDN w:val="0"/>
        <w:adjustRightInd w:val="0"/>
        <w:spacing w:before="120" w:after="120"/>
        <w:jc w:val="both"/>
        <w:outlineLvl w:val="2"/>
        <w:rPr>
          <w:lang w:eastAsia="en-GB"/>
        </w:rPr>
      </w:pPr>
      <w:r w:rsidRPr="00774EE9">
        <w:rPr>
          <w:rFonts w:eastAsiaTheme="minorEastAsia"/>
          <w:lang w:eastAsia="en-GB"/>
        </w:rPr>
        <w:t xml:space="preserve">3.4.3 A hígtrágya vontatott tömlő, vontatott csoroszlya alkalmazásával vagy sekély, illetve mély injektálás révén való kijuttatása a gyepre. </w:t>
      </w:r>
    </w:p>
    <w:p w:rsidR="00774EE9" w:rsidRPr="00774EE9" w:rsidRDefault="00774EE9" w:rsidP="00774EE9">
      <w:pPr>
        <w:autoSpaceDE w:val="0"/>
        <w:autoSpaceDN w:val="0"/>
        <w:adjustRightInd w:val="0"/>
        <w:spacing w:before="120" w:after="120"/>
        <w:jc w:val="both"/>
        <w:outlineLvl w:val="2"/>
        <w:rPr>
          <w:lang w:eastAsia="en-GB"/>
        </w:rPr>
      </w:pPr>
      <w:r w:rsidRPr="00774EE9">
        <w:rPr>
          <w:rFonts w:eastAsiaTheme="minorEastAsia"/>
          <w:lang w:eastAsia="en-GB"/>
        </w:rPr>
        <w:t>3.4.4 A szántóföldre kijuttatott szilárd és hígtrágya beledolgozása a talajba a kijuttatás utáni négy órán belül.</w:t>
      </w:r>
    </w:p>
    <w:p w:rsidR="00774EE9" w:rsidRPr="00774EE9" w:rsidRDefault="00774EE9" w:rsidP="00774EE9">
      <w:pPr>
        <w:autoSpaceDE w:val="0"/>
        <w:autoSpaceDN w:val="0"/>
        <w:adjustRightInd w:val="0"/>
        <w:spacing w:before="120" w:after="120"/>
        <w:jc w:val="both"/>
        <w:outlineLvl w:val="1"/>
        <w:rPr>
          <w:lang w:eastAsia="en-GB"/>
        </w:rPr>
      </w:pPr>
      <w:r w:rsidRPr="00774EE9">
        <w:rPr>
          <w:rFonts w:eastAsiaTheme="minorEastAsia"/>
          <w:lang w:eastAsia="en-GB"/>
        </w:rPr>
        <w:t>3.5 Az állatok tartási helyén kívüli trágyatárolókból származó kibocsátások csökkentése a 3.5.1-3.5.3 eljárások alkalmazásával.</w:t>
      </w:r>
    </w:p>
    <w:p w:rsidR="00774EE9" w:rsidRPr="00774EE9" w:rsidRDefault="00774EE9" w:rsidP="00774EE9">
      <w:pPr>
        <w:autoSpaceDE w:val="0"/>
        <w:autoSpaceDN w:val="0"/>
        <w:adjustRightInd w:val="0"/>
        <w:spacing w:before="120" w:after="120"/>
        <w:jc w:val="both"/>
        <w:outlineLvl w:val="2"/>
        <w:rPr>
          <w:lang w:eastAsia="en-GB"/>
        </w:rPr>
      </w:pPr>
      <w:r w:rsidRPr="00774EE9">
        <w:rPr>
          <w:rFonts w:eastAsiaTheme="minorEastAsia"/>
          <w:lang w:eastAsia="en-GB"/>
        </w:rPr>
        <w:t xml:space="preserve">3.5.1 Olyan alacsony kibocsátású rendszerek és technikák alkalmazása, amelyek az ammóniakibocsátások szintjét az </w:t>
      </w:r>
      <w:r w:rsidRPr="00774EE9">
        <w:rPr>
          <w:rFonts w:eastAsiaTheme="minorEastAsia"/>
          <w:bCs/>
          <w:iCs/>
          <w:lang w:eastAsia="en-GB"/>
        </w:rPr>
        <w:t>Ammóniakibocsátás-csökkentési útmutató</w:t>
      </w:r>
      <w:r w:rsidRPr="00774EE9" w:rsidDel="00EE4CB4">
        <w:rPr>
          <w:rFonts w:eastAsiaTheme="minorEastAsia"/>
          <w:lang w:eastAsia="en-GB"/>
        </w:rPr>
        <w:t xml:space="preserve"> </w:t>
      </w:r>
      <w:r w:rsidRPr="00774EE9">
        <w:rPr>
          <w:rFonts w:eastAsiaTheme="minorEastAsia"/>
          <w:lang w:eastAsia="en-GB"/>
        </w:rPr>
        <w:t>szerinti referenciamódszerhez képest a 2022. január 1-je után épített hígtrágya-tárolók esetében bizonyítottan legalább 60 %-kal, a meglévő hígtrágya-tárolók esetében pedig legalább 40 %-kal csökkentik.</w:t>
      </w:r>
    </w:p>
    <w:p w:rsidR="00774EE9" w:rsidRPr="00774EE9" w:rsidRDefault="00774EE9" w:rsidP="00774EE9">
      <w:pPr>
        <w:autoSpaceDE w:val="0"/>
        <w:autoSpaceDN w:val="0"/>
        <w:adjustRightInd w:val="0"/>
        <w:spacing w:before="120" w:after="120"/>
        <w:jc w:val="both"/>
        <w:outlineLvl w:val="2"/>
        <w:rPr>
          <w:lang w:eastAsia="en-GB"/>
        </w:rPr>
      </w:pPr>
      <w:r w:rsidRPr="00774EE9">
        <w:rPr>
          <w:rFonts w:eastAsiaTheme="minorEastAsia"/>
          <w:lang w:eastAsia="en-GB"/>
        </w:rPr>
        <w:t xml:space="preserve">3.5.2 Az istállótrágya és a trágyaszeparátum szilárd fázisának tárolására szolgáló tárolók lefedése. </w:t>
      </w:r>
    </w:p>
    <w:p w:rsidR="00774EE9" w:rsidRPr="00774EE9" w:rsidRDefault="00774EE9" w:rsidP="00774EE9">
      <w:pPr>
        <w:autoSpaceDE w:val="0"/>
        <w:autoSpaceDN w:val="0"/>
        <w:adjustRightInd w:val="0"/>
        <w:spacing w:before="120" w:after="120"/>
        <w:jc w:val="both"/>
        <w:outlineLvl w:val="2"/>
        <w:rPr>
          <w:lang w:eastAsia="en-GB"/>
        </w:rPr>
      </w:pPr>
      <w:r w:rsidRPr="00774EE9">
        <w:rPr>
          <w:rFonts w:eastAsiaTheme="minorEastAsia"/>
          <w:lang w:eastAsia="en-GB"/>
        </w:rPr>
        <w:t xml:space="preserve">3.5.3 Annak biztosítása, hogy a gazdaságok elegendő trágyatároló-kapacitással rendelkezzenek ahhoz, hogy trágya csak a növénykultúra növekedése szempontjából megfelelő időszakban kerüljön kiszórásra. </w:t>
      </w:r>
    </w:p>
    <w:p w:rsidR="00774EE9" w:rsidRPr="00774EE9" w:rsidRDefault="00774EE9" w:rsidP="00774EE9">
      <w:pPr>
        <w:autoSpaceDE w:val="0"/>
        <w:autoSpaceDN w:val="0"/>
        <w:adjustRightInd w:val="0"/>
        <w:spacing w:before="120" w:after="120"/>
        <w:jc w:val="both"/>
        <w:outlineLvl w:val="1"/>
        <w:rPr>
          <w:lang w:eastAsia="en-GB"/>
        </w:rPr>
      </w:pPr>
      <w:r w:rsidRPr="00774EE9">
        <w:rPr>
          <w:rFonts w:eastAsiaTheme="minorEastAsia"/>
          <w:lang w:eastAsia="en-GB"/>
        </w:rPr>
        <w:t xml:space="preserve">3.6 Az állatok tartási helyéről származó kibocsátások csökkentése olyan rendszerek alkalmazásával, amelyek az ammóniakibocsátások szintjét az </w:t>
      </w:r>
      <w:r w:rsidRPr="00774EE9">
        <w:rPr>
          <w:rFonts w:eastAsiaTheme="minorEastAsia"/>
          <w:bCs/>
          <w:iCs/>
          <w:lang w:eastAsia="en-GB"/>
        </w:rPr>
        <w:t>Ammóniakibocsátás-csökkentési útmutató</w:t>
      </w:r>
      <w:r w:rsidRPr="00774EE9" w:rsidDel="00EE4CB4">
        <w:rPr>
          <w:rFonts w:eastAsiaTheme="minorEastAsia"/>
          <w:lang w:eastAsia="en-GB"/>
        </w:rPr>
        <w:t xml:space="preserve"> </w:t>
      </w:r>
      <w:r w:rsidRPr="00774EE9">
        <w:rPr>
          <w:rFonts w:eastAsiaTheme="minorEastAsia"/>
          <w:lang w:eastAsia="en-GB"/>
        </w:rPr>
        <w:t>szerinti referenciamódszerhez képest bizonyítottan legalább 20 %-kal csökkentik.</w:t>
      </w:r>
    </w:p>
    <w:p w:rsidR="00774EE9" w:rsidRPr="00774EE9" w:rsidRDefault="00774EE9" w:rsidP="00774EE9">
      <w:pPr>
        <w:autoSpaceDE w:val="0"/>
        <w:autoSpaceDN w:val="0"/>
        <w:adjustRightInd w:val="0"/>
        <w:spacing w:before="120" w:after="120"/>
        <w:jc w:val="both"/>
        <w:outlineLvl w:val="1"/>
        <w:rPr>
          <w:lang w:eastAsia="en-GB"/>
        </w:rPr>
      </w:pPr>
      <w:r w:rsidRPr="00774EE9">
        <w:rPr>
          <w:rFonts w:eastAsiaTheme="minorEastAsia"/>
          <w:lang w:eastAsia="en-GB"/>
        </w:rPr>
        <w:t xml:space="preserve">3.7 A trágyából származó kibocsátások csökkentése olyan, alacsony fehérjetartalmú takarmányozás alkalmazásával, amely az ammóniakibocsátások szintjét az </w:t>
      </w:r>
      <w:r w:rsidRPr="00774EE9">
        <w:rPr>
          <w:rFonts w:eastAsiaTheme="minorEastAsia"/>
          <w:bCs/>
          <w:iCs/>
          <w:lang w:eastAsia="en-GB"/>
        </w:rPr>
        <w:t>Ammóniakibocsátás-csökkentési útmutató</w:t>
      </w:r>
      <w:r w:rsidRPr="00774EE9" w:rsidDel="00EE4CB4">
        <w:rPr>
          <w:rFonts w:eastAsiaTheme="minorEastAsia"/>
          <w:lang w:eastAsia="en-GB"/>
        </w:rPr>
        <w:t xml:space="preserve"> </w:t>
      </w:r>
      <w:r w:rsidRPr="00774EE9">
        <w:rPr>
          <w:rFonts w:eastAsiaTheme="minorEastAsia"/>
          <w:lang w:eastAsia="en-GB"/>
        </w:rPr>
        <w:t xml:space="preserve">szerinti referenciamódszerhez képest bizonyítottan legalább 10 %-kal csökkenti. </w:t>
      </w:r>
    </w:p>
    <w:p w:rsidR="00774EE9" w:rsidRPr="00774EE9" w:rsidRDefault="00774EE9" w:rsidP="00774EE9">
      <w:pPr>
        <w:widowControl w:val="0"/>
        <w:jc w:val="both"/>
        <w:rPr>
          <w:lang w:eastAsia="fr-BE"/>
        </w:rPr>
      </w:pPr>
      <w:r w:rsidRPr="00774EE9">
        <w:rPr>
          <w:lang w:eastAsia="fr-BE"/>
        </w:rPr>
        <w:t>3.8 A mezőgazdasági betakarításból származó növényi maradványok megfelelő kezelésére vonatkozó országos mezőgazdasági gyakorlati útmutató összeállítása a 3.8.1-3.8.4 eljárások alapján.</w:t>
      </w:r>
    </w:p>
    <w:p w:rsidR="00774EE9" w:rsidRPr="00774EE9" w:rsidRDefault="00774EE9" w:rsidP="00774EE9">
      <w:pPr>
        <w:widowControl w:val="0"/>
        <w:jc w:val="both"/>
        <w:rPr>
          <w:lang w:eastAsia="fr-BE"/>
        </w:rPr>
      </w:pPr>
      <w:r w:rsidRPr="00774EE9">
        <w:rPr>
          <w:lang w:eastAsia="fr-BE"/>
        </w:rPr>
        <w:t xml:space="preserve">3.8.1 A talajszerkezet javítása a mezőgazdasági betakarításból származó növényi maradványok talajba dolgozásával. </w:t>
      </w:r>
    </w:p>
    <w:p w:rsidR="00774EE9" w:rsidRPr="00774EE9" w:rsidRDefault="00774EE9" w:rsidP="00774EE9">
      <w:pPr>
        <w:widowControl w:val="0"/>
        <w:jc w:val="both"/>
        <w:rPr>
          <w:lang w:eastAsia="fr-BE"/>
        </w:rPr>
      </w:pPr>
      <w:r w:rsidRPr="00774EE9">
        <w:rPr>
          <w:lang w:eastAsia="fr-BE"/>
        </w:rPr>
        <w:t xml:space="preserve">3.8.2 A mezőgazdasági betakarításból származó növényi maradványok talajba dolgozási technikájának fejlesztése. </w:t>
      </w:r>
    </w:p>
    <w:p w:rsidR="00774EE9" w:rsidRPr="00774EE9" w:rsidRDefault="00774EE9" w:rsidP="00774EE9">
      <w:pPr>
        <w:widowControl w:val="0"/>
        <w:jc w:val="both"/>
        <w:rPr>
          <w:lang w:eastAsia="fr-BE"/>
        </w:rPr>
      </w:pPr>
      <w:r w:rsidRPr="00774EE9">
        <w:rPr>
          <w:lang w:eastAsia="fr-BE"/>
        </w:rPr>
        <w:t xml:space="preserve">3.8.3 A mezőgazdasági betakarításból származó növényi maradványok alternatív hasznosítása. </w:t>
      </w:r>
    </w:p>
    <w:p w:rsidR="00774EE9" w:rsidRPr="00774EE9" w:rsidRDefault="00774EE9" w:rsidP="00774EE9">
      <w:pPr>
        <w:widowControl w:val="0"/>
        <w:jc w:val="both"/>
        <w:rPr>
          <w:lang w:eastAsia="fr-BE"/>
        </w:rPr>
      </w:pPr>
      <w:r w:rsidRPr="00774EE9">
        <w:rPr>
          <w:lang w:eastAsia="fr-BE"/>
        </w:rPr>
        <w:lastRenderedPageBreak/>
        <w:t xml:space="preserve">3.8.4 A talaj tápanyagtartalmának és szerkezetének javítása a trágyának a növény tápanyagszükségletének megfelelő módon történő talajba dolgozásával, mellőzve a trágya (istállótrágya, mélyalmos trágya) elégetését. </w:t>
      </w:r>
    </w:p>
    <w:p w:rsidR="00774EE9" w:rsidRDefault="00774EE9" w:rsidP="00774EE9">
      <w:pPr>
        <w:autoSpaceDE w:val="0"/>
        <w:autoSpaceDN w:val="0"/>
        <w:adjustRightInd w:val="0"/>
        <w:spacing w:before="120" w:after="120"/>
        <w:jc w:val="both"/>
        <w:rPr>
          <w:rFonts w:eastAsiaTheme="minorEastAsia"/>
          <w:lang w:eastAsia="en-GB"/>
        </w:rPr>
      </w:pPr>
      <w:r w:rsidRPr="00774EE9">
        <w:rPr>
          <w:rFonts w:eastAsiaTheme="minorEastAsia"/>
          <w:lang w:eastAsia="en-GB"/>
        </w:rPr>
        <w:t>4. Az intézkedések meghatározásánál a kis- és mikrogazdaságokra gyakorolt hatásokat teljes körűen figyelembe kell venni. Az alkalmazandó</w:t>
      </w:r>
      <w:r w:rsidRPr="00774EE9">
        <w:t xml:space="preserve"> </w:t>
      </w:r>
      <w:r w:rsidRPr="00774EE9">
        <w:rPr>
          <w:rFonts w:eastAsiaTheme="minorEastAsia"/>
          <w:lang w:eastAsia="en-GB"/>
        </w:rPr>
        <w:t>légszennyezőanyag kibocsátás-csökkentési kötelezettség szempontjából lehetséges és célszerű mértékben  a kis- és mikrogazdaságok mentesíthetők egyes intézkedések alól.</w:t>
      </w:r>
    </w:p>
    <w:p w:rsidR="00774EE9" w:rsidRDefault="00774EE9">
      <w:pPr>
        <w:spacing w:after="200" w:line="276" w:lineRule="auto"/>
        <w:rPr>
          <w:rFonts w:eastAsiaTheme="minorEastAsia"/>
          <w:lang w:eastAsia="en-GB"/>
        </w:rPr>
      </w:pPr>
      <w:r>
        <w:rPr>
          <w:rFonts w:eastAsiaTheme="minorEastAsia"/>
          <w:lang w:eastAsia="en-GB"/>
        </w:rPr>
        <w:br w:type="page"/>
      </w:r>
    </w:p>
    <w:p w:rsidR="00774EE9" w:rsidRPr="00774EE9" w:rsidRDefault="00774EE9" w:rsidP="00774EE9">
      <w:pPr>
        <w:autoSpaceDE w:val="0"/>
        <w:autoSpaceDN w:val="0"/>
        <w:adjustRightInd w:val="0"/>
        <w:spacing w:before="120" w:after="60"/>
        <w:jc w:val="center"/>
        <w:rPr>
          <w:b/>
          <w:bCs/>
        </w:rPr>
      </w:pPr>
      <w:r w:rsidRPr="00774EE9">
        <w:rPr>
          <w:b/>
          <w:bCs/>
        </w:rPr>
        <w:lastRenderedPageBreak/>
        <w:t>A földművelésügyi miniszter</w:t>
      </w:r>
    </w:p>
    <w:p w:rsidR="00774EE9" w:rsidRPr="00774EE9" w:rsidRDefault="00774EE9" w:rsidP="00774EE9">
      <w:pPr>
        <w:autoSpaceDE w:val="0"/>
        <w:autoSpaceDN w:val="0"/>
        <w:adjustRightInd w:val="0"/>
        <w:spacing w:before="120" w:after="60"/>
        <w:jc w:val="center"/>
        <w:rPr>
          <w:b/>
        </w:rPr>
      </w:pPr>
      <w:r w:rsidRPr="00774EE9">
        <w:rPr>
          <w:b/>
          <w:bCs/>
        </w:rPr>
        <w:t>…/2018. (…) FM rendelete</w:t>
      </w:r>
    </w:p>
    <w:p w:rsidR="00774EE9" w:rsidRPr="00774EE9" w:rsidRDefault="00774EE9" w:rsidP="00774EE9">
      <w:pPr>
        <w:jc w:val="center"/>
      </w:pPr>
      <w:r w:rsidRPr="00774EE9">
        <w:rPr>
          <w:b/>
        </w:rPr>
        <w:t>az egyes levegőszennyező anyagok összkibocsátási határértékeiről szóló 7/2003. (V.16.) KvVM-GKM együttes rendelet módosításáról</w:t>
      </w:r>
    </w:p>
    <w:p w:rsidR="00774EE9" w:rsidRPr="00774EE9" w:rsidRDefault="00774EE9" w:rsidP="00774EE9">
      <w:pPr>
        <w:autoSpaceDE w:val="0"/>
        <w:autoSpaceDN w:val="0"/>
        <w:adjustRightInd w:val="0"/>
        <w:spacing w:after="20"/>
        <w:jc w:val="both"/>
      </w:pPr>
    </w:p>
    <w:p w:rsidR="00774EE9" w:rsidRPr="00774EE9" w:rsidRDefault="00774EE9" w:rsidP="00774EE9">
      <w:pPr>
        <w:autoSpaceDE w:val="0"/>
        <w:autoSpaceDN w:val="0"/>
        <w:adjustRightInd w:val="0"/>
        <w:spacing w:after="20"/>
        <w:jc w:val="both"/>
      </w:pPr>
    </w:p>
    <w:p w:rsidR="00774EE9" w:rsidRPr="00774EE9" w:rsidRDefault="00774EE9" w:rsidP="00774EE9">
      <w:pPr>
        <w:autoSpaceDE w:val="0"/>
        <w:autoSpaceDN w:val="0"/>
        <w:adjustRightInd w:val="0"/>
        <w:spacing w:after="20"/>
        <w:jc w:val="both"/>
      </w:pPr>
      <w:r w:rsidRPr="00774EE9">
        <w:t>A környezet védelmének általános szabályairól szóló 1995. évi LIII. törvény 110. § (15) bekezdés c.) pontjában foglalt felhatalmazás alapján, a Kormány tagjainak feladat- és hatásköréről szóló 152/2014. (VI. 6.) Korm. rendelet 65. § 8. pontjában meghatározott feladatkörömben eljárva a következőket rendelem el:</w:t>
      </w:r>
    </w:p>
    <w:p w:rsidR="00774EE9" w:rsidRPr="00774EE9" w:rsidRDefault="00774EE9" w:rsidP="00774EE9">
      <w:pPr>
        <w:autoSpaceDE w:val="0"/>
        <w:autoSpaceDN w:val="0"/>
        <w:adjustRightInd w:val="0"/>
        <w:spacing w:after="20"/>
        <w:ind w:firstLine="142"/>
        <w:jc w:val="both"/>
      </w:pPr>
    </w:p>
    <w:p w:rsidR="00774EE9" w:rsidRPr="00774EE9" w:rsidRDefault="00774EE9" w:rsidP="00774EE9">
      <w:pPr>
        <w:numPr>
          <w:ilvl w:val="0"/>
          <w:numId w:val="8"/>
        </w:numPr>
        <w:autoSpaceDE w:val="0"/>
        <w:autoSpaceDN w:val="0"/>
        <w:adjustRightInd w:val="0"/>
        <w:spacing w:after="20"/>
        <w:contextualSpacing/>
        <w:jc w:val="center"/>
        <w:rPr>
          <w:rFonts w:eastAsiaTheme="minorHAnsi"/>
          <w:lang w:eastAsia="en-US"/>
        </w:rPr>
      </w:pPr>
      <w:r w:rsidRPr="00774EE9">
        <w:rPr>
          <w:rFonts w:eastAsiaTheme="minorHAnsi"/>
          <w:lang w:eastAsia="en-US"/>
        </w:rPr>
        <w:t>§</w:t>
      </w:r>
    </w:p>
    <w:p w:rsidR="00774EE9" w:rsidRPr="00774EE9" w:rsidRDefault="00774EE9" w:rsidP="00774EE9">
      <w:pPr>
        <w:autoSpaceDE w:val="0"/>
        <w:autoSpaceDN w:val="0"/>
        <w:adjustRightInd w:val="0"/>
        <w:spacing w:after="20" w:line="276" w:lineRule="auto"/>
        <w:ind w:left="720"/>
        <w:contextualSpacing/>
        <w:jc w:val="both"/>
        <w:rPr>
          <w:rFonts w:eastAsiaTheme="minorHAnsi"/>
          <w:lang w:eastAsia="en-US"/>
        </w:rPr>
      </w:pPr>
    </w:p>
    <w:p w:rsidR="00774EE9" w:rsidRPr="00774EE9" w:rsidRDefault="00774EE9" w:rsidP="00774EE9">
      <w:pPr>
        <w:autoSpaceDE w:val="0"/>
        <w:autoSpaceDN w:val="0"/>
        <w:adjustRightInd w:val="0"/>
        <w:spacing w:after="20"/>
        <w:jc w:val="both"/>
      </w:pPr>
      <w:r w:rsidRPr="00774EE9">
        <w:t>Hatályát veszti az egyes levegőszennyező anyagok összkibocsátási határértékeiről szóló 7/2003. (V.16.) KvVM-GKM együttes rendelet.</w:t>
      </w:r>
    </w:p>
    <w:p w:rsidR="00774EE9" w:rsidRPr="00774EE9" w:rsidRDefault="00774EE9" w:rsidP="00774EE9">
      <w:pPr>
        <w:autoSpaceDE w:val="0"/>
        <w:autoSpaceDN w:val="0"/>
        <w:adjustRightInd w:val="0"/>
        <w:spacing w:after="20"/>
        <w:jc w:val="both"/>
      </w:pPr>
    </w:p>
    <w:p w:rsidR="00774EE9" w:rsidRPr="00774EE9" w:rsidRDefault="00774EE9" w:rsidP="00774EE9">
      <w:pPr>
        <w:numPr>
          <w:ilvl w:val="0"/>
          <w:numId w:val="8"/>
        </w:numPr>
        <w:autoSpaceDE w:val="0"/>
        <w:autoSpaceDN w:val="0"/>
        <w:adjustRightInd w:val="0"/>
        <w:spacing w:after="20"/>
        <w:contextualSpacing/>
        <w:jc w:val="center"/>
        <w:rPr>
          <w:rFonts w:eastAsiaTheme="minorHAnsi"/>
          <w:lang w:eastAsia="en-US"/>
        </w:rPr>
      </w:pPr>
      <w:r w:rsidRPr="00774EE9">
        <w:rPr>
          <w:rFonts w:eastAsiaTheme="minorHAnsi"/>
          <w:lang w:eastAsia="en-US"/>
        </w:rPr>
        <w:t>§</w:t>
      </w:r>
    </w:p>
    <w:p w:rsidR="00774EE9" w:rsidRPr="00774EE9" w:rsidRDefault="00774EE9" w:rsidP="00774EE9">
      <w:pPr>
        <w:autoSpaceDE w:val="0"/>
        <w:autoSpaceDN w:val="0"/>
        <w:adjustRightInd w:val="0"/>
        <w:spacing w:after="20" w:line="276" w:lineRule="auto"/>
        <w:ind w:left="720"/>
        <w:contextualSpacing/>
        <w:jc w:val="center"/>
        <w:rPr>
          <w:rFonts w:eastAsiaTheme="minorHAnsi"/>
          <w:lang w:eastAsia="en-US"/>
        </w:rPr>
      </w:pPr>
    </w:p>
    <w:p w:rsidR="00774EE9" w:rsidRPr="00774EE9" w:rsidRDefault="00774EE9" w:rsidP="00774EE9">
      <w:pPr>
        <w:autoSpaceDE w:val="0"/>
        <w:autoSpaceDN w:val="0"/>
        <w:adjustRightInd w:val="0"/>
        <w:spacing w:after="20"/>
        <w:jc w:val="both"/>
      </w:pPr>
      <w:r w:rsidRPr="00774EE9">
        <w:t>Ez a rendelet a kihirdetését követő 8. napon lép hatályba.</w:t>
      </w:r>
    </w:p>
    <w:p w:rsidR="00774EE9" w:rsidRPr="00774EE9" w:rsidRDefault="00774EE9" w:rsidP="00774EE9">
      <w:pPr>
        <w:autoSpaceDE w:val="0"/>
        <w:autoSpaceDN w:val="0"/>
        <w:adjustRightInd w:val="0"/>
        <w:spacing w:after="20"/>
        <w:jc w:val="both"/>
      </w:pPr>
    </w:p>
    <w:p w:rsidR="00774EE9" w:rsidRPr="00774EE9" w:rsidRDefault="00774EE9" w:rsidP="00774EE9">
      <w:pPr>
        <w:autoSpaceDE w:val="0"/>
        <w:autoSpaceDN w:val="0"/>
        <w:adjustRightInd w:val="0"/>
        <w:spacing w:after="20"/>
        <w:jc w:val="both"/>
      </w:pPr>
    </w:p>
    <w:p w:rsidR="00774EE9" w:rsidRPr="00774EE9" w:rsidRDefault="00774EE9" w:rsidP="00774EE9">
      <w:pPr>
        <w:autoSpaceDE w:val="0"/>
        <w:autoSpaceDN w:val="0"/>
        <w:adjustRightInd w:val="0"/>
        <w:spacing w:after="20"/>
        <w:jc w:val="both"/>
      </w:pPr>
    </w:p>
    <w:p w:rsidR="00774EE9" w:rsidRPr="00774EE9" w:rsidRDefault="00774EE9" w:rsidP="00774EE9">
      <w:pPr>
        <w:autoSpaceDE w:val="0"/>
        <w:autoSpaceDN w:val="0"/>
        <w:adjustRightInd w:val="0"/>
        <w:spacing w:after="20"/>
        <w:jc w:val="both"/>
      </w:pPr>
    </w:p>
    <w:tbl>
      <w:tblPr>
        <w:tblW w:w="0" w:type="auto"/>
        <w:tblInd w:w="108" w:type="dxa"/>
        <w:tblLook w:val="04A0" w:firstRow="1" w:lastRow="0" w:firstColumn="1" w:lastColumn="0" w:noHBand="0" w:noVBand="1"/>
      </w:tblPr>
      <w:tblGrid>
        <w:gridCol w:w="4484"/>
        <w:gridCol w:w="4696"/>
      </w:tblGrid>
      <w:tr w:rsidR="00774EE9" w:rsidRPr="00774EE9" w:rsidTr="00465851">
        <w:tc>
          <w:tcPr>
            <w:tcW w:w="4820" w:type="dxa"/>
          </w:tcPr>
          <w:p w:rsidR="00774EE9" w:rsidRPr="00774EE9" w:rsidRDefault="00774EE9" w:rsidP="00774EE9">
            <w:pPr>
              <w:jc w:val="center"/>
            </w:pPr>
          </w:p>
        </w:tc>
        <w:tc>
          <w:tcPr>
            <w:tcW w:w="4926" w:type="dxa"/>
          </w:tcPr>
          <w:p w:rsidR="00774EE9" w:rsidRPr="00774EE9" w:rsidRDefault="00774EE9" w:rsidP="00774EE9">
            <w:pPr>
              <w:jc w:val="center"/>
            </w:pPr>
            <w:r w:rsidRPr="00774EE9">
              <w:t>Dr. Fazekas Sándor</w:t>
            </w:r>
          </w:p>
          <w:p w:rsidR="00774EE9" w:rsidRPr="00774EE9" w:rsidRDefault="00774EE9" w:rsidP="00774EE9">
            <w:pPr>
              <w:jc w:val="center"/>
              <w:rPr>
                <w:i/>
              </w:rPr>
            </w:pPr>
            <w:r w:rsidRPr="00774EE9">
              <w:rPr>
                <w:i/>
              </w:rPr>
              <w:t>földművelésügyi miniszter</w:t>
            </w:r>
          </w:p>
        </w:tc>
      </w:tr>
    </w:tbl>
    <w:p w:rsidR="00774EE9" w:rsidRPr="00774EE9" w:rsidRDefault="00774EE9" w:rsidP="00774EE9">
      <w:pPr>
        <w:autoSpaceDE w:val="0"/>
        <w:autoSpaceDN w:val="0"/>
        <w:adjustRightInd w:val="0"/>
        <w:jc w:val="both"/>
        <w:rPr>
          <w:color w:val="000000"/>
        </w:rPr>
      </w:pPr>
    </w:p>
    <w:p w:rsidR="00774EE9" w:rsidRPr="00774EE9" w:rsidRDefault="00774EE9" w:rsidP="00774EE9">
      <w:pPr>
        <w:autoSpaceDE w:val="0"/>
        <w:autoSpaceDN w:val="0"/>
        <w:adjustRightInd w:val="0"/>
        <w:spacing w:before="120" w:after="120"/>
        <w:jc w:val="both"/>
        <w:rPr>
          <w:bCs/>
        </w:rPr>
      </w:pPr>
    </w:p>
    <w:p w:rsidR="008E04C1" w:rsidRPr="008E04C1" w:rsidRDefault="008E04C1" w:rsidP="00774EE9">
      <w:pPr>
        <w:spacing w:before="240"/>
        <w:jc w:val="center"/>
        <w:rPr>
          <w:b/>
          <w:i/>
        </w:rPr>
      </w:pPr>
    </w:p>
    <w:sectPr w:rsidR="008E04C1" w:rsidRPr="008E04C1" w:rsidSect="00774EE9">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C84" w:rsidRDefault="00424C84" w:rsidP="00774EE9">
      <w:r>
        <w:separator/>
      </w:r>
    </w:p>
  </w:endnote>
  <w:endnote w:type="continuationSeparator" w:id="0">
    <w:p w:rsidR="00424C84" w:rsidRDefault="00424C84" w:rsidP="00774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4830944"/>
      <w:docPartObj>
        <w:docPartGallery w:val="Page Numbers (Bottom of Page)"/>
        <w:docPartUnique/>
      </w:docPartObj>
    </w:sdtPr>
    <w:sdtContent>
      <w:p w:rsidR="00774EE9" w:rsidRDefault="00774EE9">
        <w:pPr>
          <w:pStyle w:val="llb"/>
          <w:jc w:val="center"/>
        </w:pPr>
        <w:r>
          <w:fldChar w:fldCharType="begin"/>
        </w:r>
        <w:r>
          <w:instrText>PAGE   \* MERGEFORMAT</w:instrText>
        </w:r>
        <w:r>
          <w:fldChar w:fldCharType="separate"/>
        </w:r>
        <w:r>
          <w:rPr>
            <w:noProof/>
          </w:rPr>
          <w:t>20</w:t>
        </w:r>
        <w:r>
          <w:fldChar w:fldCharType="end"/>
        </w:r>
      </w:p>
    </w:sdtContent>
  </w:sdt>
  <w:p w:rsidR="00774EE9" w:rsidRDefault="00774EE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C84" w:rsidRDefault="00424C84" w:rsidP="00774EE9">
      <w:r>
        <w:separator/>
      </w:r>
    </w:p>
  </w:footnote>
  <w:footnote w:type="continuationSeparator" w:id="0">
    <w:p w:rsidR="00424C84" w:rsidRDefault="00424C84" w:rsidP="00774E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72E67"/>
    <w:multiLevelType w:val="hybridMultilevel"/>
    <w:tmpl w:val="B02039D6"/>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2E0F447F"/>
    <w:multiLevelType w:val="hybridMultilevel"/>
    <w:tmpl w:val="533EFC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F2F6D65"/>
    <w:multiLevelType w:val="hybridMultilevel"/>
    <w:tmpl w:val="AE6CDF6A"/>
    <w:lvl w:ilvl="0" w:tplc="F5B23350">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31F951E8"/>
    <w:multiLevelType w:val="hybridMultilevel"/>
    <w:tmpl w:val="861094B8"/>
    <w:lvl w:ilvl="0" w:tplc="7F485B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50A91B1F"/>
    <w:multiLevelType w:val="hybridMultilevel"/>
    <w:tmpl w:val="466C0E38"/>
    <w:lvl w:ilvl="0" w:tplc="9BBCF30A">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798005DA"/>
    <w:multiLevelType w:val="multilevel"/>
    <w:tmpl w:val="D194AA30"/>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79B2617C"/>
    <w:multiLevelType w:val="hybridMultilevel"/>
    <w:tmpl w:val="2324A2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7E78086F"/>
    <w:multiLevelType w:val="hybridMultilevel"/>
    <w:tmpl w:val="E43C8A2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7"/>
  </w:num>
  <w:num w:numId="3">
    <w:abstractNumId w:val="5"/>
  </w:num>
  <w:num w:numId="4">
    <w:abstractNumId w:val="0"/>
  </w:num>
  <w:num w:numId="5">
    <w:abstractNumId w:val="6"/>
  </w:num>
  <w:num w:numId="6">
    <w:abstractNumId w:val="1"/>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272"/>
    <w:rsid w:val="00073E0C"/>
    <w:rsid w:val="000E224A"/>
    <w:rsid w:val="001F0B65"/>
    <w:rsid w:val="0022313F"/>
    <w:rsid w:val="00424C84"/>
    <w:rsid w:val="00726ED3"/>
    <w:rsid w:val="00774EE9"/>
    <w:rsid w:val="008E04C1"/>
    <w:rsid w:val="008F20CF"/>
    <w:rsid w:val="00D54272"/>
    <w:rsid w:val="00E13E0A"/>
    <w:rsid w:val="00E7119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54272"/>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Norml0">
    <w:name w:val="Norml"/>
    <w:rsid w:val="00D54272"/>
    <w:pPr>
      <w:autoSpaceDE w:val="0"/>
      <w:autoSpaceDN w:val="0"/>
      <w:adjustRightInd w:val="0"/>
      <w:spacing w:after="0" w:line="240" w:lineRule="auto"/>
    </w:pPr>
    <w:rPr>
      <w:rFonts w:ascii="MS Sans Serif" w:eastAsia="Times New Roman" w:hAnsi="MS Sans Serif" w:cs="Times New Roman"/>
      <w:sz w:val="24"/>
      <w:szCs w:val="24"/>
      <w:lang w:eastAsia="hu-HU"/>
    </w:rPr>
  </w:style>
  <w:style w:type="paragraph" w:customStyle="1" w:styleId="Default">
    <w:name w:val="Default"/>
    <w:rsid w:val="00D5427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uborkszveg">
    <w:name w:val="Balloon Text"/>
    <w:basedOn w:val="Norml"/>
    <w:link w:val="BuborkszvegChar"/>
    <w:uiPriority w:val="99"/>
    <w:semiHidden/>
    <w:unhideWhenUsed/>
    <w:rsid w:val="00D54272"/>
    <w:rPr>
      <w:rFonts w:ascii="Tahoma" w:hAnsi="Tahoma" w:cs="Tahoma"/>
      <w:sz w:val="16"/>
      <w:szCs w:val="16"/>
    </w:rPr>
  </w:style>
  <w:style w:type="character" w:customStyle="1" w:styleId="BuborkszvegChar">
    <w:name w:val="Buborékszöveg Char"/>
    <w:basedOn w:val="Bekezdsalapbettpusa"/>
    <w:link w:val="Buborkszveg"/>
    <w:uiPriority w:val="99"/>
    <w:semiHidden/>
    <w:rsid w:val="00D54272"/>
    <w:rPr>
      <w:rFonts w:ascii="Tahoma" w:eastAsia="Times New Roman" w:hAnsi="Tahoma" w:cs="Tahoma"/>
      <w:sz w:val="16"/>
      <w:szCs w:val="16"/>
      <w:lang w:eastAsia="hu-HU"/>
    </w:rPr>
  </w:style>
  <w:style w:type="paragraph" w:styleId="Listaszerbekezds">
    <w:name w:val="List Paragraph"/>
    <w:basedOn w:val="Norml"/>
    <w:uiPriority w:val="34"/>
    <w:qFormat/>
    <w:rsid w:val="000E224A"/>
    <w:pPr>
      <w:ind w:left="720"/>
      <w:contextualSpacing/>
    </w:pPr>
  </w:style>
  <w:style w:type="table" w:styleId="Rcsostblzat">
    <w:name w:val="Table Grid"/>
    <w:basedOn w:val="Normltblzat"/>
    <w:uiPriority w:val="59"/>
    <w:rsid w:val="00774EE9"/>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774EE9"/>
    <w:pPr>
      <w:tabs>
        <w:tab w:val="center" w:pos="4536"/>
        <w:tab w:val="right" w:pos="9072"/>
      </w:tabs>
    </w:pPr>
  </w:style>
  <w:style w:type="character" w:customStyle="1" w:styleId="lfejChar">
    <w:name w:val="Élőfej Char"/>
    <w:basedOn w:val="Bekezdsalapbettpusa"/>
    <w:link w:val="lfej"/>
    <w:uiPriority w:val="99"/>
    <w:rsid w:val="00774EE9"/>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774EE9"/>
    <w:pPr>
      <w:tabs>
        <w:tab w:val="center" w:pos="4536"/>
        <w:tab w:val="right" w:pos="9072"/>
      </w:tabs>
    </w:pPr>
  </w:style>
  <w:style w:type="character" w:customStyle="1" w:styleId="llbChar">
    <w:name w:val="Élőláb Char"/>
    <w:basedOn w:val="Bekezdsalapbettpusa"/>
    <w:link w:val="llb"/>
    <w:uiPriority w:val="99"/>
    <w:rsid w:val="00774EE9"/>
    <w:rPr>
      <w:rFonts w:ascii="Times New Roman" w:eastAsia="Times New Roman" w:hAnsi="Times New Roman" w:cs="Times New Roman"/>
      <w:sz w:val="24"/>
      <w:szCs w:val="24"/>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54272"/>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Norml0">
    <w:name w:val="Norml"/>
    <w:rsid w:val="00D54272"/>
    <w:pPr>
      <w:autoSpaceDE w:val="0"/>
      <w:autoSpaceDN w:val="0"/>
      <w:adjustRightInd w:val="0"/>
      <w:spacing w:after="0" w:line="240" w:lineRule="auto"/>
    </w:pPr>
    <w:rPr>
      <w:rFonts w:ascii="MS Sans Serif" w:eastAsia="Times New Roman" w:hAnsi="MS Sans Serif" w:cs="Times New Roman"/>
      <w:sz w:val="24"/>
      <w:szCs w:val="24"/>
      <w:lang w:eastAsia="hu-HU"/>
    </w:rPr>
  </w:style>
  <w:style w:type="paragraph" w:customStyle="1" w:styleId="Default">
    <w:name w:val="Default"/>
    <w:rsid w:val="00D5427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uborkszveg">
    <w:name w:val="Balloon Text"/>
    <w:basedOn w:val="Norml"/>
    <w:link w:val="BuborkszvegChar"/>
    <w:uiPriority w:val="99"/>
    <w:semiHidden/>
    <w:unhideWhenUsed/>
    <w:rsid w:val="00D54272"/>
    <w:rPr>
      <w:rFonts w:ascii="Tahoma" w:hAnsi="Tahoma" w:cs="Tahoma"/>
      <w:sz w:val="16"/>
      <w:szCs w:val="16"/>
    </w:rPr>
  </w:style>
  <w:style w:type="character" w:customStyle="1" w:styleId="BuborkszvegChar">
    <w:name w:val="Buborékszöveg Char"/>
    <w:basedOn w:val="Bekezdsalapbettpusa"/>
    <w:link w:val="Buborkszveg"/>
    <w:uiPriority w:val="99"/>
    <w:semiHidden/>
    <w:rsid w:val="00D54272"/>
    <w:rPr>
      <w:rFonts w:ascii="Tahoma" w:eastAsia="Times New Roman" w:hAnsi="Tahoma" w:cs="Tahoma"/>
      <w:sz w:val="16"/>
      <w:szCs w:val="16"/>
      <w:lang w:eastAsia="hu-HU"/>
    </w:rPr>
  </w:style>
  <w:style w:type="paragraph" w:styleId="Listaszerbekezds">
    <w:name w:val="List Paragraph"/>
    <w:basedOn w:val="Norml"/>
    <w:uiPriority w:val="34"/>
    <w:qFormat/>
    <w:rsid w:val="000E224A"/>
    <w:pPr>
      <w:ind w:left="720"/>
      <w:contextualSpacing/>
    </w:pPr>
  </w:style>
  <w:style w:type="table" w:styleId="Rcsostblzat">
    <w:name w:val="Table Grid"/>
    <w:basedOn w:val="Normltblzat"/>
    <w:uiPriority w:val="59"/>
    <w:rsid w:val="00774EE9"/>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774EE9"/>
    <w:pPr>
      <w:tabs>
        <w:tab w:val="center" w:pos="4536"/>
        <w:tab w:val="right" w:pos="9072"/>
      </w:tabs>
    </w:pPr>
  </w:style>
  <w:style w:type="character" w:customStyle="1" w:styleId="lfejChar">
    <w:name w:val="Élőfej Char"/>
    <w:basedOn w:val="Bekezdsalapbettpusa"/>
    <w:link w:val="lfej"/>
    <w:uiPriority w:val="99"/>
    <w:rsid w:val="00774EE9"/>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774EE9"/>
    <w:pPr>
      <w:tabs>
        <w:tab w:val="center" w:pos="4536"/>
        <w:tab w:val="right" w:pos="9072"/>
      </w:tabs>
    </w:pPr>
  </w:style>
  <w:style w:type="character" w:customStyle="1" w:styleId="llbChar">
    <w:name w:val="Élőláb Char"/>
    <w:basedOn w:val="Bekezdsalapbettpusa"/>
    <w:link w:val="llb"/>
    <w:uiPriority w:val="99"/>
    <w:rsid w:val="00774EE9"/>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21</Pages>
  <Words>5872</Words>
  <Characters>40519</Characters>
  <Application>Microsoft Office Word</Application>
  <DocSecurity>0</DocSecurity>
  <Lines>337</Lines>
  <Paragraphs>92</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46299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Jády Éva Rita</dc:creator>
  <cp:lastModifiedBy>Jády Éva Rita</cp:lastModifiedBy>
  <cp:revision>2</cp:revision>
  <dcterms:created xsi:type="dcterms:W3CDTF">2018-02-07T12:28:00Z</dcterms:created>
  <dcterms:modified xsi:type="dcterms:W3CDTF">2018-02-07T12:28:00Z</dcterms:modified>
</cp:coreProperties>
</file>